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BF297B" w14:textId="77777777" w:rsidR="001210D9" w:rsidRDefault="006332E8" w:rsidP="00445D84">
      <w:pPr>
        <w:spacing w:after="0" w:line="359" w:lineRule="auto"/>
        <w:ind w:left="720" w:right="619" w:firstLine="0"/>
        <w:jc w:val="center"/>
        <w:rPr>
          <w:rFonts w:ascii="Times New Roman" w:hAnsi="Times New Roman" w:cs="Times New Roman"/>
          <w:b/>
          <w:sz w:val="28"/>
        </w:rPr>
      </w:pPr>
      <w:r w:rsidRPr="00A75B31">
        <w:rPr>
          <w:rFonts w:ascii="Times New Roman" w:hAnsi="Times New Roman" w:cs="Times New Roman"/>
          <w:b/>
          <w:sz w:val="28"/>
        </w:rPr>
        <w:t>UNIVERSITY OF THE W</w:t>
      </w:r>
      <w:r w:rsidR="00AC5A6F">
        <w:rPr>
          <w:rFonts w:ascii="Times New Roman" w:hAnsi="Times New Roman" w:cs="Times New Roman"/>
          <w:b/>
          <w:sz w:val="28"/>
        </w:rPr>
        <w:t>ITW</w:t>
      </w:r>
      <w:r w:rsidRPr="00A75B31">
        <w:rPr>
          <w:rFonts w:ascii="Times New Roman" w:hAnsi="Times New Roman" w:cs="Times New Roman"/>
          <w:b/>
          <w:sz w:val="28"/>
        </w:rPr>
        <w:t xml:space="preserve">ATERSRAND </w:t>
      </w:r>
    </w:p>
    <w:p w14:paraId="51A72B20" w14:textId="0620F457" w:rsidR="006332E8" w:rsidRPr="00A75B31" w:rsidRDefault="006332E8" w:rsidP="00445D84">
      <w:pPr>
        <w:spacing w:after="0" w:line="359" w:lineRule="auto"/>
        <w:ind w:left="720" w:right="619" w:firstLine="0"/>
        <w:jc w:val="center"/>
        <w:rPr>
          <w:rFonts w:ascii="Times New Roman" w:hAnsi="Times New Roman" w:cs="Times New Roman"/>
        </w:rPr>
      </w:pPr>
      <w:r w:rsidRPr="00A75B31">
        <w:rPr>
          <w:rFonts w:ascii="Times New Roman" w:hAnsi="Times New Roman" w:cs="Times New Roman"/>
          <w:b/>
          <w:sz w:val="28"/>
        </w:rPr>
        <w:t>SCHOOL</w:t>
      </w:r>
      <w:r w:rsidR="00445D84">
        <w:rPr>
          <w:rFonts w:ascii="Times New Roman" w:hAnsi="Times New Roman" w:cs="Times New Roman"/>
          <w:b/>
          <w:sz w:val="28"/>
        </w:rPr>
        <w:t xml:space="preserve"> </w:t>
      </w:r>
      <w:r w:rsidRPr="00A75B31">
        <w:rPr>
          <w:rFonts w:ascii="Times New Roman" w:hAnsi="Times New Roman" w:cs="Times New Roman"/>
          <w:b/>
          <w:sz w:val="28"/>
        </w:rPr>
        <w:t>OF ACCOUNTANCY</w:t>
      </w:r>
    </w:p>
    <w:p w14:paraId="152E437E" w14:textId="77777777" w:rsidR="006332E8" w:rsidRPr="00A75B31" w:rsidRDefault="006332E8" w:rsidP="006332E8">
      <w:pPr>
        <w:spacing w:after="136" w:line="259" w:lineRule="auto"/>
        <w:ind w:left="251" w:firstLine="0"/>
        <w:rPr>
          <w:rFonts w:ascii="Times New Roman" w:hAnsi="Times New Roman" w:cs="Times New Roman"/>
        </w:rPr>
      </w:pPr>
    </w:p>
    <w:p w14:paraId="2ADFFC96" w14:textId="77777777" w:rsidR="006332E8" w:rsidRPr="00A75B31" w:rsidRDefault="006332E8" w:rsidP="00A75B31">
      <w:pPr>
        <w:spacing w:after="134" w:line="259" w:lineRule="auto"/>
        <w:jc w:val="center"/>
        <w:rPr>
          <w:rFonts w:ascii="Times New Roman" w:hAnsi="Times New Roman" w:cs="Times New Roman"/>
        </w:rPr>
      </w:pPr>
      <w:r w:rsidRPr="00A75B31">
        <w:rPr>
          <w:rFonts w:ascii="Times New Roman" w:hAnsi="Times New Roman" w:cs="Times New Roman"/>
          <w:b/>
          <w:sz w:val="28"/>
        </w:rPr>
        <w:t>Masters Research Report</w:t>
      </w:r>
    </w:p>
    <w:p w14:paraId="6DE9C8BA" w14:textId="77777777" w:rsidR="006332E8" w:rsidRPr="00A75B31" w:rsidRDefault="006332E8" w:rsidP="006332E8">
      <w:pPr>
        <w:spacing w:after="167" w:line="259" w:lineRule="auto"/>
        <w:ind w:left="251" w:firstLine="0"/>
        <w:jc w:val="center"/>
        <w:rPr>
          <w:rFonts w:ascii="Times New Roman" w:hAnsi="Times New Roman" w:cs="Times New Roman"/>
        </w:rPr>
      </w:pPr>
      <w:r w:rsidRPr="00A75B31">
        <w:rPr>
          <w:rFonts w:ascii="Times New Roman" w:hAnsi="Times New Roman" w:cs="Times New Roman"/>
          <w:b/>
          <w:sz w:val="28"/>
        </w:rPr>
        <w:t xml:space="preserve"> </w:t>
      </w:r>
    </w:p>
    <w:p w14:paraId="3CC6774A" w14:textId="77777777" w:rsidR="006332E8" w:rsidRPr="00A75B31" w:rsidRDefault="006332E8" w:rsidP="006332E8">
      <w:pPr>
        <w:spacing w:after="0" w:line="362" w:lineRule="auto"/>
        <w:ind w:left="0" w:firstLine="0"/>
        <w:jc w:val="center"/>
        <w:rPr>
          <w:rFonts w:ascii="Times New Roman" w:hAnsi="Times New Roman" w:cs="Times New Roman"/>
        </w:rPr>
      </w:pPr>
      <w:r w:rsidRPr="00A75B31">
        <w:rPr>
          <w:rFonts w:ascii="Times New Roman" w:hAnsi="Times New Roman" w:cs="Times New Roman"/>
          <w:b/>
          <w:sz w:val="32"/>
        </w:rPr>
        <w:t>Broad-Based Black Econom</w:t>
      </w:r>
      <w:r w:rsidR="008E1209">
        <w:rPr>
          <w:rFonts w:ascii="Times New Roman" w:hAnsi="Times New Roman" w:cs="Times New Roman"/>
          <w:b/>
          <w:sz w:val="32"/>
        </w:rPr>
        <w:t>ic Empowerment Ownership Deals</w:t>
      </w:r>
      <w:r w:rsidRPr="00A75B31">
        <w:rPr>
          <w:rFonts w:ascii="Times New Roman" w:hAnsi="Times New Roman" w:cs="Times New Roman"/>
          <w:b/>
          <w:sz w:val="32"/>
        </w:rPr>
        <w:t xml:space="preserve"> and</w:t>
      </w:r>
      <w:r w:rsidR="004B7B41">
        <w:rPr>
          <w:rFonts w:ascii="Times New Roman" w:hAnsi="Times New Roman" w:cs="Times New Roman"/>
          <w:b/>
          <w:sz w:val="32"/>
        </w:rPr>
        <w:t xml:space="preserve"> the</w:t>
      </w:r>
      <w:r w:rsidR="00FF5F90">
        <w:rPr>
          <w:rFonts w:ascii="Times New Roman" w:hAnsi="Times New Roman" w:cs="Times New Roman"/>
          <w:b/>
          <w:sz w:val="32"/>
        </w:rPr>
        <w:t>ir</w:t>
      </w:r>
      <w:r w:rsidR="004B7B41">
        <w:rPr>
          <w:rFonts w:ascii="Times New Roman" w:hAnsi="Times New Roman" w:cs="Times New Roman"/>
          <w:b/>
          <w:sz w:val="32"/>
        </w:rPr>
        <w:t xml:space="preserve"> Impact on</w:t>
      </w:r>
      <w:r w:rsidRPr="00A75B31">
        <w:rPr>
          <w:rFonts w:ascii="Times New Roman" w:hAnsi="Times New Roman" w:cs="Times New Roman"/>
          <w:b/>
          <w:sz w:val="32"/>
        </w:rPr>
        <w:t xml:space="preserve"> Dividend Policy</w:t>
      </w:r>
      <w:r w:rsidR="004B7B41">
        <w:rPr>
          <w:rFonts w:ascii="Times New Roman" w:hAnsi="Times New Roman" w:cs="Times New Roman"/>
          <w:b/>
          <w:sz w:val="32"/>
        </w:rPr>
        <w:t xml:space="preserve">: An Empirical </w:t>
      </w:r>
      <w:r w:rsidR="004859FE">
        <w:rPr>
          <w:rFonts w:ascii="Times New Roman" w:hAnsi="Times New Roman" w:cs="Times New Roman"/>
          <w:b/>
          <w:sz w:val="32"/>
        </w:rPr>
        <w:t>Study</w:t>
      </w:r>
    </w:p>
    <w:p w14:paraId="24DB2521" w14:textId="77777777" w:rsidR="006332E8" w:rsidRPr="00A75B31" w:rsidRDefault="006332E8" w:rsidP="006332E8">
      <w:pPr>
        <w:spacing w:after="87" w:line="259" w:lineRule="auto"/>
        <w:ind w:left="262" w:firstLine="0"/>
        <w:jc w:val="center"/>
        <w:rPr>
          <w:rFonts w:ascii="Times New Roman" w:hAnsi="Times New Roman" w:cs="Times New Roman"/>
        </w:rPr>
      </w:pPr>
      <w:r w:rsidRPr="00A75B31">
        <w:rPr>
          <w:rFonts w:ascii="Times New Roman" w:hAnsi="Times New Roman" w:cs="Times New Roman"/>
          <w:b/>
          <w:sz w:val="32"/>
        </w:rPr>
        <w:t xml:space="preserve"> </w:t>
      </w:r>
    </w:p>
    <w:p w14:paraId="062C3543"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b/>
        </w:rPr>
        <w:t xml:space="preserve"> </w:t>
      </w:r>
    </w:p>
    <w:p w14:paraId="69040FBF" w14:textId="77777777" w:rsidR="006332E8" w:rsidRPr="00A75B31" w:rsidRDefault="006332E8" w:rsidP="006332E8">
      <w:pPr>
        <w:tabs>
          <w:tab w:val="center" w:pos="3440"/>
        </w:tabs>
        <w:spacing w:after="119" w:line="259" w:lineRule="auto"/>
        <w:ind w:left="-15" w:firstLine="0"/>
        <w:jc w:val="left"/>
        <w:rPr>
          <w:rFonts w:ascii="Times New Roman" w:hAnsi="Times New Roman" w:cs="Times New Roman"/>
        </w:rPr>
      </w:pPr>
      <w:r w:rsidRPr="00A75B31">
        <w:rPr>
          <w:rFonts w:ascii="Times New Roman" w:hAnsi="Times New Roman" w:cs="Times New Roman"/>
          <w:b/>
        </w:rPr>
        <w:t xml:space="preserve">Summited by:  </w:t>
      </w:r>
      <w:r w:rsidRPr="00A75B31">
        <w:rPr>
          <w:rFonts w:ascii="Times New Roman" w:hAnsi="Times New Roman" w:cs="Times New Roman"/>
          <w:b/>
        </w:rPr>
        <w:tab/>
      </w:r>
      <w:r w:rsidRPr="00A75B31">
        <w:rPr>
          <w:rFonts w:ascii="Times New Roman" w:hAnsi="Times New Roman" w:cs="Times New Roman"/>
          <w:b/>
        </w:rPr>
        <w:tab/>
      </w:r>
      <w:r w:rsidR="006B7584">
        <w:rPr>
          <w:rFonts w:ascii="Times New Roman" w:hAnsi="Times New Roman" w:cs="Times New Roman"/>
          <w:b/>
        </w:rPr>
        <w:t xml:space="preserve">Mr. </w:t>
      </w:r>
      <w:r w:rsidR="002E523D">
        <w:rPr>
          <w:rFonts w:ascii="Times New Roman" w:hAnsi="Times New Roman" w:cs="Times New Roman"/>
          <w:b/>
        </w:rPr>
        <w:t>Derrick</w:t>
      </w:r>
      <w:r w:rsidR="00335CBB">
        <w:rPr>
          <w:rFonts w:ascii="Times New Roman" w:hAnsi="Times New Roman" w:cs="Times New Roman"/>
          <w:b/>
        </w:rPr>
        <w:t xml:space="preserve"> Adrian</w:t>
      </w:r>
      <w:r w:rsidRPr="00A75B31">
        <w:rPr>
          <w:rFonts w:ascii="Times New Roman" w:hAnsi="Times New Roman" w:cs="Times New Roman"/>
          <w:b/>
        </w:rPr>
        <w:t xml:space="preserve"> Pequenino </w:t>
      </w:r>
    </w:p>
    <w:p w14:paraId="5BDD0C5E" w14:textId="77777777" w:rsidR="006332E8" w:rsidRPr="00A75B31" w:rsidRDefault="006332E8" w:rsidP="006332E8">
      <w:pPr>
        <w:spacing w:after="117" w:line="259" w:lineRule="auto"/>
        <w:ind w:left="0" w:firstLine="0"/>
        <w:jc w:val="left"/>
        <w:rPr>
          <w:rFonts w:ascii="Times New Roman" w:hAnsi="Times New Roman" w:cs="Times New Roman"/>
        </w:rPr>
      </w:pPr>
      <w:r w:rsidRPr="00A75B31">
        <w:rPr>
          <w:rFonts w:ascii="Times New Roman" w:hAnsi="Times New Roman" w:cs="Times New Roman"/>
          <w:b/>
        </w:rPr>
        <w:t xml:space="preserve"> </w:t>
      </w:r>
    </w:p>
    <w:p w14:paraId="4A306743" w14:textId="77777777" w:rsidR="006332E8" w:rsidRPr="00A75B31" w:rsidRDefault="006332E8" w:rsidP="006332E8">
      <w:pPr>
        <w:spacing w:after="119" w:line="259" w:lineRule="auto"/>
        <w:ind w:left="-5"/>
        <w:rPr>
          <w:rFonts w:ascii="Times New Roman" w:hAnsi="Times New Roman" w:cs="Times New Roman"/>
        </w:rPr>
      </w:pPr>
      <w:r w:rsidRPr="00A75B31">
        <w:rPr>
          <w:rFonts w:ascii="Times New Roman" w:hAnsi="Times New Roman" w:cs="Times New Roman"/>
          <w:b/>
        </w:rPr>
        <w:t xml:space="preserve">Student Number: </w:t>
      </w:r>
      <w:r w:rsidRPr="00A75B31">
        <w:rPr>
          <w:rFonts w:ascii="Times New Roman" w:hAnsi="Times New Roman" w:cs="Times New Roman"/>
          <w:b/>
        </w:rPr>
        <w:tab/>
      </w:r>
      <w:r w:rsidRPr="00A75B31">
        <w:rPr>
          <w:rFonts w:ascii="Times New Roman" w:hAnsi="Times New Roman" w:cs="Times New Roman"/>
          <w:b/>
        </w:rPr>
        <w:tab/>
      </w:r>
      <w:r w:rsidRPr="00A75B31">
        <w:rPr>
          <w:rFonts w:ascii="Times New Roman" w:hAnsi="Times New Roman" w:cs="Times New Roman"/>
          <w:b/>
        </w:rPr>
        <w:tab/>
        <w:t>711 949</w:t>
      </w:r>
    </w:p>
    <w:p w14:paraId="3DF64B82" w14:textId="77777777" w:rsidR="006332E8" w:rsidRPr="00A75B31" w:rsidRDefault="006332E8" w:rsidP="006332E8">
      <w:pPr>
        <w:spacing w:after="117" w:line="259" w:lineRule="auto"/>
        <w:ind w:left="0" w:firstLine="0"/>
        <w:jc w:val="left"/>
        <w:rPr>
          <w:rFonts w:ascii="Times New Roman" w:hAnsi="Times New Roman" w:cs="Times New Roman"/>
        </w:rPr>
      </w:pPr>
      <w:r w:rsidRPr="00A75B31">
        <w:rPr>
          <w:rFonts w:ascii="Times New Roman" w:hAnsi="Times New Roman" w:cs="Times New Roman"/>
          <w:b/>
        </w:rPr>
        <w:t xml:space="preserve"> </w:t>
      </w:r>
    </w:p>
    <w:p w14:paraId="2CBB8FB9" w14:textId="77777777" w:rsidR="006332E8" w:rsidRPr="00A75B31" w:rsidRDefault="006332E8" w:rsidP="006332E8">
      <w:pPr>
        <w:spacing w:after="119" w:line="259" w:lineRule="auto"/>
        <w:ind w:left="-5"/>
        <w:rPr>
          <w:rFonts w:ascii="Times New Roman" w:hAnsi="Times New Roman" w:cs="Times New Roman"/>
        </w:rPr>
      </w:pPr>
      <w:r w:rsidRPr="00A75B31">
        <w:rPr>
          <w:rFonts w:ascii="Times New Roman" w:hAnsi="Times New Roman" w:cs="Times New Roman"/>
          <w:b/>
        </w:rPr>
        <w:t xml:space="preserve">Supervisor:  </w:t>
      </w:r>
      <w:r w:rsidRPr="00A75B31">
        <w:rPr>
          <w:rFonts w:ascii="Times New Roman" w:hAnsi="Times New Roman" w:cs="Times New Roman"/>
          <w:b/>
        </w:rPr>
        <w:tab/>
      </w:r>
      <w:r w:rsidRPr="00A75B31">
        <w:rPr>
          <w:rFonts w:ascii="Times New Roman" w:hAnsi="Times New Roman" w:cs="Times New Roman"/>
          <w:b/>
        </w:rPr>
        <w:tab/>
      </w:r>
      <w:r w:rsidRPr="00A75B31">
        <w:rPr>
          <w:rFonts w:ascii="Times New Roman" w:hAnsi="Times New Roman" w:cs="Times New Roman"/>
          <w:b/>
        </w:rPr>
        <w:tab/>
      </w:r>
      <w:r w:rsidR="00A75B31">
        <w:rPr>
          <w:rFonts w:ascii="Times New Roman" w:hAnsi="Times New Roman" w:cs="Times New Roman"/>
          <w:b/>
        </w:rPr>
        <w:tab/>
      </w:r>
      <w:r w:rsidR="00861ABB">
        <w:rPr>
          <w:rFonts w:ascii="Times New Roman" w:hAnsi="Times New Roman" w:cs="Times New Roman"/>
          <w:b/>
        </w:rPr>
        <w:t>Mr. Andres Merino</w:t>
      </w:r>
      <w:r w:rsidRPr="00A75B31">
        <w:rPr>
          <w:rFonts w:ascii="Times New Roman" w:hAnsi="Times New Roman" w:cs="Times New Roman"/>
          <w:b/>
        </w:rPr>
        <w:t xml:space="preserve"> </w:t>
      </w:r>
    </w:p>
    <w:p w14:paraId="3285695A"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b/>
        </w:rPr>
        <w:t xml:space="preserve"> </w:t>
      </w:r>
    </w:p>
    <w:p w14:paraId="43275D90"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b/>
        </w:rPr>
        <w:t xml:space="preserve"> </w:t>
      </w:r>
    </w:p>
    <w:p w14:paraId="583D3C2C"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403A3C2D" w14:textId="77777777" w:rsidR="006332E8" w:rsidRPr="00A75B31" w:rsidRDefault="006332E8" w:rsidP="006332E8">
      <w:pPr>
        <w:spacing w:after="115" w:line="259" w:lineRule="auto"/>
        <w:jc w:val="center"/>
        <w:rPr>
          <w:rFonts w:ascii="Times New Roman" w:hAnsi="Times New Roman" w:cs="Times New Roman"/>
        </w:rPr>
      </w:pPr>
      <w:r w:rsidRPr="00A75B31">
        <w:rPr>
          <w:rFonts w:ascii="Times New Roman" w:hAnsi="Times New Roman" w:cs="Times New Roman"/>
        </w:rPr>
        <w:t xml:space="preserve">Ethics Clearance Number:  </w:t>
      </w:r>
      <w:r w:rsidR="00A75B31" w:rsidRPr="00A75B31">
        <w:rPr>
          <w:rFonts w:ascii="Times New Roman" w:hAnsi="Times New Roman" w:cs="Times New Roman"/>
        </w:rPr>
        <w:t>CACCN/1137</w:t>
      </w:r>
    </w:p>
    <w:p w14:paraId="15235C2C"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0893C4F3" w14:textId="77777777" w:rsidR="006332E8" w:rsidRPr="00A75B31" w:rsidRDefault="00C153AB" w:rsidP="006332E8">
      <w:pPr>
        <w:spacing w:after="115" w:line="259" w:lineRule="auto"/>
        <w:ind w:left="240" w:firstLine="0"/>
        <w:jc w:val="center"/>
        <w:rPr>
          <w:rFonts w:ascii="Times New Roman" w:hAnsi="Times New Roman" w:cs="Times New Roman"/>
        </w:rPr>
      </w:pPr>
      <w:r>
        <w:rPr>
          <w:noProof/>
        </w:rPr>
        <w:drawing>
          <wp:anchor distT="0" distB="0" distL="114300" distR="114300" simplePos="0" relativeHeight="251656192" behindDoc="1" locked="0" layoutInCell="1" allowOverlap="1" wp14:anchorId="1854CA08" wp14:editId="74B2724F">
            <wp:simplePos x="0" y="0"/>
            <wp:positionH relativeFrom="page">
              <wp:align>center</wp:align>
            </wp:positionH>
            <wp:positionV relativeFrom="paragraph">
              <wp:posOffset>14605</wp:posOffset>
            </wp:positionV>
            <wp:extent cx="2872232" cy="1958340"/>
            <wp:effectExtent l="0" t="0" r="4445" b="3810"/>
            <wp:wrapNone/>
            <wp:docPr id="3" name="Picture 3" descr="Image result for wits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wits university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2232" cy="1958340"/>
                    </a:xfrm>
                    <a:prstGeom prst="rect">
                      <a:avLst/>
                    </a:prstGeom>
                    <a:noFill/>
                    <a:ln>
                      <a:noFill/>
                    </a:ln>
                  </pic:spPr>
                </pic:pic>
              </a:graphicData>
            </a:graphic>
            <wp14:sizeRelH relativeFrom="page">
              <wp14:pctWidth>0</wp14:pctWidth>
            </wp14:sizeRelH>
            <wp14:sizeRelV relativeFrom="page">
              <wp14:pctHeight>0</wp14:pctHeight>
            </wp14:sizeRelV>
          </wp:anchor>
        </w:drawing>
      </w:r>
      <w:r w:rsidR="006332E8" w:rsidRPr="00A75B31">
        <w:rPr>
          <w:rFonts w:ascii="Times New Roman" w:hAnsi="Times New Roman" w:cs="Times New Roman"/>
        </w:rPr>
        <w:t xml:space="preserve"> </w:t>
      </w:r>
    </w:p>
    <w:p w14:paraId="27F76443"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58CE2AD7"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784E6566"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7294FE73"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58F2807B"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6A37CE84"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79FA8401" w14:textId="77777777" w:rsidR="006332E8" w:rsidRPr="00A75B31" w:rsidRDefault="006332E8" w:rsidP="006332E8">
      <w:pPr>
        <w:spacing w:after="117"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1AA70357" w14:textId="77777777" w:rsidR="006332E8" w:rsidRPr="00A75B31" w:rsidRDefault="006332E8" w:rsidP="006332E8">
      <w:pPr>
        <w:spacing w:after="115" w:line="259" w:lineRule="auto"/>
        <w:ind w:left="240" w:firstLine="0"/>
        <w:jc w:val="center"/>
        <w:rPr>
          <w:rFonts w:ascii="Times New Roman" w:hAnsi="Times New Roman" w:cs="Times New Roman"/>
        </w:rPr>
      </w:pPr>
      <w:r w:rsidRPr="00A75B31">
        <w:rPr>
          <w:rFonts w:ascii="Times New Roman" w:hAnsi="Times New Roman" w:cs="Times New Roman"/>
        </w:rPr>
        <w:t xml:space="preserve"> </w:t>
      </w:r>
    </w:p>
    <w:p w14:paraId="1437E684" w14:textId="77777777" w:rsidR="006332E8" w:rsidRPr="00A75B31" w:rsidRDefault="006332E8" w:rsidP="004B7B41">
      <w:pPr>
        <w:spacing w:after="117" w:line="259" w:lineRule="auto"/>
        <w:ind w:left="10" w:right="-4"/>
        <w:jc w:val="center"/>
        <w:rPr>
          <w:rFonts w:ascii="Times New Roman" w:hAnsi="Times New Roman" w:cs="Times New Roman"/>
        </w:rPr>
      </w:pPr>
      <w:r w:rsidRPr="00A75B31">
        <w:rPr>
          <w:rFonts w:ascii="Times New Roman" w:hAnsi="Times New Roman" w:cs="Times New Roman"/>
        </w:rPr>
        <w:t>A research report submitted to the Faculty of Commerce, Law and Management,</w:t>
      </w:r>
    </w:p>
    <w:p w14:paraId="3F931B7D" w14:textId="77777777" w:rsidR="006332E8" w:rsidRPr="00A75B31" w:rsidRDefault="006332E8" w:rsidP="004B7B41">
      <w:pPr>
        <w:spacing w:after="115" w:line="359" w:lineRule="auto"/>
        <w:ind w:right="174"/>
        <w:jc w:val="center"/>
        <w:rPr>
          <w:rFonts w:ascii="Times New Roman" w:hAnsi="Times New Roman" w:cs="Times New Roman"/>
        </w:rPr>
      </w:pPr>
      <w:r w:rsidRPr="00A75B31">
        <w:rPr>
          <w:rFonts w:ascii="Times New Roman" w:hAnsi="Times New Roman" w:cs="Times New Roman"/>
        </w:rPr>
        <w:t>University of the Witwatersrand, Johannesburg, in partial fulfilment of the requirements for the degree of Masters of Commerce (Accountancy).</w:t>
      </w:r>
    </w:p>
    <w:p w14:paraId="09925378" w14:textId="77777777" w:rsidR="006332E8" w:rsidRDefault="006332E8" w:rsidP="004B7B41">
      <w:pPr>
        <w:jc w:val="center"/>
        <w:sectPr w:rsidR="006332E8" w:rsidSect="001070D3">
          <w:footerReference w:type="even" r:id="rId9"/>
          <w:footerReference w:type="default" r:id="rId10"/>
          <w:footerReference w:type="first" r:id="rId11"/>
          <w:pgSz w:w="11906" w:h="16838"/>
          <w:pgMar w:top="1440" w:right="1614" w:bottom="1440" w:left="1440" w:header="720" w:footer="720" w:gutter="0"/>
          <w:pgNumType w:start="0"/>
          <w:cols w:space="720"/>
          <w:titlePg/>
          <w:docGrid w:linePitch="326"/>
        </w:sectPr>
      </w:pPr>
    </w:p>
    <w:p w14:paraId="4D98D9E4" w14:textId="77777777" w:rsidR="00523A35" w:rsidRPr="00CF1087" w:rsidRDefault="00A75B31" w:rsidP="00CF1087">
      <w:pPr>
        <w:pStyle w:val="Heading1"/>
        <w:jc w:val="center"/>
        <w:rPr>
          <w:rFonts w:ascii="Times New Roman" w:hAnsi="Times New Roman" w:cs="Times New Roman"/>
          <w:b/>
          <w:color w:val="auto"/>
          <w:sz w:val="24"/>
          <w:u w:val="single"/>
        </w:rPr>
      </w:pPr>
      <w:bookmarkStart w:id="0" w:name="_Toc506717747"/>
      <w:r w:rsidRPr="00CF1087">
        <w:rPr>
          <w:rFonts w:ascii="Times New Roman" w:hAnsi="Times New Roman" w:cs="Times New Roman"/>
          <w:b/>
          <w:color w:val="auto"/>
          <w:sz w:val="24"/>
          <w:u w:val="single"/>
        </w:rPr>
        <w:lastRenderedPageBreak/>
        <w:t>DECL</w:t>
      </w:r>
      <w:r w:rsidR="001210D9">
        <w:rPr>
          <w:rFonts w:ascii="Times New Roman" w:hAnsi="Times New Roman" w:cs="Times New Roman"/>
          <w:b/>
          <w:color w:val="auto"/>
          <w:sz w:val="24"/>
          <w:u w:val="single"/>
        </w:rPr>
        <w:t>A</w:t>
      </w:r>
      <w:r w:rsidRPr="00CF1087">
        <w:rPr>
          <w:rFonts w:ascii="Times New Roman" w:hAnsi="Times New Roman" w:cs="Times New Roman"/>
          <w:b/>
          <w:color w:val="auto"/>
          <w:sz w:val="24"/>
          <w:u w:val="single"/>
        </w:rPr>
        <w:t>RATION</w:t>
      </w:r>
      <w:bookmarkEnd w:id="0"/>
    </w:p>
    <w:p w14:paraId="7BEBDB9D" w14:textId="77777777" w:rsidR="00A75B31" w:rsidRPr="003A1203" w:rsidRDefault="00A75B31" w:rsidP="003A1203">
      <w:pPr>
        <w:spacing w:line="480" w:lineRule="auto"/>
        <w:rPr>
          <w:rFonts w:ascii="Times New Roman" w:hAnsi="Times New Roman" w:cs="Times New Roman"/>
          <w:sz w:val="20"/>
        </w:rPr>
      </w:pPr>
    </w:p>
    <w:p w14:paraId="2255036F" w14:textId="771EE16B" w:rsidR="006332E8" w:rsidRPr="003A1203" w:rsidRDefault="006332E8" w:rsidP="003A1203">
      <w:pPr>
        <w:spacing w:line="480" w:lineRule="auto"/>
        <w:rPr>
          <w:rFonts w:ascii="Times New Roman" w:hAnsi="Times New Roman" w:cs="Times New Roman"/>
          <w:sz w:val="22"/>
        </w:rPr>
      </w:pPr>
      <w:r w:rsidRPr="003A1203">
        <w:rPr>
          <w:rFonts w:ascii="Times New Roman" w:hAnsi="Times New Roman" w:cs="Times New Roman"/>
          <w:sz w:val="22"/>
        </w:rPr>
        <w:t xml:space="preserve">I, Derrick Adrian Pequenino, declare that this research report is my own work except as indicated in the references and acknowledgements. It is submitted in partial fulfilment of the requirements for the degree of Masters of Commerce (Accountancy) at the University of the Witwatersrand, Johannesburg. It has not been submitted before </w:t>
      </w:r>
      <w:r w:rsidR="00721AB8">
        <w:rPr>
          <w:rFonts w:ascii="Times New Roman" w:hAnsi="Times New Roman" w:cs="Times New Roman"/>
          <w:sz w:val="22"/>
        </w:rPr>
        <w:t>for any degree or examination at</w:t>
      </w:r>
      <w:r w:rsidRPr="003A1203">
        <w:rPr>
          <w:rFonts w:ascii="Times New Roman" w:hAnsi="Times New Roman" w:cs="Times New Roman"/>
          <w:sz w:val="22"/>
        </w:rPr>
        <w:t xml:space="preserve"> this or any other university.</w:t>
      </w:r>
    </w:p>
    <w:p w14:paraId="3271744B" w14:textId="77777777" w:rsidR="006332E8" w:rsidRPr="003A1203" w:rsidRDefault="00DA2045" w:rsidP="003A1203">
      <w:pPr>
        <w:spacing w:line="480" w:lineRule="auto"/>
        <w:rPr>
          <w:rFonts w:ascii="Times New Roman" w:hAnsi="Times New Roman" w:cs="Times New Roman"/>
          <w:sz w:val="20"/>
        </w:rPr>
      </w:pPr>
      <w:r>
        <w:rPr>
          <w:rFonts w:ascii="Times New Roman" w:hAnsi="Times New Roman" w:cs="Times New Roman"/>
          <w:noProof/>
          <w:sz w:val="20"/>
        </w:rPr>
        <w:drawing>
          <wp:anchor distT="0" distB="0" distL="114300" distR="114300" simplePos="0" relativeHeight="251663360" behindDoc="1" locked="0" layoutInCell="1" allowOverlap="1" wp14:anchorId="3D03A675" wp14:editId="7CD8362F">
            <wp:simplePos x="0" y="0"/>
            <wp:positionH relativeFrom="column">
              <wp:posOffset>502920</wp:posOffset>
            </wp:positionH>
            <wp:positionV relativeFrom="paragraph">
              <wp:posOffset>361950</wp:posOffset>
            </wp:positionV>
            <wp:extent cx="1287780" cy="502480"/>
            <wp:effectExtent l="0" t="0" r="762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87780" cy="502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873936" w14:textId="77777777" w:rsidR="006332E8" w:rsidRPr="003A1203" w:rsidRDefault="006332E8" w:rsidP="003A1203">
      <w:pPr>
        <w:spacing w:line="480" w:lineRule="auto"/>
        <w:rPr>
          <w:rFonts w:ascii="Times New Roman" w:hAnsi="Times New Roman" w:cs="Times New Roman"/>
          <w:sz w:val="20"/>
        </w:rPr>
      </w:pPr>
    </w:p>
    <w:p w14:paraId="6FAAAFE5" w14:textId="77777777" w:rsidR="006332E8" w:rsidRPr="003A1203" w:rsidRDefault="00350BFE" w:rsidP="003A1203">
      <w:pPr>
        <w:spacing w:line="480" w:lineRule="auto"/>
        <w:rPr>
          <w:rFonts w:ascii="Times New Roman" w:hAnsi="Times New Roman" w:cs="Times New Roman"/>
          <w:sz w:val="22"/>
        </w:rPr>
      </w:pPr>
      <w:r w:rsidRPr="003A1203">
        <w:rPr>
          <w:rFonts w:ascii="Times New Roman" w:hAnsi="Times New Roman" w:cs="Times New Roman"/>
          <w:b/>
          <w:noProof/>
          <w:sz w:val="20"/>
        </w:rPr>
        <mc:AlternateContent>
          <mc:Choice Requires="wps">
            <w:drawing>
              <wp:anchor distT="0" distB="0" distL="114300" distR="114300" simplePos="0" relativeHeight="251657216" behindDoc="0" locked="0" layoutInCell="1" allowOverlap="1" wp14:anchorId="684F31D7" wp14:editId="0DA3A216">
                <wp:simplePos x="0" y="0"/>
                <wp:positionH relativeFrom="column">
                  <wp:posOffset>122767</wp:posOffset>
                </wp:positionH>
                <wp:positionV relativeFrom="paragraph">
                  <wp:posOffset>92498</wp:posOffset>
                </wp:positionV>
                <wp:extent cx="2057400" cy="0"/>
                <wp:effectExtent l="0" t="0" r="19050" b="19050"/>
                <wp:wrapNone/>
                <wp:docPr id="2" name="Straight Connector 2"/>
                <wp:cNvGraphicFramePr/>
                <a:graphic xmlns:a="http://schemas.openxmlformats.org/drawingml/2006/main">
                  <a:graphicData uri="http://schemas.microsoft.com/office/word/2010/wordprocessingShape">
                    <wps:wsp>
                      <wps:cNvCnPr/>
                      <wps:spPr>
                        <a:xfrm flipV="1">
                          <a:off x="0" y="0"/>
                          <a:ext cx="2057400" cy="0"/>
                        </a:xfrm>
                        <a:prstGeom prst="line">
                          <a:avLst/>
                        </a:prstGeom>
                        <a:ln w="15875" cmpd="sng">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B497AB" id="Straight Connector 2"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5pt,7.3pt" to="171.6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Yry6AEAACIEAAAOAAAAZHJzL2Uyb0RvYy54bWysU8GO2yAQvVfqPyDujZ2o6a6sOHvIanup&#10;2qjb7Z3Fg40EDAIaJ3/fASfOdttLq14QDPPezHsMm7ujNewAIWp0LV8uas7ASey061v+9O3h3S1n&#10;MQnXCYMOWn6CyO+2b99sRt/ACgc0HQRGJC42o2/5kJJvqirKAayIC/Tg6FJhsCLRMfRVF8RI7NZU&#10;q7r+UI0YOh9QQowUvZ8u+bbwKwUyfVEqQmKm5dRbKmso63Neq+1GNH0QftDy3Ib4hy6s0I6KzlT3&#10;Ign2I+jfqKyWASOqtJBoK1RKSygaSM2yfqXmcRAeihYyJ/rZpvj/aOXnwz4w3bV8xZkTlp7oMQWh&#10;+yGxHTpHBmJgq+zT6GND6Tu3D+dT9PuQRR9VsEwZ7b/TCBQbSBg7FpdPs8twTExScFWvb97X9Bjy&#10;cldNFJnKh5g+AlqWNy032mUDRCMOn2KispR6Sclh49hINde3N2vis550RNcXRESjuwdtTM4r8wQ7&#10;E9hB0CSk4zIrIrIXWXQyjoJZ56Ss7NLJwFTqKyhyihRMGl9xCinBpQuvcZSdYYo6mIH11Fke7msz&#10;vwLP+RkKZX7/BjwjSmV0aQZb7TD8qfrVCjXlXxyYdGcLnrE7lTcv1tAgFufOnyZP+stzgV+/9vYn&#10;AAAA//8DAFBLAwQUAAYACAAAACEA7q/uZ9wAAAAIAQAADwAAAGRycy9kb3ducmV2LnhtbExPy07D&#10;MBC8I/EP1iJxQdSBVBUJcSpS8ZDggPrgvo23SSC2o9htkr9nEQc4reah2ZlsOZpWnKj3jbMKbmYR&#10;CLKl042tFOy2T9d3IHxAq7F1lhRM5GGZn59lmGo32DWdNqESHGJ9igrqELpUSl/WZNDPXEeWtYPr&#10;DQaGfSV1jwOHm1beRtFCGmwsf6ixo1VN5dfmaBQMb6/F4/Ry9fxZFMn6Y1olh3dMlLq8GB/uQQQa&#10;w58Zfupzdci5094drfaiZZzE7OQ7X4BgPZ7HTOx/CZln8v+A/BsAAP//AwBQSwECLQAUAAYACAAA&#10;ACEAtoM4kv4AAADhAQAAEwAAAAAAAAAAAAAAAAAAAAAAW0NvbnRlbnRfVHlwZXNdLnhtbFBLAQIt&#10;ABQABgAIAAAAIQA4/SH/1gAAAJQBAAALAAAAAAAAAAAAAAAAAC8BAABfcmVscy8ucmVsc1BLAQIt&#10;ABQABgAIAAAAIQCfOYry6AEAACIEAAAOAAAAAAAAAAAAAAAAAC4CAABkcnMvZTJvRG9jLnhtbFBL&#10;AQItABQABgAIAAAAIQDur+5n3AAAAAgBAAAPAAAAAAAAAAAAAAAAAEIEAABkcnMvZG93bnJldi54&#10;bWxQSwUGAAAAAAQABADzAAAASwUAAAAA&#10;" strokecolor="black [3213]" strokeweight="1.25pt">
                <v:stroke joinstyle="miter"/>
              </v:line>
            </w:pict>
          </mc:Fallback>
        </mc:AlternateContent>
      </w:r>
    </w:p>
    <w:p w14:paraId="022AD7E3" w14:textId="77777777" w:rsidR="006332E8" w:rsidRPr="003A1203" w:rsidRDefault="00350BFE" w:rsidP="003A1203">
      <w:pPr>
        <w:spacing w:line="480" w:lineRule="auto"/>
        <w:rPr>
          <w:rFonts w:ascii="Times New Roman" w:hAnsi="Times New Roman" w:cs="Times New Roman"/>
          <w:b/>
          <w:sz w:val="22"/>
        </w:rPr>
      </w:pPr>
      <w:r w:rsidRPr="003A1203">
        <w:rPr>
          <w:rFonts w:ascii="Times New Roman" w:hAnsi="Times New Roman" w:cs="Times New Roman"/>
          <w:b/>
          <w:sz w:val="22"/>
        </w:rPr>
        <w:t xml:space="preserve"> </w:t>
      </w:r>
      <w:r w:rsidR="006332E8" w:rsidRPr="003A1203">
        <w:rPr>
          <w:rFonts w:ascii="Times New Roman" w:hAnsi="Times New Roman" w:cs="Times New Roman"/>
          <w:b/>
          <w:sz w:val="22"/>
        </w:rPr>
        <w:t>Mr. Derrick Adrian Pequenino</w:t>
      </w:r>
    </w:p>
    <w:p w14:paraId="40A8BDF6" w14:textId="77777777" w:rsidR="00A75B31" w:rsidRPr="003A1203" w:rsidRDefault="00350BFE" w:rsidP="003A1203">
      <w:pPr>
        <w:spacing w:line="480" w:lineRule="auto"/>
        <w:rPr>
          <w:rFonts w:ascii="Times New Roman" w:hAnsi="Times New Roman" w:cs="Times New Roman"/>
          <w:b/>
          <w:sz w:val="22"/>
        </w:rPr>
      </w:pPr>
      <w:r w:rsidRPr="003A1203">
        <w:rPr>
          <w:rFonts w:ascii="Times New Roman" w:hAnsi="Times New Roman" w:cs="Times New Roman"/>
          <w:b/>
          <w:sz w:val="22"/>
        </w:rPr>
        <w:t xml:space="preserve"> </w:t>
      </w:r>
    </w:p>
    <w:p w14:paraId="248C5D70" w14:textId="77777777" w:rsidR="006332E8" w:rsidRPr="003A1203" w:rsidRDefault="00A75B31" w:rsidP="003A1203">
      <w:pPr>
        <w:spacing w:line="480" w:lineRule="auto"/>
        <w:rPr>
          <w:rFonts w:ascii="Times New Roman" w:hAnsi="Times New Roman" w:cs="Times New Roman"/>
          <w:b/>
          <w:sz w:val="22"/>
          <w:u w:val="single"/>
        </w:rPr>
      </w:pPr>
      <w:r w:rsidRPr="003A1203">
        <w:rPr>
          <w:rFonts w:ascii="Times New Roman" w:hAnsi="Times New Roman" w:cs="Times New Roman"/>
          <w:b/>
          <w:sz w:val="22"/>
        </w:rPr>
        <w:t xml:space="preserve"> </w:t>
      </w:r>
      <w:r w:rsidR="006332E8" w:rsidRPr="003A1203">
        <w:rPr>
          <w:rFonts w:ascii="Times New Roman" w:hAnsi="Times New Roman" w:cs="Times New Roman"/>
          <w:b/>
          <w:sz w:val="22"/>
        </w:rPr>
        <w:t>Signed at:</w:t>
      </w:r>
      <w:r w:rsidR="00696E06">
        <w:rPr>
          <w:rFonts w:ascii="Times New Roman" w:hAnsi="Times New Roman" w:cs="Times New Roman"/>
          <w:b/>
          <w:sz w:val="22"/>
        </w:rPr>
        <w:t xml:space="preserve"> </w:t>
      </w:r>
      <w:r w:rsidR="00696E06" w:rsidRPr="00687E29">
        <w:rPr>
          <w:rFonts w:ascii="Times New Roman" w:hAnsi="Times New Roman" w:cs="Times New Roman"/>
          <w:sz w:val="22"/>
        </w:rPr>
        <w:t>UNIVERSITY OF THE WITWATERSRAND</w:t>
      </w:r>
      <w:r w:rsidR="00350BFE" w:rsidRPr="00687E29">
        <w:rPr>
          <w:rFonts w:ascii="Times New Roman" w:hAnsi="Times New Roman" w:cs="Times New Roman"/>
          <w:sz w:val="22"/>
          <w:u w:val="single"/>
        </w:rPr>
        <w:t xml:space="preserve">         </w:t>
      </w:r>
      <w:r w:rsidR="00350BFE" w:rsidRPr="00687E29">
        <w:rPr>
          <w:rFonts w:ascii="Times New Roman" w:hAnsi="Times New Roman" w:cs="Times New Roman"/>
          <w:sz w:val="22"/>
        </w:rPr>
        <w:t xml:space="preserve"> </w:t>
      </w:r>
      <w:r w:rsidR="006332E8" w:rsidRPr="00687E29">
        <w:rPr>
          <w:rFonts w:ascii="Times New Roman" w:hAnsi="Times New Roman" w:cs="Times New Roman"/>
          <w:sz w:val="22"/>
          <w:u w:val="single"/>
        </w:rPr>
        <w:t xml:space="preserve">                                                                     </w:t>
      </w:r>
      <w:r w:rsidR="006332E8" w:rsidRPr="00687E29">
        <w:rPr>
          <w:rFonts w:ascii="Times New Roman" w:hAnsi="Times New Roman" w:cs="Times New Roman"/>
          <w:sz w:val="22"/>
        </w:rPr>
        <w:t xml:space="preserve"> </w:t>
      </w:r>
    </w:p>
    <w:p w14:paraId="37E95EB7" w14:textId="724E46B0" w:rsidR="006332E8" w:rsidRPr="003A1203" w:rsidRDefault="00350BFE" w:rsidP="003A1203">
      <w:pPr>
        <w:spacing w:line="480" w:lineRule="auto"/>
        <w:rPr>
          <w:b/>
        </w:rPr>
      </w:pPr>
      <w:r w:rsidRPr="003A1203">
        <w:rPr>
          <w:rFonts w:ascii="Times New Roman" w:hAnsi="Times New Roman" w:cs="Times New Roman"/>
          <w:b/>
          <w:sz w:val="22"/>
        </w:rPr>
        <w:t xml:space="preserve"> </w:t>
      </w:r>
      <w:r w:rsidR="00CF1087">
        <w:rPr>
          <w:rFonts w:ascii="Times New Roman" w:hAnsi="Times New Roman" w:cs="Times New Roman"/>
          <w:b/>
          <w:sz w:val="22"/>
        </w:rPr>
        <w:t xml:space="preserve">On the </w:t>
      </w:r>
      <w:r w:rsidR="00CF3108">
        <w:rPr>
          <w:rFonts w:ascii="Times New Roman" w:hAnsi="Times New Roman" w:cs="Times New Roman"/>
          <w:b/>
          <w:sz w:val="22"/>
        </w:rPr>
        <w:t>28</w:t>
      </w:r>
      <w:r w:rsidR="006332E8" w:rsidRPr="003A1203">
        <w:rPr>
          <w:rFonts w:ascii="Times New Roman" w:hAnsi="Times New Roman" w:cs="Times New Roman"/>
          <w:b/>
          <w:sz w:val="22"/>
        </w:rPr>
        <w:t xml:space="preserve"> Day of </w:t>
      </w:r>
      <w:r w:rsidR="00CF3108">
        <w:rPr>
          <w:rFonts w:ascii="Times New Roman" w:hAnsi="Times New Roman" w:cs="Times New Roman"/>
          <w:b/>
          <w:sz w:val="22"/>
        </w:rPr>
        <w:t xml:space="preserve">February </w:t>
      </w:r>
      <w:r w:rsidR="006332E8" w:rsidRPr="003A1203">
        <w:rPr>
          <w:rFonts w:ascii="Times New Roman" w:hAnsi="Times New Roman" w:cs="Times New Roman"/>
          <w:b/>
          <w:sz w:val="22"/>
        </w:rPr>
        <w:t>201</w:t>
      </w:r>
      <w:r w:rsidR="00F94EED">
        <w:rPr>
          <w:rFonts w:ascii="Times New Roman" w:hAnsi="Times New Roman" w:cs="Times New Roman"/>
          <w:b/>
          <w:sz w:val="22"/>
        </w:rPr>
        <w:t>8</w:t>
      </w:r>
    </w:p>
    <w:p w14:paraId="0EE361D5" w14:textId="77777777" w:rsidR="00A75B31" w:rsidRPr="003A1203" w:rsidRDefault="00A75B31" w:rsidP="003A1203">
      <w:pPr>
        <w:spacing w:line="480" w:lineRule="auto"/>
        <w:rPr>
          <w:b/>
          <w:sz w:val="22"/>
        </w:rPr>
      </w:pPr>
    </w:p>
    <w:p w14:paraId="442CE991" w14:textId="77777777" w:rsidR="00A75B31" w:rsidRPr="003A1203" w:rsidRDefault="00A75B31" w:rsidP="003A1203">
      <w:pPr>
        <w:spacing w:line="480" w:lineRule="auto"/>
        <w:rPr>
          <w:b/>
          <w:sz w:val="22"/>
        </w:rPr>
      </w:pPr>
    </w:p>
    <w:p w14:paraId="0A093A91" w14:textId="77777777" w:rsidR="00A75B31" w:rsidRPr="003A1203" w:rsidRDefault="00A75B31" w:rsidP="003A1203">
      <w:pPr>
        <w:spacing w:line="480" w:lineRule="auto"/>
        <w:rPr>
          <w:b/>
          <w:sz w:val="22"/>
        </w:rPr>
      </w:pPr>
    </w:p>
    <w:p w14:paraId="1F188CD1" w14:textId="77777777" w:rsidR="00A75B31" w:rsidRDefault="00A75B31" w:rsidP="003A1203">
      <w:pPr>
        <w:spacing w:line="480" w:lineRule="auto"/>
        <w:rPr>
          <w:b/>
          <w:sz w:val="22"/>
        </w:rPr>
      </w:pPr>
    </w:p>
    <w:p w14:paraId="0BDEF3FD" w14:textId="77777777" w:rsidR="003A1203" w:rsidRDefault="003A1203" w:rsidP="003A1203">
      <w:pPr>
        <w:spacing w:line="480" w:lineRule="auto"/>
        <w:rPr>
          <w:b/>
          <w:sz w:val="22"/>
        </w:rPr>
      </w:pPr>
    </w:p>
    <w:p w14:paraId="0342DE05" w14:textId="77777777" w:rsidR="003A1203" w:rsidRPr="003A1203" w:rsidRDefault="003A1203" w:rsidP="003A1203">
      <w:pPr>
        <w:spacing w:line="480" w:lineRule="auto"/>
        <w:rPr>
          <w:b/>
          <w:sz w:val="22"/>
        </w:rPr>
      </w:pPr>
    </w:p>
    <w:p w14:paraId="374C26A1" w14:textId="77777777" w:rsidR="00A75B31" w:rsidRPr="003A1203" w:rsidRDefault="00A75B31" w:rsidP="003A1203">
      <w:pPr>
        <w:spacing w:line="480" w:lineRule="auto"/>
        <w:rPr>
          <w:b/>
          <w:sz w:val="22"/>
        </w:rPr>
      </w:pPr>
    </w:p>
    <w:p w14:paraId="7F72CCE6" w14:textId="77777777" w:rsidR="006B7584" w:rsidRPr="003A1203" w:rsidRDefault="006B7584" w:rsidP="003A1203">
      <w:pPr>
        <w:pStyle w:val="Heading1"/>
        <w:spacing w:after="116" w:line="480" w:lineRule="auto"/>
        <w:ind w:right="6"/>
        <w:jc w:val="center"/>
        <w:rPr>
          <w:rFonts w:ascii="Arial" w:eastAsia="Arial" w:hAnsi="Arial" w:cs="Arial"/>
          <w:color w:val="000000"/>
          <w:sz w:val="24"/>
          <w:szCs w:val="26"/>
        </w:rPr>
      </w:pPr>
      <w:bookmarkStart w:id="1" w:name="_Toc506717748"/>
      <w:r w:rsidRPr="003A1203">
        <w:rPr>
          <w:rFonts w:ascii="Times New Roman" w:hAnsi="Times New Roman" w:cs="Times New Roman"/>
          <w:b/>
          <w:color w:val="auto"/>
          <w:sz w:val="24"/>
          <w:szCs w:val="26"/>
          <w:u w:val="single"/>
        </w:rPr>
        <w:lastRenderedPageBreak/>
        <w:t>ACKNOWLEDGEMENTS</w:t>
      </w:r>
      <w:bookmarkEnd w:id="1"/>
    </w:p>
    <w:p w14:paraId="722B7F4D" w14:textId="77777777" w:rsidR="006B7584" w:rsidRPr="003A1203" w:rsidRDefault="006B7584" w:rsidP="003A1203">
      <w:pPr>
        <w:spacing w:after="316" w:line="480" w:lineRule="auto"/>
        <w:ind w:left="0" w:firstLine="0"/>
        <w:jc w:val="left"/>
        <w:rPr>
          <w:sz w:val="22"/>
        </w:rPr>
      </w:pPr>
      <w:r w:rsidRPr="003A1203">
        <w:rPr>
          <w:sz w:val="22"/>
        </w:rPr>
        <w:t xml:space="preserve"> </w:t>
      </w:r>
    </w:p>
    <w:p w14:paraId="09BF8E9C" w14:textId="0C5E9732" w:rsidR="006B7584" w:rsidRDefault="00C234AE" w:rsidP="003A1203">
      <w:pPr>
        <w:spacing w:line="480" w:lineRule="auto"/>
        <w:rPr>
          <w:rFonts w:ascii="Times New Roman" w:hAnsi="Times New Roman" w:cs="Times New Roman"/>
          <w:sz w:val="22"/>
        </w:rPr>
      </w:pPr>
      <w:r>
        <w:rPr>
          <w:rFonts w:ascii="Times New Roman" w:hAnsi="Times New Roman" w:cs="Times New Roman"/>
          <w:sz w:val="22"/>
        </w:rPr>
        <w:t>I would like to thank the following individuals for their contribution towards the completion of this research paper:</w:t>
      </w:r>
    </w:p>
    <w:p w14:paraId="53072584" w14:textId="6DF03223" w:rsidR="00C234AE" w:rsidRDefault="00C234AE"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Nirupa Padia, Head of the Accountancy School at the University of the Witwatersrand, for granting me the opportunity to spend the year at the School and, in doing so,</w:t>
      </w:r>
      <w:r w:rsidR="008951DB">
        <w:rPr>
          <w:rFonts w:ascii="Times New Roman" w:hAnsi="Times New Roman" w:cs="Times New Roman"/>
          <w:sz w:val="22"/>
        </w:rPr>
        <w:t xml:space="preserve"> providing me with the platform</w:t>
      </w:r>
      <w:r>
        <w:rPr>
          <w:rFonts w:ascii="Times New Roman" w:hAnsi="Times New Roman" w:cs="Times New Roman"/>
          <w:sz w:val="22"/>
        </w:rPr>
        <w:t xml:space="preserve"> to attempt the Master’s programme;</w:t>
      </w:r>
    </w:p>
    <w:p w14:paraId="2858EEB8" w14:textId="2E5DA29C" w:rsidR="00C234AE" w:rsidRDefault="00C234AE"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Andres Merino, my supervisor, for his valuable support</w:t>
      </w:r>
      <w:r w:rsidR="00CF3108">
        <w:rPr>
          <w:rFonts w:ascii="Times New Roman" w:hAnsi="Times New Roman" w:cs="Times New Roman"/>
          <w:sz w:val="22"/>
        </w:rPr>
        <w:t>, motivation</w:t>
      </w:r>
      <w:r>
        <w:rPr>
          <w:rFonts w:ascii="Times New Roman" w:hAnsi="Times New Roman" w:cs="Times New Roman"/>
          <w:sz w:val="22"/>
        </w:rPr>
        <w:t xml:space="preserve"> and guidance. Without this support I would not have been able to produce this paper;</w:t>
      </w:r>
    </w:p>
    <w:p w14:paraId="0CED8A2F" w14:textId="13AA2DF0" w:rsidR="008951DB" w:rsidRDefault="008951DB"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Ezekiel Lengaram for his outstanding assistance with the work done on Stata to produce the</w:t>
      </w:r>
      <w:r w:rsidR="007A6B98">
        <w:rPr>
          <w:rFonts w:ascii="Times New Roman" w:hAnsi="Times New Roman" w:cs="Times New Roman"/>
          <w:sz w:val="22"/>
        </w:rPr>
        <w:t xml:space="preserve"> statistical results</w:t>
      </w:r>
      <w:r>
        <w:rPr>
          <w:rFonts w:ascii="Times New Roman" w:hAnsi="Times New Roman" w:cs="Times New Roman"/>
          <w:sz w:val="22"/>
        </w:rPr>
        <w:t xml:space="preserve"> seen in </w:t>
      </w:r>
      <w:r w:rsidR="007A6B98">
        <w:rPr>
          <w:rFonts w:ascii="Times New Roman" w:hAnsi="Times New Roman" w:cs="Times New Roman"/>
          <w:sz w:val="22"/>
        </w:rPr>
        <w:t>Chapter 4</w:t>
      </w:r>
      <w:r>
        <w:rPr>
          <w:rFonts w:ascii="Times New Roman" w:hAnsi="Times New Roman" w:cs="Times New Roman"/>
          <w:sz w:val="22"/>
        </w:rPr>
        <w:t>;</w:t>
      </w:r>
    </w:p>
    <w:p w14:paraId="20E4167C" w14:textId="41CD01A1" w:rsidR="00C234AE" w:rsidRDefault="008951DB"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M</w:t>
      </w:r>
      <w:r w:rsidR="00C234AE">
        <w:rPr>
          <w:rFonts w:ascii="Times New Roman" w:hAnsi="Times New Roman" w:cs="Times New Roman"/>
          <w:sz w:val="22"/>
        </w:rPr>
        <w:t xml:space="preserve">y fellow 2017 Academic Trainees for </w:t>
      </w:r>
      <w:r>
        <w:rPr>
          <w:rFonts w:ascii="Times New Roman" w:hAnsi="Times New Roman" w:cs="Times New Roman"/>
          <w:sz w:val="22"/>
        </w:rPr>
        <w:t>the wonderful</w:t>
      </w:r>
      <w:r w:rsidR="00C234AE">
        <w:rPr>
          <w:rFonts w:ascii="Times New Roman" w:hAnsi="Times New Roman" w:cs="Times New Roman"/>
          <w:sz w:val="22"/>
        </w:rPr>
        <w:t xml:space="preserve"> time we had in class gaining the tools</w:t>
      </w:r>
      <w:r>
        <w:rPr>
          <w:rFonts w:ascii="Times New Roman" w:hAnsi="Times New Roman" w:cs="Times New Roman"/>
          <w:sz w:val="22"/>
        </w:rPr>
        <w:t xml:space="preserve"> necessary</w:t>
      </w:r>
      <w:r w:rsidR="00CF3108">
        <w:rPr>
          <w:rFonts w:ascii="Times New Roman" w:hAnsi="Times New Roman" w:cs="Times New Roman"/>
          <w:sz w:val="22"/>
        </w:rPr>
        <w:t xml:space="preserve"> to complete this</w:t>
      </w:r>
      <w:r w:rsidR="00C234AE">
        <w:rPr>
          <w:rFonts w:ascii="Times New Roman" w:hAnsi="Times New Roman" w:cs="Times New Roman"/>
          <w:sz w:val="22"/>
        </w:rPr>
        <w:t xml:space="preserve"> project;</w:t>
      </w:r>
    </w:p>
    <w:p w14:paraId="3337C1B8" w14:textId="59EBA758" w:rsidR="00C234AE" w:rsidRDefault="008951DB"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My parents, Manuel Pequenino and Elisabete Pequenino, for their support throughout all the stressful times and;</w:t>
      </w:r>
    </w:p>
    <w:p w14:paraId="7936B1DF" w14:textId="76DE0E7C" w:rsidR="008951DB" w:rsidRDefault="008951DB" w:rsidP="008E5542">
      <w:pPr>
        <w:pStyle w:val="ListParagraph"/>
        <w:numPr>
          <w:ilvl w:val="0"/>
          <w:numId w:val="6"/>
        </w:numPr>
        <w:spacing w:line="480" w:lineRule="auto"/>
        <w:rPr>
          <w:rFonts w:ascii="Times New Roman" w:hAnsi="Times New Roman" w:cs="Times New Roman"/>
          <w:sz w:val="22"/>
        </w:rPr>
      </w:pPr>
      <w:r>
        <w:rPr>
          <w:rFonts w:ascii="Times New Roman" w:hAnsi="Times New Roman" w:cs="Times New Roman"/>
          <w:sz w:val="22"/>
        </w:rPr>
        <w:t>My girlfriend, Jennifer De Franca, for her constant encouragement</w:t>
      </w:r>
      <w:r w:rsidR="00CF3108">
        <w:rPr>
          <w:rFonts w:ascii="Times New Roman" w:hAnsi="Times New Roman" w:cs="Times New Roman"/>
          <w:sz w:val="22"/>
        </w:rPr>
        <w:t xml:space="preserve"> in keeping me focused on my ultimate goal of finishing this research paper.</w:t>
      </w:r>
      <w:r>
        <w:rPr>
          <w:rFonts w:ascii="Times New Roman" w:hAnsi="Times New Roman" w:cs="Times New Roman"/>
          <w:sz w:val="22"/>
        </w:rPr>
        <w:t xml:space="preserve"> </w:t>
      </w:r>
    </w:p>
    <w:p w14:paraId="23DB02AD" w14:textId="77777777" w:rsidR="008951DB" w:rsidRPr="008E5542" w:rsidRDefault="008951DB" w:rsidP="008E5542">
      <w:pPr>
        <w:spacing w:line="480" w:lineRule="auto"/>
        <w:ind w:left="0" w:firstLine="0"/>
        <w:rPr>
          <w:rFonts w:ascii="Times New Roman" w:hAnsi="Times New Roman" w:cs="Times New Roman"/>
          <w:sz w:val="22"/>
        </w:rPr>
      </w:pPr>
    </w:p>
    <w:p w14:paraId="14CE9DDD" w14:textId="77777777" w:rsidR="006B7584" w:rsidRPr="003A1203" w:rsidRDefault="006B7584" w:rsidP="003A1203">
      <w:pPr>
        <w:spacing w:line="480" w:lineRule="auto"/>
        <w:rPr>
          <w:b/>
          <w:sz w:val="22"/>
        </w:rPr>
      </w:pPr>
    </w:p>
    <w:p w14:paraId="558ADAAF" w14:textId="77777777" w:rsidR="006B7584" w:rsidRPr="003A1203" w:rsidRDefault="006B7584" w:rsidP="003A1203">
      <w:pPr>
        <w:spacing w:line="480" w:lineRule="auto"/>
        <w:rPr>
          <w:b/>
          <w:sz w:val="22"/>
        </w:rPr>
      </w:pPr>
    </w:p>
    <w:p w14:paraId="4AF45CA4" w14:textId="77777777" w:rsidR="006B7584" w:rsidRPr="003A1203" w:rsidRDefault="006B7584" w:rsidP="003A1203">
      <w:pPr>
        <w:spacing w:line="480" w:lineRule="auto"/>
        <w:rPr>
          <w:b/>
          <w:sz w:val="22"/>
        </w:rPr>
      </w:pPr>
    </w:p>
    <w:p w14:paraId="1B92DD17" w14:textId="77777777" w:rsidR="006B7584" w:rsidRPr="003A1203" w:rsidRDefault="006B7584" w:rsidP="003A1203">
      <w:pPr>
        <w:spacing w:line="480" w:lineRule="auto"/>
        <w:rPr>
          <w:b/>
          <w:sz w:val="22"/>
        </w:rPr>
      </w:pPr>
    </w:p>
    <w:p w14:paraId="6C388934" w14:textId="77777777" w:rsidR="006B7584" w:rsidRPr="003A1203" w:rsidRDefault="006B7584" w:rsidP="003A1203">
      <w:pPr>
        <w:spacing w:line="480" w:lineRule="auto"/>
        <w:rPr>
          <w:b/>
          <w:sz w:val="22"/>
        </w:rPr>
      </w:pPr>
    </w:p>
    <w:p w14:paraId="367CD541" w14:textId="77777777" w:rsidR="006B7584" w:rsidRDefault="006B7584" w:rsidP="00536234">
      <w:pPr>
        <w:pStyle w:val="Heading1"/>
        <w:spacing w:after="116" w:line="480" w:lineRule="auto"/>
        <w:ind w:left="0"/>
        <w:jc w:val="center"/>
        <w:rPr>
          <w:rFonts w:ascii="Times New Roman" w:hAnsi="Times New Roman" w:cs="Times New Roman"/>
          <w:b/>
          <w:color w:val="auto"/>
          <w:sz w:val="24"/>
          <w:szCs w:val="26"/>
          <w:u w:val="single"/>
        </w:rPr>
      </w:pPr>
      <w:bookmarkStart w:id="2" w:name="_Toc506717749"/>
      <w:bookmarkStart w:id="3" w:name="_Toc419063"/>
      <w:r w:rsidRPr="003A1203">
        <w:rPr>
          <w:rFonts w:ascii="Times New Roman" w:hAnsi="Times New Roman" w:cs="Times New Roman"/>
          <w:b/>
          <w:color w:val="auto"/>
          <w:sz w:val="24"/>
          <w:szCs w:val="26"/>
          <w:u w:val="single"/>
        </w:rPr>
        <w:lastRenderedPageBreak/>
        <w:t>ABSTRACT</w:t>
      </w:r>
      <w:bookmarkEnd w:id="2"/>
      <w:r w:rsidRPr="003A1203">
        <w:rPr>
          <w:rFonts w:ascii="Times New Roman" w:hAnsi="Times New Roman" w:cs="Times New Roman"/>
          <w:b/>
          <w:color w:val="auto"/>
          <w:sz w:val="24"/>
          <w:szCs w:val="26"/>
          <w:u w:val="single"/>
        </w:rPr>
        <w:t xml:space="preserve"> </w:t>
      </w:r>
      <w:bookmarkEnd w:id="3"/>
    </w:p>
    <w:p w14:paraId="6E0DEDCF" w14:textId="77777777" w:rsidR="00BE229E" w:rsidRPr="00BE229E" w:rsidRDefault="00BE229E" w:rsidP="00536234">
      <w:pPr>
        <w:spacing w:line="480" w:lineRule="auto"/>
        <w:ind w:left="0"/>
        <w:rPr>
          <w:rFonts w:ascii="Times New Roman" w:hAnsi="Times New Roman" w:cs="Times New Roman"/>
          <w:sz w:val="22"/>
        </w:rPr>
      </w:pPr>
      <w:r w:rsidRPr="00BE229E">
        <w:rPr>
          <w:rFonts w:ascii="Times New Roman" w:hAnsi="Times New Roman" w:cs="Times New Roman"/>
          <w:sz w:val="22"/>
        </w:rPr>
        <w:t>Broad-Based Black Economic Empowerment (BBBEE) has played a significant role in the transformation of the South African economy. One way in which this has been done is through the</w:t>
      </w:r>
      <w:r w:rsidR="000155C8">
        <w:rPr>
          <w:rFonts w:ascii="Times New Roman" w:hAnsi="Times New Roman" w:cs="Times New Roman"/>
          <w:sz w:val="22"/>
        </w:rPr>
        <w:t xml:space="preserve"> promotion of ownership by</w:t>
      </w:r>
      <w:r w:rsidRPr="00BE229E">
        <w:rPr>
          <w:rFonts w:ascii="Times New Roman" w:hAnsi="Times New Roman" w:cs="Times New Roman"/>
          <w:sz w:val="22"/>
        </w:rPr>
        <w:t xml:space="preserve"> individuals previously disadvantaged under the Apartheid system. These BBBEE ownership promotions schemes are typically highly leveraged and require substantial a</w:t>
      </w:r>
      <w:r w:rsidR="000155C8">
        <w:rPr>
          <w:rFonts w:ascii="Times New Roman" w:hAnsi="Times New Roman" w:cs="Times New Roman"/>
          <w:sz w:val="22"/>
        </w:rPr>
        <w:t>s well as</w:t>
      </w:r>
      <w:r w:rsidRPr="00BE229E">
        <w:rPr>
          <w:rFonts w:ascii="Times New Roman" w:hAnsi="Times New Roman" w:cs="Times New Roman"/>
          <w:sz w:val="22"/>
        </w:rPr>
        <w:t xml:space="preserve"> sustained dividend pay-outs to remain liquid. This may place additional pressure on firms with such BBBEE deals to adopt a more aggressive dividend policy. A panel data regression model was used to test whether firms with BBBEE deals do in fact have higher dividend pay-out ratios, after controlling for the other major determinant of dividend policy (Company Size, Capital Structure, Growth and Investment Opportunities, Liquidity, Profitability and Johannesburg Securities Exchange (JSE) Sector). The panel data regression model was run for </w:t>
      </w:r>
      <w:r w:rsidR="00090535">
        <w:rPr>
          <w:rFonts w:ascii="Times New Roman" w:hAnsi="Times New Roman" w:cs="Times New Roman"/>
          <w:sz w:val="22"/>
        </w:rPr>
        <w:t>JSE listed companies</w:t>
      </w:r>
      <w:r w:rsidRPr="00BE229E">
        <w:rPr>
          <w:rFonts w:ascii="Times New Roman" w:hAnsi="Times New Roman" w:cs="Times New Roman"/>
          <w:sz w:val="22"/>
        </w:rPr>
        <w:t xml:space="preserve"> from the year 1999 to 2006.</w:t>
      </w:r>
      <w:r w:rsidR="00090535">
        <w:rPr>
          <w:rFonts w:ascii="Times New Roman" w:hAnsi="Times New Roman" w:cs="Times New Roman"/>
          <w:sz w:val="22"/>
        </w:rPr>
        <w:t xml:space="preserve"> These years of study were selected in order to control for taxation on dividends as this period represented the largest period </w:t>
      </w:r>
      <w:r w:rsidR="0016568F">
        <w:rPr>
          <w:rFonts w:ascii="Times New Roman" w:hAnsi="Times New Roman" w:cs="Times New Roman"/>
          <w:sz w:val="22"/>
        </w:rPr>
        <w:t xml:space="preserve">for </w:t>
      </w:r>
      <w:r w:rsidR="00090535">
        <w:rPr>
          <w:rFonts w:ascii="Times New Roman" w:hAnsi="Times New Roman" w:cs="Times New Roman"/>
          <w:sz w:val="22"/>
        </w:rPr>
        <w:t>which data could be obtained, and for which tax consequences on dividends remained the same.</w:t>
      </w:r>
      <w:r w:rsidRPr="00BE229E">
        <w:rPr>
          <w:rFonts w:ascii="Times New Roman" w:hAnsi="Times New Roman" w:cs="Times New Roman"/>
          <w:sz w:val="22"/>
        </w:rPr>
        <w:t xml:space="preserve"> The results for the regression model found</w:t>
      </w:r>
      <w:r w:rsidR="000155C8">
        <w:rPr>
          <w:rFonts w:ascii="Times New Roman" w:hAnsi="Times New Roman" w:cs="Times New Roman"/>
          <w:sz w:val="22"/>
        </w:rPr>
        <w:t xml:space="preserve"> that</w:t>
      </w:r>
      <w:r w:rsidRPr="00BE229E">
        <w:rPr>
          <w:rFonts w:ascii="Times New Roman" w:hAnsi="Times New Roman" w:cs="Times New Roman"/>
          <w:sz w:val="22"/>
        </w:rPr>
        <w:t xml:space="preserve">, on average and while controlling for other factors influencing dividend pay-out, the dividend pay-out ratio for companies’ party to a BBBEE deal increased by 7.9% after implementation of the deal.  These finding </w:t>
      </w:r>
      <w:r w:rsidR="00090535">
        <w:rPr>
          <w:rFonts w:ascii="Times New Roman" w:hAnsi="Times New Roman" w:cs="Times New Roman"/>
          <w:sz w:val="22"/>
        </w:rPr>
        <w:t>imply that the liquidity of companies may be compromised which could have adverse effects for companies, investors and the overall economy as a whole</w:t>
      </w:r>
      <w:r w:rsidRPr="00BE229E">
        <w:rPr>
          <w:rFonts w:ascii="Times New Roman" w:hAnsi="Times New Roman" w:cs="Times New Roman"/>
          <w:sz w:val="22"/>
        </w:rPr>
        <w:t>. Implications for companies include liquidity and bankruptcy concerns as a result of paying out more cash as dividends. Investors, on the other hand, will have to consider whether an increased dividend pay-out ratio is desirable to them, or whether they should seek alternative investments offering higher capital appreciation and less dividend payments. Lastly, the overall economy could suffer from lower growth as a result companies paying higher dividends and keeping less cash on hand to be used for</w:t>
      </w:r>
      <w:r w:rsidR="000155C8">
        <w:rPr>
          <w:rFonts w:ascii="Times New Roman" w:hAnsi="Times New Roman" w:cs="Times New Roman"/>
          <w:sz w:val="22"/>
        </w:rPr>
        <w:t xml:space="preserve"> the purpose of</w:t>
      </w:r>
      <w:r w:rsidRPr="00BE229E">
        <w:rPr>
          <w:rFonts w:ascii="Times New Roman" w:hAnsi="Times New Roman" w:cs="Times New Roman"/>
          <w:sz w:val="22"/>
        </w:rPr>
        <w:t xml:space="preserve"> fixed asset investment.</w:t>
      </w:r>
    </w:p>
    <w:p w14:paraId="27691E2E" w14:textId="77777777" w:rsidR="006B7584" w:rsidRPr="00BE229E" w:rsidRDefault="00BE229E" w:rsidP="00536234">
      <w:pPr>
        <w:spacing w:line="480" w:lineRule="auto"/>
        <w:ind w:left="0"/>
        <w:rPr>
          <w:rFonts w:ascii="Times New Roman" w:hAnsi="Times New Roman" w:cs="Times New Roman"/>
          <w:sz w:val="22"/>
        </w:rPr>
      </w:pPr>
      <w:r w:rsidRPr="00BE229E">
        <w:rPr>
          <w:rFonts w:ascii="Times New Roman" w:hAnsi="Times New Roman" w:cs="Times New Roman"/>
          <w:b/>
          <w:sz w:val="22"/>
        </w:rPr>
        <w:t>Keywords:</w:t>
      </w:r>
      <w:r w:rsidRPr="00BE229E">
        <w:rPr>
          <w:rFonts w:ascii="Times New Roman" w:hAnsi="Times New Roman" w:cs="Times New Roman"/>
          <w:sz w:val="22"/>
        </w:rPr>
        <w:t xml:space="preserve"> Broad-B</w:t>
      </w:r>
      <w:r w:rsidR="00090535">
        <w:rPr>
          <w:rFonts w:ascii="Times New Roman" w:hAnsi="Times New Roman" w:cs="Times New Roman"/>
          <w:sz w:val="22"/>
        </w:rPr>
        <w:t>ased Black Economic Empowerment</w:t>
      </w:r>
      <w:r w:rsidRPr="00BE229E">
        <w:rPr>
          <w:rFonts w:ascii="Times New Roman" w:hAnsi="Times New Roman" w:cs="Times New Roman"/>
          <w:sz w:val="22"/>
        </w:rPr>
        <w:t xml:space="preserve"> </w:t>
      </w:r>
      <w:r w:rsidR="00090535">
        <w:rPr>
          <w:rFonts w:ascii="Times New Roman" w:hAnsi="Times New Roman" w:cs="Times New Roman"/>
          <w:sz w:val="22"/>
        </w:rPr>
        <w:t>(</w:t>
      </w:r>
      <w:r w:rsidRPr="00BE229E">
        <w:rPr>
          <w:rFonts w:ascii="Times New Roman" w:hAnsi="Times New Roman" w:cs="Times New Roman"/>
          <w:sz w:val="22"/>
        </w:rPr>
        <w:t>BBBEE</w:t>
      </w:r>
      <w:r w:rsidR="00090535">
        <w:rPr>
          <w:rFonts w:ascii="Times New Roman" w:hAnsi="Times New Roman" w:cs="Times New Roman"/>
          <w:sz w:val="22"/>
        </w:rPr>
        <w:t>)</w:t>
      </w:r>
      <w:r w:rsidRPr="00BE229E">
        <w:rPr>
          <w:rFonts w:ascii="Times New Roman" w:hAnsi="Times New Roman" w:cs="Times New Roman"/>
          <w:sz w:val="22"/>
        </w:rPr>
        <w:t>, Dividend Policy, Dividend Pay-out</w:t>
      </w:r>
      <w:r w:rsidR="00A66B71">
        <w:rPr>
          <w:rFonts w:ascii="Times New Roman" w:hAnsi="Times New Roman" w:cs="Times New Roman"/>
          <w:sz w:val="22"/>
        </w:rPr>
        <w:t xml:space="preserve"> in South Africa</w:t>
      </w:r>
      <w:r w:rsidRPr="00BE229E">
        <w:rPr>
          <w:rFonts w:ascii="Times New Roman" w:hAnsi="Times New Roman" w:cs="Times New Roman"/>
          <w:sz w:val="22"/>
        </w:rPr>
        <w:t xml:space="preserve">, </w:t>
      </w:r>
      <w:r w:rsidR="00AC6C2E">
        <w:rPr>
          <w:rFonts w:ascii="Times New Roman" w:hAnsi="Times New Roman" w:cs="Times New Roman"/>
          <w:sz w:val="22"/>
        </w:rPr>
        <w:t>Minorities</w:t>
      </w:r>
      <w:r w:rsidRPr="00BE229E">
        <w:rPr>
          <w:rFonts w:ascii="Times New Roman" w:hAnsi="Times New Roman" w:cs="Times New Roman"/>
          <w:sz w:val="22"/>
        </w:rPr>
        <w:t>.</w:t>
      </w:r>
    </w:p>
    <w:p w14:paraId="06B7877B" w14:textId="77777777" w:rsidR="00095351" w:rsidRPr="00BE229E" w:rsidRDefault="00095351" w:rsidP="00536234">
      <w:pPr>
        <w:spacing w:line="480" w:lineRule="auto"/>
        <w:ind w:left="0"/>
        <w:rPr>
          <w:rFonts w:ascii="Times New Roman" w:hAnsi="Times New Roman" w:cs="Times New Roman"/>
          <w:sz w:val="22"/>
        </w:rPr>
      </w:pPr>
    </w:p>
    <w:sdt>
      <w:sdtPr>
        <w:rPr>
          <w:rFonts w:ascii="Times New Roman" w:eastAsia="Arial" w:hAnsi="Times New Roman" w:cs="Times New Roman"/>
          <w:color w:val="000000"/>
          <w:sz w:val="24"/>
          <w:szCs w:val="22"/>
          <w:lang w:val="en-ZA" w:eastAsia="en-ZA"/>
        </w:rPr>
        <w:id w:val="-1099476413"/>
        <w:docPartObj>
          <w:docPartGallery w:val="Table of Contents"/>
          <w:docPartUnique/>
        </w:docPartObj>
      </w:sdtPr>
      <w:sdtEndPr>
        <w:rPr>
          <w:b/>
          <w:bCs/>
          <w:noProof/>
        </w:rPr>
      </w:sdtEndPr>
      <w:sdtContent>
        <w:p w14:paraId="49D53913" w14:textId="77777777" w:rsidR="00095351" w:rsidRDefault="00095351" w:rsidP="00536234">
          <w:pPr>
            <w:pStyle w:val="TOCHeading"/>
            <w:jc w:val="center"/>
            <w:rPr>
              <w:rFonts w:ascii="Times New Roman" w:hAnsi="Times New Roman" w:cs="Times New Roman"/>
              <w:b/>
              <w:color w:val="auto"/>
              <w:sz w:val="28"/>
              <w:u w:val="single"/>
            </w:rPr>
          </w:pPr>
          <w:r w:rsidRPr="00095351">
            <w:rPr>
              <w:rFonts w:ascii="Times New Roman" w:hAnsi="Times New Roman" w:cs="Times New Roman"/>
              <w:b/>
              <w:color w:val="auto"/>
              <w:sz w:val="28"/>
              <w:u w:val="single"/>
            </w:rPr>
            <w:t>TABLE OF CONTENTS</w:t>
          </w:r>
        </w:p>
        <w:p w14:paraId="75DCD1B3" w14:textId="77777777" w:rsidR="00BC15EF" w:rsidRDefault="00095351">
          <w:pPr>
            <w:pStyle w:val="TOC1"/>
            <w:tabs>
              <w:tab w:val="right" w:leader="dot" w:pos="9016"/>
            </w:tabs>
            <w:rPr>
              <w:rFonts w:eastAsiaTheme="minorEastAsia"/>
              <w:noProof/>
              <w:lang w:eastAsia="en-ZA"/>
            </w:rPr>
          </w:pPr>
          <w:r w:rsidRPr="00095351">
            <w:rPr>
              <w:rFonts w:ascii="Times New Roman" w:hAnsi="Times New Roman" w:cs="Times New Roman"/>
            </w:rPr>
            <w:fldChar w:fldCharType="begin"/>
          </w:r>
          <w:r w:rsidRPr="00095351">
            <w:rPr>
              <w:rFonts w:ascii="Times New Roman" w:hAnsi="Times New Roman" w:cs="Times New Roman"/>
            </w:rPr>
            <w:instrText xml:space="preserve"> TOC \o "1-3" \h \z \u </w:instrText>
          </w:r>
          <w:r w:rsidRPr="00095351">
            <w:rPr>
              <w:rFonts w:ascii="Times New Roman" w:hAnsi="Times New Roman" w:cs="Times New Roman"/>
            </w:rPr>
            <w:fldChar w:fldCharType="separate"/>
          </w:r>
          <w:hyperlink w:anchor="_Toc506717747" w:history="1">
            <w:r w:rsidR="00BC15EF" w:rsidRPr="001B5A8E">
              <w:rPr>
                <w:rStyle w:val="Hyperlink"/>
                <w:rFonts w:ascii="Times New Roman" w:hAnsi="Times New Roman" w:cs="Times New Roman"/>
                <w:b/>
                <w:noProof/>
              </w:rPr>
              <w:t>DECLARATION</w:t>
            </w:r>
            <w:r w:rsidR="00BC15EF">
              <w:rPr>
                <w:noProof/>
                <w:webHidden/>
              </w:rPr>
              <w:tab/>
            </w:r>
            <w:r w:rsidR="00BC15EF">
              <w:rPr>
                <w:noProof/>
                <w:webHidden/>
              </w:rPr>
              <w:fldChar w:fldCharType="begin"/>
            </w:r>
            <w:r w:rsidR="00BC15EF">
              <w:rPr>
                <w:noProof/>
                <w:webHidden/>
              </w:rPr>
              <w:instrText xml:space="preserve"> PAGEREF _Toc506717747 \h </w:instrText>
            </w:r>
            <w:r w:rsidR="00BC15EF">
              <w:rPr>
                <w:noProof/>
                <w:webHidden/>
              </w:rPr>
            </w:r>
            <w:r w:rsidR="00BC15EF">
              <w:rPr>
                <w:noProof/>
                <w:webHidden/>
              </w:rPr>
              <w:fldChar w:fldCharType="separate"/>
            </w:r>
            <w:r w:rsidR="00BC15EF">
              <w:rPr>
                <w:noProof/>
                <w:webHidden/>
              </w:rPr>
              <w:t>1</w:t>
            </w:r>
            <w:r w:rsidR="00BC15EF">
              <w:rPr>
                <w:noProof/>
                <w:webHidden/>
              </w:rPr>
              <w:fldChar w:fldCharType="end"/>
            </w:r>
          </w:hyperlink>
        </w:p>
        <w:p w14:paraId="3365C9AC" w14:textId="77777777" w:rsidR="00BC15EF" w:rsidRDefault="004A65CA">
          <w:pPr>
            <w:pStyle w:val="TOC1"/>
            <w:tabs>
              <w:tab w:val="right" w:leader="dot" w:pos="9016"/>
            </w:tabs>
            <w:rPr>
              <w:rFonts w:eastAsiaTheme="minorEastAsia"/>
              <w:noProof/>
              <w:lang w:eastAsia="en-ZA"/>
            </w:rPr>
          </w:pPr>
          <w:hyperlink w:anchor="_Toc506717748" w:history="1">
            <w:r w:rsidR="00BC15EF" w:rsidRPr="001B5A8E">
              <w:rPr>
                <w:rStyle w:val="Hyperlink"/>
                <w:rFonts w:ascii="Times New Roman" w:hAnsi="Times New Roman" w:cs="Times New Roman"/>
                <w:b/>
                <w:noProof/>
              </w:rPr>
              <w:t>ACKNOWLEDGEMENTS</w:t>
            </w:r>
            <w:r w:rsidR="00BC15EF">
              <w:rPr>
                <w:noProof/>
                <w:webHidden/>
              </w:rPr>
              <w:tab/>
            </w:r>
            <w:r w:rsidR="00BC15EF">
              <w:rPr>
                <w:noProof/>
                <w:webHidden/>
              </w:rPr>
              <w:fldChar w:fldCharType="begin"/>
            </w:r>
            <w:r w:rsidR="00BC15EF">
              <w:rPr>
                <w:noProof/>
                <w:webHidden/>
              </w:rPr>
              <w:instrText xml:space="preserve"> PAGEREF _Toc506717748 \h </w:instrText>
            </w:r>
            <w:r w:rsidR="00BC15EF">
              <w:rPr>
                <w:noProof/>
                <w:webHidden/>
              </w:rPr>
            </w:r>
            <w:r w:rsidR="00BC15EF">
              <w:rPr>
                <w:noProof/>
                <w:webHidden/>
              </w:rPr>
              <w:fldChar w:fldCharType="separate"/>
            </w:r>
            <w:r w:rsidR="00BC15EF">
              <w:rPr>
                <w:noProof/>
                <w:webHidden/>
              </w:rPr>
              <w:t>2</w:t>
            </w:r>
            <w:r w:rsidR="00BC15EF">
              <w:rPr>
                <w:noProof/>
                <w:webHidden/>
              </w:rPr>
              <w:fldChar w:fldCharType="end"/>
            </w:r>
          </w:hyperlink>
        </w:p>
        <w:p w14:paraId="62F698E2" w14:textId="77777777" w:rsidR="00BC15EF" w:rsidRDefault="004A65CA">
          <w:pPr>
            <w:pStyle w:val="TOC1"/>
            <w:tabs>
              <w:tab w:val="right" w:leader="dot" w:pos="9016"/>
            </w:tabs>
            <w:rPr>
              <w:rFonts w:eastAsiaTheme="minorEastAsia"/>
              <w:noProof/>
              <w:lang w:eastAsia="en-ZA"/>
            </w:rPr>
          </w:pPr>
          <w:hyperlink w:anchor="_Toc506717749" w:history="1">
            <w:r w:rsidR="00BC15EF" w:rsidRPr="001B5A8E">
              <w:rPr>
                <w:rStyle w:val="Hyperlink"/>
                <w:rFonts w:ascii="Times New Roman" w:hAnsi="Times New Roman" w:cs="Times New Roman"/>
                <w:b/>
                <w:noProof/>
              </w:rPr>
              <w:t>ABSTRACT</w:t>
            </w:r>
            <w:r w:rsidR="00BC15EF">
              <w:rPr>
                <w:noProof/>
                <w:webHidden/>
              </w:rPr>
              <w:tab/>
            </w:r>
            <w:r w:rsidR="00BC15EF">
              <w:rPr>
                <w:noProof/>
                <w:webHidden/>
              </w:rPr>
              <w:fldChar w:fldCharType="begin"/>
            </w:r>
            <w:r w:rsidR="00BC15EF">
              <w:rPr>
                <w:noProof/>
                <w:webHidden/>
              </w:rPr>
              <w:instrText xml:space="preserve"> PAGEREF _Toc506717749 \h </w:instrText>
            </w:r>
            <w:r w:rsidR="00BC15EF">
              <w:rPr>
                <w:noProof/>
                <w:webHidden/>
              </w:rPr>
            </w:r>
            <w:r w:rsidR="00BC15EF">
              <w:rPr>
                <w:noProof/>
                <w:webHidden/>
              </w:rPr>
              <w:fldChar w:fldCharType="separate"/>
            </w:r>
            <w:r w:rsidR="00BC15EF">
              <w:rPr>
                <w:noProof/>
                <w:webHidden/>
              </w:rPr>
              <w:t>3</w:t>
            </w:r>
            <w:r w:rsidR="00BC15EF">
              <w:rPr>
                <w:noProof/>
                <w:webHidden/>
              </w:rPr>
              <w:fldChar w:fldCharType="end"/>
            </w:r>
          </w:hyperlink>
        </w:p>
        <w:p w14:paraId="2954084B" w14:textId="77777777" w:rsidR="00BC15EF" w:rsidRDefault="004A65CA">
          <w:pPr>
            <w:pStyle w:val="TOC1"/>
            <w:tabs>
              <w:tab w:val="right" w:leader="dot" w:pos="9016"/>
            </w:tabs>
            <w:rPr>
              <w:rFonts w:eastAsiaTheme="minorEastAsia"/>
              <w:noProof/>
              <w:lang w:eastAsia="en-ZA"/>
            </w:rPr>
          </w:pPr>
          <w:hyperlink w:anchor="_Toc506717750" w:history="1">
            <w:r w:rsidR="00BC15EF" w:rsidRPr="001B5A8E">
              <w:rPr>
                <w:rStyle w:val="Hyperlink"/>
                <w:rFonts w:ascii="Times New Roman" w:hAnsi="Times New Roman" w:cs="Times New Roman"/>
                <w:b/>
                <w:noProof/>
              </w:rPr>
              <w:t>CHAPTER 1 - INTRODUCTION</w:t>
            </w:r>
            <w:r w:rsidR="00BC15EF">
              <w:rPr>
                <w:noProof/>
                <w:webHidden/>
              </w:rPr>
              <w:tab/>
            </w:r>
            <w:r w:rsidR="00BC15EF">
              <w:rPr>
                <w:noProof/>
                <w:webHidden/>
              </w:rPr>
              <w:fldChar w:fldCharType="begin"/>
            </w:r>
            <w:r w:rsidR="00BC15EF">
              <w:rPr>
                <w:noProof/>
                <w:webHidden/>
              </w:rPr>
              <w:instrText xml:space="preserve"> PAGEREF _Toc506717750 \h </w:instrText>
            </w:r>
            <w:r w:rsidR="00BC15EF">
              <w:rPr>
                <w:noProof/>
                <w:webHidden/>
              </w:rPr>
            </w:r>
            <w:r w:rsidR="00BC15EF">
              <w:rPr>
                <w:noProof/>
                <w:webHidden/>
              </w:rPr>
              <w:fldChar w:fldCharType="separate"/>
            </w:r>
            <w:r w:rsidR="00BC15EF">
              <w:rPr>
                <w:noProof/>
                <w:webHidden/>
              </w:rPr>
              <w:t>8</w:t>
            </w:r>
            <w:r w:rsidR="00BC15EF">
              <w:rPr>
                <w:noProof/>
                <w:webHidden/>
              </w:rPr>
              <w:fldChar w:fldCharType="end"/>
            </w:r>
          </w:hyperlink>
        </w:p>
        <w:p w14:paraId="17CEF832" w14:textId="77777777" w:rsidR="00BC15EF" w:rsidRDefault="004A65CA">
          <w:pPr>
            <w:pStyle w:val="TOC2"/>
            <w:tabs>
              <w:tab w:val="left" w:pos="880"/>
              <w:tab w:val="right" w:leader="dot" w:pos="9016"/>
            </w:tabs>
            <w:rPr>
              <w:rFonts w:eastAsiaTheme="minorEastAsia"/>
              <w:noProof/>
              <w:lang w:eastAsia="en-ZA"/>
            </w:rPr>
          </w:pPr>
          <w:hyperlink w:anchor="_Toc506717751" w:history="1">
            <w:r w:rsidR="00BC15EF" w:rsidRPr="001B5A8E">
              <w:rPr>
                <w:rStyle w:val="Hyperlink"/>
                <w:rFonts w:ascii="Times New Roman" w:hAnsi="Times New Roman" w:cs="Times New Roman"/>
                <w:b/>
                <w:noProof/>
              </w:rPr>
              <w:t>1.1</w:t>
            </w:r>
            <w:r w:rsidR="00BC15EF">
              <w:rPr>
                <w:rFonts w:eastAsiaTheme="minorEastAsia"/>
                <w:noProof/>
                <w:lang w:eastAsia="en-ZA"/>
              </w:rPr>
              <w:tab/>
            </w:r>
            <w:r w:rsidR="00BC15EF" w:rsidRPr="001B5A8E">
              <w:rPr>
                <w:rStyle w:val="Hyperlink"/>
                <w:rFonts w:ascii="Times New Roman" w:hAnsi="Times New Roman" w:cs="Times New Roman"/>
                <w:b/>
                <w:noProof/>
              </w:rPr>
              <w:t>Broad-Based Black Economic Empowerment Deals</w:t>
            </w:r>
            <w:r w:rsidR="00BC15EF">
              <w:rPr>
                <w:noProof/>
                <w:webHidden/>
              </w:rPr>
              <w:tab/>
            </w:r>
            <w:r w:rsidR="00BC15EF">
              <w:rPr>
                <w:noProof/>
                <w:webHidden/>
              </w:rPr>
              <w:fldChar w:fldCharType="begin"/>
            </w:r>
            <w:r w:rsidR="00BC15EF">
              <w:rPr>
                <w:noProof/>
                <w:webHidden/>
              </w:rPr>
              <w:instrText xml:space="preserve"> PAGEREF _Toc506717751 \h </w:instrText>
            </w:r>
            <w:r w:rsidR="00BC15EF">
              <w:rPr>
                <w:noProof/>
                <w:webHidden/>
              </w:rPr>
            </w:r>
            <w:r w:rsidR="00BC15EF">
              <w:rPr>
                <w:noProof/>
                <w:webHidden/>
              </w:rPr>
              <w:fldChar w:fldCharType="separate"/>
            </w:r>
            <w:r w:rsidR="00BC15EF">
              <w:rPr>
                <w:noProof/>
                <w:webHidden/>
              </w:rPr>
              <w:t>8</w:t>
            </w:r>
            <w:r w:rsidR="00BC15EF">
              <w:rPr>
                <w:noProof/>
                <w:webHidden/>
              </w:rPr>
              <w:fldChar w:fldCharType="end"/>
            </w:r>
          </w:hyperlink>
        </w:p>
        <w:p w14:paraId="7A144C8F" w14:textId="77777777" w:rsidR="00BC15EF" w:rsidRDefault="004A65CA">
          <w:pPr>
            <w:pStyle w:val="TOC3"/>
            <w:tabs>
              <w:tab w:val="left" w:pos="1320"/>
              <w:tab w:val="right" w:leader="dot" w:pos="9016"/>
            </w:tabs>
            <w:rPr>
              <w:rFonts w:cstheme="minorBidi"/>
              <w:noProof/>
              <w:lang w:val="en-ZA" w:eastAsia="en-ZA"/>
            </w:rPr>
          </w:pPr>
          <w:hyperlink w:anchor="_Toc506717752" w:history="1">
            <w:r w:rsidR="00BC15EF" w:rsidRPr="001B5A8E">
              <w:rPr>
                <w:rStyle w:val="Hyperlink"/>
                <w:rFonts w:ascii="Times New Roman" w:hAnsi="Times New Roman"/>
                <w:i/>
                <w:noProof/>
              </w:rPr>
              <w:t>1.1.1</w:t>
            </w:r>
            <w:r w:rsidR="00BC15EF">
              <w:rPr>
                <w:rFonts w:cstheme="minorBidi"/>
                <w:noProof/>
                <w:lang w:val="en-ZA" w:eastAsia="en-ZA"/>
              </w:rPr>
              <w:tab/>
            </w:r>
            <w:r w:rsidR="00BC15EF" w:rsidRPr="001B5A8E">
              <w:rPr>
                <w:rStyle w:val="Hyperlink"/>
                <w:rFonts w:ascii="Times New Roman" w:hAnsi="Times New Roman"/>
                <w:i/>
                <w:noProof/>
              </w:rPr>
              <w:t>Reasons for Broad-Based Black Economic Empowerment</w:t>
            </w:r>
            <w:r w:rsidR="00BC15EF">
              <w:rPr>
                <w:noProof/>
                <w:webHidden/>
              </w:rPr>
              <w:tab/>
            </w:r>
            <w:r w:rsidR="00BC15EF">
              <w:rPr>
                <w:noProof/>
                <w:webHidden/>
              </w:rPr>
              <w:fldChar w:fldCharType="begin"/>
            </w:r>
            <w:r w:rsidR="00BC15EF">
              <w:rPr>
                <w:noProof/>
                <w:webHidden/>
              </w:rPr>
              <w:instrText xml:space="preserve"> PAGEREF _Toc506717752 \h </w:instrText>
            </w:r>
            <w:r w:rsidR="00BC15EF">
              <w:rPr>
                <w:noProof/>
                <w:webHidden/>
              </w:rPr>
            </w:r>
            <w:r w:rsidR="00BC15EF">
              <w:rPr>
                <w:noProof/>
                <w:webHidden/>
              </w:rPr>
              <w:fldChar w:fldCharType="separate"/>
            </w:r>
            <w:r w:rsidR="00BC15EF">
              <w:rPr>
                <w:noProof/>
                <w:webHidden/>
              </w:rPr>
              <w:t>9</w:t>
            </w:r>
            <w:r w:rsidR="00BC15EF">
              <w:rPr>
                <w:noProof/>
                <w:webHidden/>
              </w:rPr>
              <w:fldChar w:fldCharType="end"/>
            </w:r>
          </w:hyperlink>
        </w:p>
        <w:p w14:paraId="77CA0534" w14:textId="77777777" w:rsidR="00BC15EF" w:rsidRDefault="004A65CA">
          <w:pPr>
            <w:pStyle w:val="TOC3"/>
            <w:tabs>
              <w:tab w:val="left" w:pos="1320"/>
              <w:tab w:val="right" w:leader="dot" w:pos="9016"/>
            </w:tabs>
            <w:rPr>
              <w:rFonts w:cstheme="minorBidi"/>
              <w:noProof/>
              <w:lang w:val="en-ZA" w:eastAsia="en-ZA"/>
            </w:rPr>
          </w:pPr>
          <w:hyperlink w:anchor="_Toc506717753" w:history="1">
            <w:r w:rsidR="00BC15EF" w:rsidRPr="001B5A8E">
              <w:rPr>
                <w:rStyle w:val="Hyperlink"/>
                <w:rFonts w:ascii="Times New Roman" w:hAnsi="Times New Roman"/>
                <w:i/>
                <w:noProof/>
              </w:rPr>
              <w:t>1.1.2</w:t>
            </w:r>
            <w:r w:rsidR="00BC15EF">
              <w:rPr>
                <w:rFonts w:cstheme="minorBidi"/>
                <w:noProof/>
                <w:lang w:val="en-ZA" w:eastAsia="en-ZA"/>
              </w:rPr>
              <w:tab/>
            </w:r>
            <w:r w:rsidR="00BC15EF" w:rsidRPr="001B5A8E">
              <w:rPr>
                <w:rStyle w:val="Hyperlink"/>
                <w:rFonts w:ascii="Times New Roman" w:hAnsi="Times New Roman"/>
                <w:i/>
                <w:noProof/>
              </w:rPr>
              <w:t>Broad-Based Black Economic Empowerment throughout the Years</w:t>
            </w:r>
            <w:r w:rsidR="00BC15EF">
              <w:rPr>
                <w:noProof/>
                <w:webHidden/>
              </w:rPr>
              <w:tab/>
            </w:r>
            <w:r w:rsidR="00BC15EF">
              <w:rPr>
                <w:noProof/>
                <w:webHidden/>
              </w:rPr>
              <w:fldChar w:fldCharType="begin"/>
            </w:r>
            <w:r w:rsidR="00BC15EF">
              <w:rPr>
                <w:noProof/>
                <w:webHidden/>
              </w:rPr>
              <w:instrText xml:space="preserve"> PAGEREF _Toc506717753 \h </w:instrText>
            </w:r>
            <w:r w:rsidR="00BC15EF">
              <w:rPr>
                <w:noProof/>
                <w:webHidden/>
              </w:rPr>
            </w:r>
            <w:r w:rsidR="00BC15EF">
              <w:rPr>
                <w:noProof/>
                <w:webHidden/>
              </w:rPr>
              <w:fldChar w:fldCharType="separate"/>
            </w:r>
            <w:r w:rsidR="00BC15EF">
              <w:rPr>
                <w:noProof/>
                <w:webHidden/>
              </w:rPr>
              <w:t>10</w:t>
            </w:r>
            <w:r w:rsidR="00BC15EF">
              <w:rPr>
                <w:noProof/>
                <w:webHidden/>
              </w:rPr>
              <w:fldChar w:fldCharType="end"/>
            </w:r>
          </w:hyperlink>
        </w:p>
        <w:p w14:paraId="1C369474" w14:textId="77777777" w:rsidR="00BC15EF" w:rsidRDefault="004A65CA">
          <w:pPr>
            <w:pStyle w:val="TOC3"/>
            <w:tabs>
              <w:tab w:val="left" w:pos="1320"/>
              <w:tab w:val="right" w:leader="dot" w:pos="9016"/>
            </w:tabs>
            <w:rPr>
              <w:rFonts w:cstheme="minorBidi"/>
              <w:noProof/>
              <w:lang w:val="en-ZA" w:eastAsia="en-ZA"/>
            </w:rPr>
          </w:pPr>
          <w:hyperlink w:anchor="_Toc506717754" w:history="1">
            <w:r w:rsidR="00BC15EF" w:rsidRPr="001B5A8E">
              <w:rPr>
                <w:rStyle w:val="Hyperlink"/>
                <w:rFonts w:ascii="Times New Roman" w:hAnsi="Times New Roman"/>
                <w:i/>
                <w:noProof/>
              </w:rPr>
              <w:t>1.1.3</w:t>
            </w:r>
            <w:r w:rsidR="00BC15EF">
              <w:rPr>
                <w:rFonts w:cstheme="minorBidi"/>
                <w:noProof/>
                <w:lang w:val="en-ZA" w:eastAsia="en-ZA"/>
              </w:rPr>
              <w:tab/>
            </w:r>
            <w:r w:rsidR="00BC15EF" w:rsidRPr="001B5A8E">
              <w:rPr>
                <w:rStyle w:val="Hyperlink"/>
                <w:rFonts w:ascii="Times New Roman" w:hAnsi="Times New Roman"/>
                <w:i/>
                <w:noProof/>
              </w:rPr>
              <w:t>The Ownership Scorecard Element</w:t>
            </w:r>
            <w:r w:rsidR="00BC15EF">
              <w:rPr>
                <w:noProof/>
                <w:webHidden/>
              </w:rPr>
              <w:tab/>
            </w:r>
            <w:r w:rsidR="00BC15EF">
              <w:rPr>
                <w:noProof/>
                <w:webHidden/>
              </w:rPr>
              <w:fldChar w:fldCharType="begin"/>
            </w:r>
            <w:r w:rsidR="00BC15EF">
              <w:rPr>
                <w:noProof/>
                <w:webHidden/>
              </w:rPr>
              <w:instrText xml:space="preserve"> PAGEREF _Toc506717754 \h </w:instrText>
            </w:r>
            <w:r w:rsidR="00BC15EF">
              <w:rPr>
                <w:noProof/>
                <w:webHidden/>
              </w:rPr>
            </w:r>
            <w:r w:rsidR="00BC15EF">
              <w:rPr>
                <w:noProof/>
                <w:webHidden/>
              </w:rPr>
              <w:fldChar w:fldCharType="separate"/>
            </w:r>
            <w:r w:rsidR="00BC15EF">
              <w:rPr>
                <w:noProof/>
                <w:webHidden/>
              </w:rPr>
              <w:t>11</w:t>
            </w:r>
            <w:r w:rsidR="00BC15EF">
              <w:rPr>
                <w:noProof/>
                <w:webHidden/>
              </w:rPr>
              <w:fldChar w:fldCharType="end"/>
            </w:r>
          </w:hyperlink>
        </w:p>
        <w:p w14:paraId="74E9E3A7" w14:textId="77777777" w:rsidR="00BC15EF" w:rsidRDefault="004A65CA">
          <w:pPr>
            <w:pStyle w:val="TOC3"/>
            <w:tabs>
              <w:tab w:val="left" w:pos="1320"/>
              <w:tab w:val="right" w:leader="dot" w:pos="9016"/>
            </w:tabs>
            <w:rPr>
              <w:rFonts w:cstheme="minorBidi"/>
              <w:noProof/>
              <w:lang w:val="en-ZA" w:eastAsia="en-ZA"/>
            </w:rPr>
          </w:pPr>
          <w:hyperlink w:anchor="_Toc506717755" w:history="1">
            <w:r w:rsidR="00BC15EF" w:rsidRPr="001B5A8E">
              <w:rPr>
                <w:rStyle w:val="Hyperlink"/>
                <w:rFonts w:ascii="Times New Roman" w:hAnsi="Times New Roman"/>
                <w:i/>
                <w:noProof/>
              </w:rPr>
              <w:t>1.1.4</w:t>
            </w:r>
            <w:r w:rsidR="00BC15EF">
              <w:rPr>
                <w:rFonts w:cstheme="minorBidi"/>
                <w:noProof/>
                <w:lang w:val="en-ZA" w:eastAsia="en-ZA"/>
              </w:rPr>
              <w:tab/>
            </w:r>
            <w:r w:rsidR="00BC15EF" w:rsidRPr="001B5A8E">
              <w:rPr>
                <w:rStyle w:val="Hyperlink"/>
                <w:rFonts w:ascii="Times New Roman" w:hAnsi="Times New Roman"/>
                <w:i/>
                <w:noProof/>
              </w:rPr>
              <w:t>Structure of Broad-Based Black Economic Empowerment Deals</w:t>
            </w:r>
            <w:r w:rsidR="00BC15EF">
              <w:rPr>
                <w:noProof/>
                <w:webHidden/>
              </w:rPr>
              <w:tab/>
            </w:r>
            <w:r w:rsidR="00BC15EF">
              <w:rPr>
                <w:noProof/>
                <w:webHidden/>
              </w:rPr>
              <w:fldChar w:fldCharType="begin"/>
            </w:r>
            <w:r w:rsidR="00BC15EF">
              <w:rPr>
                <w:noProof/>
                <w:webHidden/>
              </w:rPr>
              <w:instrText xml:space="preserve"> PAGEREF _Toc506717755 \h </w:instrText>
            </w:r>
            <w:r w:rsidR="00BC15EF">
              <w:rPr>
                <w:noProof/>
                <w:webHidden/>
              </w:rPr>
            </w:r>
            <w:r w:rsidR="00BC15EF">
              <w:rPr>
                <w:noProof/>
                <w:webHidden/>
              </w:rPr>
              <w:fldChar w:fldCharType="separate"/>
            </w:r>
            <w:r w:rsidR="00BC15EF">
              <w:rPr>
                <w:noProof/>
                <w:webHidden/>
              </w:rPr>
              <w:t>12</w:t>
            </w:r>
            <w:r w:rsidR="00BC15EF">
              <w:rPr>
                <w:noProof/>
                <w:webHidden/>
              </w:rPr>
              <w:fldChar w:fldCharType="end"/>
            </w:r>
          </w:hyperlink>
        </w:p>
        <w:p w14:paraId="4BCF82BD" w14:textId="77777777" w:rsidR="00BC15EF" w:rsidRDefault="004A65CA">
          <w:pPr>
            <w:pStyle w:val="TOC3"/>
            <w:tabs>
              <w:tab w:val="left" w:pos="1320"/>
              <w:tab w:val="right" w:leader="dot" w:pos="9016"/>
            </w:tabs>
            <w:rPr>
              <w:rFonts w:cstheme="minorBidi"/>
              <w:noProof/>
              <w:lang w:val="en-ZA" w:eastAsia="en-ZA"/>
            </w:rPr>
          </w:pPr>
          <w:hyperlink w:anchor="_Toc506717756" w:history="1">
            <w:r w:rsidR="00BC15EF" w:rsidRPr="001B5A8E">
              <w:rPr>
                <w:rStyle w:val="Hyperlink"/>
                <w:rFonts w:ascii="Times New Roman" w:hAnsi="Times New Roman"/>
                <w:i/>
                <w:noProof/>
              </w:rPr>
              <w:t>1.1.5</w:t>
            </w:r>
            <w:r w:rsidR="00BC15EF">
              <w:rPr>
                <w:rFonts w:cstheme="minorBidi"/>
                <w:noProof/>
                <w:lang w:val="en-ZA" w:eastAsia="en-ZA"/>
              </w:rPr>
              <w:tab/>
            </w:r>
            <w:r w:rsidR="00BC15EF" w:rsidRPr="001B5A8E">
              <w:rPr>
                <w:rStyle w:val="Hyperlink"/>
                <w:rFonts w:ascii="Times New Roman" w:hAnsi="Times New Roman"/>
                <w:i/>
                <w:noProof/>
              </w:rPr>
              <w:t>Types of Beneficiaries</w:t>
            </w:r>
            <w:r w:rsidR="00BC15EF">
              <w:rPr>
                <w:noProof/>
                <w:webHidden/>
              </w:rPr>
              <w:tab/>
            </w:r>
            <w:r w:rsidR="00BC15EF">
              <w:rPr>
                <w:noProof/>
                <w:webHidden/>
              </w:rPr>
              <w:fldChar w:fldCharType="begin"/>
            </w:r>
            <w:r w:rsidR="00BC15EF">
              <w:rPr>
                <w:noProof/>
                <w:webHidden/>
              </w:rPr>
              <w:instrText xml:space="preserve"> PAGEREF _Toc506717756 \h </w:instrText>
            </w:r>
            <w:r w:rsidR="00BC15EF">
              <w:rPr>
                <w:noProof/>
                <w:webHidden/>
              </w:rPr>
            </w:r>
            <w:r w:rsidR="00BC15EF">
              <w:rPr>
                <w:noProof/>
                <w:webHidden/>
              </w:rPr>
              <w:fldChar w:fldCharType="separate"/>
            </w:r>
            <w:r w:rsidR="00BC15EF">
              <w:rPr>
                <w:noProof/>
                <w:webHidden/>
              </w:rPr>
              <w:t>13</w:t>
            </w:r>
            <w:r w:rsidR="00BC15EF">
              <w:rPr>
                <w:noProof/>
                <w:webHidden/>
              </w:rPr>
              <w:fldChar w:fldCharType="end"/>
            </w:r>
          </w:hyperlink>
        </w:p>
        <w:p w14:paraId="72D77D46" w14:textId="77777777" w:rsidR="00BC15EF" w:rsidRDefault="004A65CA">
          <w:pPr>
            <w:pStyle w:val="TOC3"/>
            <w:tabs>
              <w:tab w:val="left" w:pos="1320"/>
              <w:tab w:val="right" w:leader="dot" w:pos="9016"/>
            </w:tabs>
            <w:rPr>
              <w:rFonts w:cstheme="minorBidi"/>
              <w:noProof/>
              <w:lang w:val="en-ZA" w:eastAsia="en-ZA"/>
            </w:rPr>
          </w:pPr>
          <w:hyperlink w:anchor="_Toc506717757" w:history="1">
            <w:r w:rsidR="00BC15EF" w:rsidRPr="001B5A8E">
              <w:rPr>
                <w:rStyle w:val="Hyperlink"/>
                <w:rFonts w:ascii="Times New Roman" w:hAnsi="Times New Roman"/>
                <w:i/>
                <w:noProof/>
              </w:rPr>
              <w:t>1.1.6</w:t>
            </w:r>
            <w:r w:rsidR="00BC15EF">
              <w:rPr>
                <w:rFonts w:cstheme="minorBidi"/>
                <w:noProof/>
                <w:lang w:val="en-ZA" w:eastAsia="en-ZA"/>
              </w:rPr>
              <w:tab/>
            </w:r>
            <w:r w:rsidR="00BC15EF" w:rsidRPr="001B5A8E">
              <w:rPr>
                <w:rStyle w:val="Hyperlink"/>
                <w:rFonts w:ascii="Times New Roman" w:hAnsi="Times New Roman"/>
                <w:i/>
                <w:noProof/>
              </w:rPr>
              <w:t>Dividend Policy Implications</w:t>
            </w:r>
            <w:r w:rsidR="00BC15EF">
              <w:rPr>
                <w:noProof/>
                <w:webHidden/>
              </w:rPr>
              <w:tab/>
            </w:r>
            <w:r w:rsidR="00BC15EF">
              <w:rPr>
                <w:noProof/>
                <w:webHidden/>
              </w:rPr>
              <w:fldChar w:fldCharType="begin"/>
            </w:r>
            <w:r w:rsidR="00BC15EF">
              <w:rPr>
                <w:noProof/>
                <w:webHidden/>
              </w:rPr>
              <w:instrText xml:space="preserve"> PAGEREF _Toc506717757 \h </w:instrText>
            </w:r>
            <w:r w:rsidR="00BC15EF">
              <w:rPr>
                <w:noProof/>
                <w:webHidden/>
              </w:rPr>
            </w:r>
            <w:r w:rsidR="00BC15EF">
              <w:rPr>
                <w:noProof/>
                <w:webHidden/>
              </w:rPr>
              <w:fldChar w:fldCharType="separate"/>
            </w:r>
            <w:r w:rsidR="00BC15EF">
              <w:rPr>
                <w:noProof/>
                <w:webHidden/>
              </w:rPr>
              <w:t>13</w:t>
            </w:r>
            <w:r w:rsidR="00BC15EF">
              <w:rPr>
                <w:noProof/>
                <w:webHidden/>
              </w:rPr>
              <w:fldChar w:fldCharType="end"/>
            </w:r>
          </w:hyperlink>
        </w:p>
        <w:p w14:paraId="4FEDE6DB" w14:textId="77777777" w:rsidR="00BC15EF" w:rsidRDefault="004A65CA">
          <w:pPr>
            <w:pStyle w:val="TOC2"/>
            <w:tabs>
              <w:tab w:val="left" w:pos="880"/>
              <w:tab w:val="right" w:leader="dot" w:pos="9016"/>
            </w:tabs>
            <w:rPr>
              <w:rFonts w:eastAsiaTheme="minorEastAsia"/>
              <w:noProof/>
              <w:lang w:eastAsia="en-ZA"/>
            </w:rPr>
          </w:pPr>
          <w:hyperlink w:anchor="_Toc506717758" w:history="1">
            <w:r w:rsidR="00BC15EF" w:rsidRPr="001B5A8E">
              <w:rPr>
                <w:rStyle w:val="Hyperlink"/>
                <w:rFonts w:ascii="Times New Roman" w:hAnsi="Times New Roman" w:cs="Times New Roman"/>
                <w:b/>
                <w:noProof/>
              </w:rPr>
              <w:t>1.2</w:t>
            </w:r>
            <w:r w:rsidR="00BC15EF">
              <w:rPr>
                <w:rFonts w:eastAsiaTheme="minorEastAsia"/>
                <w:noProof/>
                <w:lang w:eastAsia="en-ZA"/>
              </w:rPr>
              <w:tab/>
            </w:r>
            <w:r w:rsidR="00BC15EF" w:rsidRPr="001B5A8E">
              <w:rPr>
                <w:rStyle w:val="Hyperlink"/>
                <w:rFonts w:ascii="Times New Roman" w:hAnsi="Times New Roman" w:cs="Times New Roman"/>
                <w:b/>
                <w:noProof/>
              </w:rPr>
              <w:t>Statement of the problem</w:t>
            </w:r>
            <w:r w:rsidR="00BC15EF">
              <w:rPr>
                <w:noProof/>
                <w:webHidden/>
              </w:rPr>
              <w:tab/>
            </w:r>
            <w:r w:rsidR="00BC15EF">
              <w:rPr>
                <w:noProof/>
                <w:webHidden/>
              </w:rPr>
              <w:fldChar w:fldCharType="begin"/>
            </w:r>
            <w:r w:rsidR="00BC15EF">
              <w:rPr>
                <w:noProof/>
                <w:webHidden/>
              </w:rPr>
              <w:instrText xml:space="preserve"> PAGEREF _Toc506717758 \h </w:instrText>
            </w:r>
            <w:r w:rsidR="00BC15EF">
              <w:rPr>
                <w:noProof/>
                <w:webHidden/>
              </w:rPr>
            </w:r>
            <w:r w:rsidR="00BC15EF">
              <w:rPr>
                <w:noProof/>
                <w:webHidden/>
              </w:rPr>
              <w:fldChar w:fldCharType="separate"/>
            </w:r>
            <w:r w:rsidR="00BC15EF">
              <w:rPr>
                <w:noProof/>
                <w:webHidden/>
              </w:rPr>
              <w:t>14</w:t>
            </w:r>
            <w:r w:rsidR="00BC15EF">
              <w:rPr>
                <w:noProof/>
                <w:webHidden/>
              </w:rPr>
              <w:fldChar w:fldCharType="end"/>
            </w:r>
          </w:hyperlink>
        </w:p>
        <w:p w14:paraId="74BE4648" w14:textId="77777777" w:rsidR="00BC15EF" w:rsidRDefault="004A65CA">
          <w:pPr>
            <w:pStyle w:val="TOC2"/>
            <w:tabs>
              <w:tab w:val="left" w:pos="880"/>
              <w:tab w:val="right" w:leader="dot" w:pos="9016"/>
            </w:tabs>
            <w:rPr>
              <w:rFonts w:eastAsiaTheme="minorEastAsia"/>
              <w:noProof/>
              <w:lang w:eastAsia="en-ZA"/>
            </w:rPr>
          </w:pPr>
          <w:hyperlink w:anchor="_Toc506717759" w:history="1">
            <w:r w:rsidR="00BC15EF" w:rsidRPr="001B5A8E">
              <w:rPr>
                <w:rStyle w:val="Hyperlink"/>
                <w:rFonts w:ascii="Times New Roman" w:hAnsi="Times New Roman" w:cs="Times New Roman"/>
                <w:b/>
                <w:noProof/>
              </w:rPr>
              <w:t>1.3</w:t>
            </w:r>
            <w:r w:rsidR="00BC15EF">
              <w:rPr>
                <w:rFonts w:eastAsiaTheme="minorEastAsia"/>
                <w:noProof/>
                <w:lang w:eastAsia="en-ZA"/>
              </w:rPr>
              <w:tab/>
            </w:r>
            <w:r w:rsidR="00BC15EF" w:rsidRPr="001B5A8E">
              <w:rPr>
                <w:rStyle w:val="Hyperlink"/>
                <w:rFonts w:ascii="Times New Roman" w:hAnsi="Times New Roman" w:cs="Times New Roman"/>
                <w:b/>
                <w:noProof/>
              </w:rPr>
              <w:t>Purpose of the Research</w:t>
            </w:r>
            <w:r w:rsidR="00BC15EF">
              <w:rPr>
                <w:noProof/>
                <w:webHidden/>
              </w:rPr>
              <w:tab/>
            </w:r>
            <w:r w:rsidR="00BC15EF">
              <w:rPr>
                <w:noProof/>
                <w:webHidden/>
              </w:rPr>
              <w:fldChar w:fldCharType="begin"/>
            </w:r>
            <w:r w:rsidR="00BC15EF">
              <w:rPr>
                <w:noProof/>
                <w:webHidden/>
              </w:rPr>
              <w:instrText xml:space="preserve"> PAGEREF _Toc506717759 \h </w:instrText>
            </w:r>
            <w:r w:rsidR="00BC15EF">
              <w:rPr>
                <w:noProof/>
                <w:webHidden/>
              </w:rPr>
            </w:r>
            <w:r w:rsidR="00BC15EF">
              <w:rPr>
                <w:noProof/>
                <w:webHidden/>
              </w:rPr>
              <w:fldChar w:fldCharType="separate"/>
            </w:r>
            <w:r w:rsidR="00BC15EF">
              <w:rPr>
                <w:noProof/>
                <w:webHidden/>
              </w:rPr>
              <w:t>15</w:t>
            </w:r>
            <w:r w:rsidR="00BC15EF">
              <w:rPr>
                <w:noProof/>
                <w:webHidden/>
              </w:rPr>
              <w:fldChar w:fldCharType="end"/>
            </w:r>
          </w:hyperlink>
        </w:p>
        <w:p w14:paraId="429B397C" w14:textId="77777777" w:rsidR="00BC15EF" w:rsidRDefault="004A65CA">
          <w:pPr>
            <w:pStyle w:val="TOC2"/>
            <w:tabs>
              <w:tab w:val="left" w:pos="880"/>
              <w:tab w:val="right" w:leader="dot" w:pos="9016"/>
            </w:tabs>
            <w:rPr>
              <w:rFonts w:eastAsiaTheme="minorEastAsia"/>
              <w:noProof/>
              <w:lang w:eastAsia="en-ZA"/>
            </w:rPr>
          </w:pPr>
          <w:hyperlink w:anchor="_Toc506717760" w:history="1">
            <w:r w:rsidR="00BC15EF" w:rsidRPr="001B5A8E">
              <w:rPr>
                <w:rStyle w:val="Hyperlink"/>
                <w:rFonts w:ascii="Times New Roman" w:hAnsi="Times New Roman" w:cs="Times New Roman"/>
                <w:b/>
                <w:noProof/>
              </w:rPr>
              <w:t>1.4</w:t>
            </w:r>
            <w:r w:rsidR="00BC15EF">
              <w:rPr>
                <w:rFonts w:eastAsiaTheme="minorEastAsia"/>
                <w:noProof/>
                <w:lang w:eastAsia="en-ZA"/>
              </w:rPr>
              <w:tab/>
            </w:r>
            <w:r w:rsidR="00BC15EF" w:rsidRPr="001B5A8E">
              <w:rPr>
                <w:rStyle w:val="Hyperlink"/>
                <w:rFonts w:ascii="Times New Roman" w:hAnsi="Times New Roman" w:cs="Times New Roman"/>
                <w:b/>
                <w:noProof/>
              </w:rPr>
              <w:t>Contribution of the Study</w:t>
            </w:r>
            <w:r w:rsidR="00BC15EF">
              <w:rPr>
                <w:noProof/>
                <w:webHidden/>
              </w:rPr>
              <w:tab/>
            </w:r>
            <w:r w:rsidR="00BC15EF">
              <w:rPr>
                <w:noProof/>
                <w:webHidden/>
              </w:rPr>
              <w:fldChar w:fldCharType="begin"/>
            </w:r>
            <w:r w:rsidR="00BC15EF">
              <w:rPr>
                <w:noProof/>
                <w:webHidden/>
              </w:rPr>
              <w:instrText xml:space="preserve"> PAGEREF _Toc506717760 \h </w:instrText>
            </w:r>
            <w:r w:rsidR="00BC15EF">
              <w:rPr>
                <w:noProof/>
                <w:webHidden/>
              </w:rPr>
            </w:r>
            <w:r w:rsidR="00BC15EF">
              <w:rPr>
                <w:noProof/>
                <w:webHidden/>
              </w:rPr>
              <w:fldChar w:fldCharType="separate"/>
            </w:r>
            <w:r w:rsidR="00BC15EF">
              <w:rPr>
                <w:noProof/>
                <w:webHidden/>
              </w:rPr>
              <w:t>16</w:t>
            </w:r>
            <w:r w:rsidR="00BC15EF">
              <w:rPr>
                <w:noProof/>
                <w:webHidden/>
              </w:rPr>
              <w:fldChar w:fldCharType="end"/>
            </w:r>
          </w:hyperlink>
        </w:p>
        <w:p w14:paraId="57F9114D" w14:textId="77777777" w:rsidR="00BC15EF" w:rsidRDefault="004A65CA">
          <w:pPr>
            <w:pStyle w:val="TOC2"/>
            <w:tabs>
              <w:tab w:val="left" w:pos="880"/>
              <w:tab w:val="right" w:leader="dot" w:pos="9016"/>
            </w:tabs>
            <w:rPr>
              <w:rFonts w:eastAsiaTheme="minorEastAsia"/>
              <w:noProof/>
              <w:lang w:eastAsia="en-ZA"/>
            </w:rPr>
          </w:pPr>
          <w:hyperlink w:anchor="_Toc506717761" w:history="1">
            <w:r w:rsidR="00BC15EF" w:rsidRPr="001B5A8E">
              <w:rPr>
                <w:rStyle w:val="Hyperlink"/>
                <w:rFonts w:ascii="Times New Roman" w:hAnsi="Times New Roman" w:cs="Times New Roman"/>
                <w:b/>
                <w:noProof/>
              </w:rPr>
              <w:t>1.5</w:t>
            </w:r>
            <w:r w:rsidR="00BC15EF">
              <w:rPr>
                <w:rFonts w:eastAsiaTheme="minorEastAsia"/>
                <w:noProof/>
                <w:lang w:eastAsia="en-ZA"/>
              </w:rPr>
              <w:tab/>
            </w:r>
            <w:r w:rsidR="00BC15EF" w:rsidRPr="001B5A8E">
              <w:rPr>
                <w:rStyle w:val="Hyperlink"/>
                <w:rFonts w:ascii="Times New Roman" w:hAnsi="Times New Roman" w:cs="Times New Roman"/>
                <w:b/>
                <w:noProof/>
              </w:rPr>
              <w:t>Research Question</w:t>
            </w:r>
            <w:r w:rsidR="00BC15EF">
              <w:rPr>
                <w:noProof/>
                <w:webHidden/>
              </w:rPr>
              <w:tab/>
            </w:r>
            <w:r w:rsidR="00BC15EF">
              <w:rPr>
                <w:noProof/>
                <w:webHidden/>
              </w:rPr>
              <w:fldChar w:fldCharType="begin"/>
            </w:r>
            <w:r w:rsidR="00BC15EF">
              <w:rPr>
                <w:noProof/>
                <w:webHidden/>
              </w:rPr>
              <w:instrText xml:space="preserve"> PAGEREF _Toc506717761 \h </w:instrText>
            </w:r>
            <w:r w:rsidR="00BC15EF">
              <w:rPr>
                <w:noProof/>
                <w:webHidden/>
              </w:rPr>
            </w:r>
            <w:r w:rsidR="00BC15EF">
              <w:rPr>
                <w:noProof/>
                <w:webHidden/>
              </w:rPr>
              <w:fldChar w:fldCharType="separate"/>
            </w:r>
            <w:r w:rsidR="00BC15EF">
              <w:rPr>
                <w:noProof/>
                <w:webHidden/>
              </w:rPr>
              <w:t>16</w:t>
            </w:r>
            <w:r w:rsidR="00BC15EF">
              <w:rPr>
                <w:noProof/>
                <w:webHidden/>
              </w:rPr>
              <w:fldChar w:fldCharType="end"/>
            </w:r>
          </w:hyperlink>
        </w:p>
        <w:p w14:paraId="0919AD37" w14:textId="77777777" w:rsidR="00BC15EF" w:rsidRDefault="004A65CA">
          <w:pPr>
            <w:pStyle w:val="TOC2"/>
            <w:tabs>
              <w:tab w:val="left" w:pos="880"/>
              <w:tab w:val="right" w:leader="dot" w:pos="9016"/>
            </w:tabs>
            <w:rPr>
              <w:rFonts w:eastAsiaTheme="minorEastAsia"/>
              <w:noProof/>
              <w:lang w:eastAsia="en-ZA"/>
            </w:rPr>
          </w:pPr>
          <w:hyperlink w:anchor="_Toc506717762" w:history="1">
            <w:r w:rsidR="00BC15EF" w:rsidRPr="001B5A8E">
              <w:rPr>
                <w:rStyle w:val="Hyperlink"/>
                <w:rFonts w:ascii="Times New Roman" w:hAnsi="Times New Roman" w:cs="Times New Roman"/>
                <w:b/>
                <w:noProof/>
              </w:rPr>
              <w:t>1.6</w:t>
            </w:r>
            <w:r w:rsidR="00BC15EF">
              <w:rPr>
                <w:rFonts w:eastAsiaTheme="minorEastAsia"/>
                <w:noProof/>
                <w:lang w:eastAsia="en-ZA"/>
              </w:rPr>
              <w:tab/>
            </w:r>
            <w:r w:rsidR="00BC15EF" w:rsidRPr="001B5A8E">
              <w:rPr>
                <w:rStyle w:val="Hyperlink"/>
                <w:rFonts w:ascii="Times New Roman" w:hAnsi="Times New Roman" w:cs="Times New Roman"/>
                <w:b/>
                <w:noProof/>
              </w:rPr>
              <w:t>Assumptions, Limitations and Delimitations</w:t>
            </w:r>
            <w:r w:rsidR="00BC15EF">
              <w:rPr>
                <w:noProof/>
                <w:webHidden/>
              </w:rPr>
              <w:tab/>
            </w:r>
            <w:r w:rsidR="00BC15EF">
              <w:rPr>
                <w:noProof/>
                <w:webHidden/>
              </w:rPr>
              <w:fldChar w:fldCharType="begin"/>
            </w:r>
            <w:r w:rsidR="00BC15EF">
              <w:rPr>
                <w:noProof/>
                <w:webHidden/>
              </w:rPr>
              <w:instrText xml:space="preserve"> PAGEREF _Toc506717762 \h </w:instrText>
            </w:r>
            <w:r w:rsidR="00BC15EF">
              <w:rPr>
                <w:noProof/>
                <w:webHidden/>
              </w:rPr>
            </w:r>
            <w:r w:rsidR="00BC15EF">
              <w:rPr>
                <w:noProof/>
                <w:webHidden/>
              </w:rPr>
              <w:fldChar w:fldCharType="separate"/>
            </w:r>
            <w:r w:rsidR="00BC15EF">
              <w:rPr>
                <w:noProof/>
                <w:webHidden/>
              </w:rPr>
              <w:t>16</w:t>
            </w:r>
            <w:r w:rsidR="00BC15EF">
              <w:rPr>
                <w:noProof/>
                <w:webHidden/>
              </w:rPr>
              <w:fldChar w:fldCharType="end"/>
            </w:r>
          </w:hyperlink>
        </w:p>
        <w:p w14:paraId="3916BC38" w14:textId="77777777" w:rsidR="00BC15EF" w:rsidRDefault="004A65CA">
          <w:pPr>
            <w:pStyle w:val="TOC3"/>
            <w:tabs>
              <w:tab w:val="left" w:pos="1320"/>
              <w:tab w:val="right" w:leader="dot" w:pos="9016"/>
            </w:tabs>
            <w:rPr>
              <w:rFonts w:cstheme="minorBidi"/>
              <w:noProof/>
              <w:lang w:val="en-ZA" w:eastAsia="en-ZA"/>
            </w:rPr>
          </w:pPr>
          <w:hyperlink w:anchor="_Toc506717763" w:history="1">
            <w:r w:rsidR="00BC15EF" w:rsidRPr="001B5A8E">
              <w:rPr>
                <w:rStyle w:val="Hyperlink"/>
                <w:rFonts w:ascii="Times New Roman" w:hAnsi="Times New Roman"/>
                <w:i/>
                <w:noProof/>
              </w:rPr>
              <w:t>1.6.1</w:t>
            </w:r>
            <w:r w:rsidR="00BC15EF">
              <w:rPr>
                <w:rFonts w:cstheme="minorBidi"/>
                <w:noProof/>
                <w:lang w:val="en-ZA" w:eastAsia="en-ZA"/>
              </w:rPr>
              <w:tab/>
            </w:r>
            <w:r w:rsidR="00BC15EF" w:rsidRPr="001B5A8E">
              <w:rPr>
                <w:rStyle w:val="Hyperlink"/>
                <w:rFonts w:ascii="Times New Roman" w:hAnsi="Times New Roman"/>
                <w:i/>
                <w:noProof/>
              </w:rPr>
              <w:t>Assumptions</w:t>
            </w:r>
            <w:r w:rsidR="00BC15EF">
              <w:rPr>
                <w:noProof/>
                <w:webHidden/>
              </w:rPr>
              <w:tab/>
            </w:r>
            <w:r w:rsidR="00BC15EF">
              <w:rPr>
                <w:noProof/>
                <w:webHidden/>
              </w:rPr>
              <w:fldChar w:fldCharType="begin"/>
            </w:r>
            <w:r w:rsidR="00BC15EF">
              <w:rPr>
                <w:noProof/>
                <w:webHidden/>
              </w:rPr>
              <w:instrText xml:space="preserve"> PAGEREF _Toc506717763 \h </w:instrText>
            </w:r>
            <w:r w:rsidR="00BC15EF">
              <w:rPr>
                <w:noProof/>
                <w:webHidden/>
              </w:rPr>
            </w:r>
            <w:r w:rsidR="00BC15EF">
              <w:rPr>
                <w:noProof/>
                <w:webHidden/>
              </w:rPr>
              <w:fldChar w:fldCharType="separate"/>
            </w:r>
            <w:r w:rsidR="00BC15EF">
              <w:rPr>
                <w:noProof/>
                <w:webHidden/>
              </w:rPr>
              <w:t>16</w:t>
            </w:r>
            <w:r w:rsidR="00BC15EF">
              <w:rPr>
                <w:noProof/>
                <w:webHidden/>
              </w:rPr>
              <w:fldChar w:fldCharType="end"/>
            </w:r>
          </w:hyperlink>
        </w:p>
        <w:p w14:paraId="383F94C0" w14:textId="77777777" w:rsidR="00BC15EF" w:rsidRDefault="004A65CA">
          <w:pPr>
            <w:pStyle w:val="TOC3"/>
            <w:tabs>
              <w:tab w:val="left" w:pos="1320"/>
              <w:tab w:val="right" w:leader="dot" w:pos="9016"/>
            </w:tabs>
            <w:rPr>
              <w:rFonts w:cstheme="minorBidi"/>
              <w:noProof/>
              <w:lang w:val="en-ZA" w:eastAsia="en-ZA"/>
            </w:rPr>
          </w:pPr>
          <w:hyperlink w:anchor="_Toc506717764" w:history="1">
            <w:r w:rsidR="00BC15EF" w:rsidRPr="001B5A8E">
              <w:rPr>
                <w:rStyle w:val="Hyperlink"/>
                <w:rFonts w:ascii="Times New Roman" w:hAnsi="Times New Roman"/>
                <w:i/>
                <w:noProof/>
              </w:rPr>
              <w:t>1.6.2</w:t>
            </w:r>
            <w:r w:rsidR="00BC15EF">
              <w:rPr>
                <w:rFonts w:cstheme="minorBidi"/>
                <w:noProof/>
                <w:lang w:val="en-ZA" w:eastAsia="en-ZA"/>
              </w:rPr>
              <w:tab/>
            </w:r>
            <w:r w:rsidR="00BC15EF" w:rsidRPr="001B5A8E">
              <w:rPr>
                <w:rStyle w:val="Hyperlink"/>
                <w:rFonts w:ascii="Times New Roman" w:hAnsi="Times New Roman"/>
                <w:i/>
                <w:noProof/>
              </w:rPr>
              <w:t>Limitations</w:t>
            </w:r>
            <w:r w:rsidR="00BC15EF">
              <w:rPr>
                <w:noProof/>
                <w:webHidden/>
              </w:rPr>
              <w:tab/>
            </w:r>
            <w:r w:rsidR="00BC15EF">
              <w:rPr>
                <w:noProof/>
                <w:webHidden/>
              </w:rPr>
              <w:fldChar w:fldCharType="begin"/>
            </w:r>
            <w:r w:rsidR="00BC15EF">
              <w:rPr>
                <w:noProof/>
                <w:webHidden/>
              </w:rPr>
              <w:instrText xml:space="preserve"> PAGEREF _Toc506717764 \h </w:instrText>
            </w:r>
            <w:r w:rsidR="00BC15EF">
              <w:rPr>
                <w:noProof/>
                <w:webHidden/>
              </w:rPr>
            </w:r>
            <w:r w:rsidR="00BC15EF">
              <w:rPr>
                <w:noProof/>
                <w:webHidden/>
              </w:rPr>
              <w:fldChar w:fldCharType="separate"/>
            </w:r>
            <w:r w:rsidR="00BC15EF">
              <w:rPr>
                <w:noProof/>
                <w:webHidden/>
              </w:rPr>
              <w:t>17</w:t>
            </w:r>
            <w:r w:rsidR="00BC15EF">
              <w:rPr>
                <w:noProof/>
                <w:webHidden/>
              </w:rPr>
              <w:fldChar w:fldCharType="end"/>
            </w:r>
          </w:hyperlink>
        </w:p>
        <w:p w14:paraId="7A3A4C82" w14:textId="77777777" w:rsidR="00BC15EF" w:rsidRDefault="004A65CA">
          <w:pPr>
            <w:pStyle w:val="TOC3"/>
            <w:tabs>
              <w:tab w:val="left" w:pos="1320"/>
              <w:tab w:val="right" w:leader="dot" w:pos="9016"/>
            </w:tabs>
            <w:rPr>
              <w:rFonts w:cstheme="minorBidi"/>
              <w:noProof/>
              <w:lang w:val="en-ZA" w:eastAsia="en-ZA"/>
            </w:rPr>
          </w:pPr>
          <w:hyperlink w:anchor="_Toc506717765" w:history="1">
            <w:r w:rsidR="00BC15EF" w:rsidRPr="001B5A8E">
              <w:rPr>
                <w:rStyle w:val="Hyperlink"/>
                <w:rFonts w:ascii="Times New Roman" w:hAnsi="Times New Roman"/>
                <w:i/>
                <w:noProof/>
              </w:rPr>
              <w:t>1.6.3</w:t>
            </w:r>
            <w:r w:rsidR="00BC15EF">
              <w:rPr>
                <w:rFonts w:cstheme="minorBidi"/>
                <w:noProof/>
                <w:lang w:val="en-ZA" w:eastAsia="en-ZA"/>
              </w:rPr>
              <w:tab/>
            </w:r>
            <w:r w:rsidR="00BC15EF" w:rsidRPr="001B5A8E">
              <w:rPr>
                <w:rStyle w:val="Hyperlink"/>
                <w:rFonts w:ascii="Times New Roman" w:hAnsi="Times New Roman"/>
                <w:i/>
                <w:noProof/>
              </w:rPr>
              <w:t>Delimitations</w:t>
            </w:r>
            <w:r w:rsidR="00BC15EF">
              <w:rPr>
                <w:noProof/>
                <w:webHidden/>
              </w:rPr>
              <w:tab/>
            </w:r>
            <w:r w:rsidR="00BC15EF">
              <w:rPr>
                <w:noProof/>
                <w:webHidden/>
              </w:rPr>
              <w:fldChar w:fldCharType="begin"/>
            </w:r>
            <w:r w:rsidR="00BC15EF">
              <w:rPr>
                <w:noProof/>
                <w:webHidden/>
              </w:rPr>
              <w:instrText xml:space="preserve"> PAGEREF _Toc506717765 \h </w:instrText>
            </w:r>
            <w:r w:rsidR="00BC15EF">
              <w:rPr>
                <w:noProof/>
                <w:webHidden/>
              </w:rPr>
            </w:r>
            <w:r w:rsidR="00BC15EF">
              <w:rPr>
                <w:noProof/>
                <w:webHidden/>
              </w:rPr>
              <w:fldChar w:fldCharType="separate"/>
            </w:r>
            <w:r w:rsidR="00BC15EF">
              <w:rPr>
                <w:noProof/>
                <w:webHidden/>
              </w:rPr>
              <w:t>17</w:t>
            </w:r>
            <w:r w:rsidR="00BC15EF">
              <w:rPr>
                <w:noProof/>
                <w:webHidden/>
              </w:rPr>
              <w:fldChar w:fldCharType="end"/>
            </w:r>
          </w:hyperlink>
        </w:p>
        <w:p w14:paraId="2996115D" w14:textId="77777777" w:rsidR="00BC15EF" w:rsidRDefault="004A65CA">
          <w:pPr>
            <w:pStyle w:val="TOC2"/>
            <w:tabs>
              <w:tab w:val="left" w:pos="880"/>
              <w:tab w:val="right" w:leader="dot" w:pos="9016"/>
            </w:tabs>
            <w:rPr>
              <w:rFonts w:eastAsiaTheme="minorEastAsia"/>
              <w:noProof/>
              <w:lang w:eastAsia="en-ZA"/>
            </w:rPr>
          </w:pPr>
          <w:hyperlink w:anchor="_Toc506717766" w:history="1">
            <w:r w:rsidR="00BC15EF" w:rsidRPr="001B5A8E">
              <w:rPr>
                <w:rStyle w:val="Hyperlink"/>
                <w:rFonts w:ascii="Times New Roman" w:hAnsi="Times New Roman" w:cs="Times New Roman"/>
                <w:b/>
                <w:noProof/>
              </w:rPr>
              <w:t>1.7</w:t>
            </w:r>
            <w:r w:rsidR="00BC15EF">
              <w:rPr>
                <w:rFonts w:eastAsiaTheme="minorEastAsia"/>
                <w:noProof/>
                <w:lang w:eastAsia="en-ZA"/>
              </w:rPr>
              <w:tab/>
            </w:r>
            <w:r w:rsidR="00BC15EF" w:rsidRPr="001B5A8E">
              <w:rPr>
                <w:rStyle w:val="Hyperlink"/>
                <w:rFonts w:ascii="Times New Roman" w:hAnsi="Times New Roman" w:cs="Times New Roman"/>
                <w:b/>
                <w:noProof/>
              </w:rPr>
              <w:t>Definitions</w:t>
            </w:r>
            <w:r w:rsidR="00BC15EF">
              <w:rPr>
                <w:noProof/>
                <w:webHidden/>
              </w:rPr>
              <w:tab/>
            </w:r>
            <w:r w:rsidR="00BC15EF">
              <w:rPr>
                <w:noProof/>
                <w:webHidden/>
              </w:rPr>
              <w:fldChar w:fldCharType="begin"/>
            </w:r>
            <w:r w:rsidR="00BC15EF">
              <w:rPr>
                <w:noProof/>
                <w:webHidden/>
              </w:rPr>
              <w:instrText xml:space="preserve"> PAGEREF _Toc506717766 \h </w:instrText>
            </w:r>
            <w:r w:rsidR="00BC15EF">
              <w:rPr>
                <w:noProof/>
                <w:webHidden/>
              </w:rPr>
            </w:r>
            <w:r w:rsidR="00BC15EF">
              <w:rPr>
                <w:noProof/>
                <w:webHidden/>
              </w:rPr>
              <w:fldChar w:fldCharType="separate"/>
            </w:r>
            <w:r w:rsidR="00BC15EF">
              <w:rPr>
                <w:noProof/>
                <w:webHidden/>
              </w:rPr>
              <w:t>17</w:t>
            </w:r>
            <w:r w:rsidR="00BC15EF">
              <w:rPr>
                <w:noProof/>
                <w:webHidden/>
              </w:rPr>
              <w:fldChar w:fldCharType="end"/>
            </w:r>
          </w:hyperlink>
        </w:p>
        <w:p w14:paraId="7D24D341" w14:textId="77777777" w:rsidR="00BC15EF" w:rsidRDefault="004A65CA">
          <w:pPr>
            <w:pStyle w:val="TOC2"/>
            <w:tabs>
              <w:tab w:val="left" w:pos="880"/>
              <w:tab w:val="right" w:leader="dot" w:pos="9016"/>
            </w:tabs>
            <w:rPr>
              <w:rFonts w:eastAsiaTheme="minorEastAsia"/>
              <w:noProof/>
              <w:lang w:eastAsia="en-ZA"/>
            </w:rPr>
          </w:pPr>
          <w:hyperlink w:anchor="_Toc506717767" w:history="1">
            <w:r w:rsidR="00BC15EF" w:rsidRPr="001B5A8E">
              <w:rPr>
                <w:rStyle w:val="Hyperlink"/>
                <w:rFonts w:ascii="Times New Roman" w:hAnsi="Times New Roman" w:cs="Times New Roman"/>
                <w:b/>
                <w:noProof/>
              </w:rPr>
              <w:t>1.8</w:t>
            </w:r>
            <w:r w:rsidR="00BC15EF">
              <w:rPr>
                <w:rFonts w:eastAsiaTheme="minorEastAsia"/>
                <w:noProof/>
                <w:lang w:eastAsia="en-ZA"/>
              </w:rPr>
              <w:tab/>
            </w:r>
            <w:r w:rsidR="00BC15EF" w:rsidRPr="001B5A8E">
              <w:rPr>
                <w:rStyle w:val="Hyperlink"/>
                <w:rFonts w:ascii="Times New Roman" w:hAnsi="Times New Roman" w:cs="Times New Roman"/>
                <w:b/>
                <w:noProof/>
              </w:rPr>
              <w:t>Structure of the Report</w:t>
            </w:r>
            <w:r w:rsidR="00BC15EF">
              <w:rPr>
                <w:noProof/>
                <w:webHidden/>
              </w:rPr>
              <w:tab/>
            </w:r>
            <w:r w:rsidR="00BC15EF">
              <w:rPr>
                <w:noProof/>
                <w:webHidden/>
              </w:rPr>
              <w:fldChar w:fldCharType="begin"/>
            </w:r>
            <w:r w:rsidR="00BC15EF">
              <w:rPr>
                <w:noProof/>
                <w:webHidden/>
              </w:rPr>
              <w:instrText xml:space="preserve"> PAGEREF _Toc506717767 \h </w:instrText>
            </w:r>
            <w:r w:rsidR="00BC15EF">
              <w:rPr>
                <w:noProof/>
                <w:webHidden/>
              </w:rPr>
            </w:r>
            <w:r w:rsidR="00BC15EF">
              <w:rPr>
                <w:noProof/>
                <w:webHidden/>
              </w:rPr>
              <w:fldChar w:fldCharType="separate"/>
            </w:r>
            <w:r w:rsidR="00BC15EF">
              <w:rPr>
                <w:noProof/>
                <w:webHidden/>
              </w:rPr>
              <w:t>19</w:t>
            </w:r>
            <w:r w:rsidR="00BC15EF">
              <w:rPr>
                <w:noProof/>
                <w:webHidden/>
              </w:rPr>
              <w:fldChar w:fldCharType="end"/>
            </w:r>
          </w:hyperlink>
        </w:p>
        <w:p w14:paraId="08C966D8" w14:textId="77777777" w:rsidR="00BC15EF" w:rsidRDefault="004A65CA">
          <w:pPr>
            <w:pStyle w:val="TOC1"/>
            <w:tabs>
              <w:tab w:val="right" w:leader="dot" w:pos="9016"/>
            </w:tabs>
            <w:rPr>
              <w:rFonts w:eastAsiaTheme="minorEastAsia"/>
              <w:noProof/>
              <w:lang w:eastAsia="en-ZA"/>
            </w:rPr>
          </w:pPr>
          <w:hyperlink w:anchor="_Toc506717768" w:history="1">
            <w:r w:rsidR="00BC15EF" w:rsidRPr="001B5A8E">
              <w:rPr>
                <w:rStyle w:val="Hyperlink"/>
                <w:rFonts w:ascii="Times New Roman" w:hAnsi="Times New Roman" w:cs="Times New Roman"/>
                <w:b/>
                <w:noProof/>
              </w:rPr>
              <w:t>CHAPTER 2 – LITERATURE REVIEW</w:t>
            </w:r>
            <w:r w:rsidR="00BC15EF">
              <w:rPr>
                <w:noProof/>
                <w:webHidden/>
              </w:rPr>
              <w:tab/>
            </w:r>
            <w:r w:rsidR="00BC15EF">
              <w:rPr>
                <w:noProof/>
                <w:webHidden/>
              </w:rPr>
              <w:fldChar w:fldCharType="begin"/>
            </w:r>
            <w:r w:rsidR="00BC15EF">
              <w:rPr>
                <w:noProof/>
                <w:webHidden/>
              </w:rPr>
              <w:instrText xml:space="preserve"> PAGEREF _Toc506717768 \h </w:instrText>
            </w:r>
            <w:r w:rsidR="00BC15EF">
              <w:rPr>
                <w:noProof/>
                <w:webHidden/>
              </w:rPr>
            </w:r>
            <w:r w:rsidR="00BC15EF">
              <w:rPr>
                <w:noProof/>
                <w:webHidden/>
              </w:rPr>
              <w:fldChar w:fldCharType="separate"/>
            </w:r>
            <w:r w:rsidR="00BC15EF">
              <w:rPr>
                <w:noProof/>
                <w:webHidden/>
              </w:rPr>
              <w:t>21</w:t>
            </w:r>
            <w:r w:rsidR="00BC15EF">
              <w:rPr>
                <w:noProof/>
                <w:webHidden/>
              </w:rPr>
              <w:fldChar w:fldCharType="end"/>
            </w:r>
          </w:hyperlink>
        </w:p>
        <w:p w14:paraId="317B1442" w14:textId="77777777" w:rsidR="00BC15EF" w:rsidRDefault="004A65CA">
          <w:pPr>
            <w:pStyle w:val="TOC2"/>
            <w:tabs>
              <w:tab w:val="left" w:pos="880"/>
              <w:tab w:val="right" w:leader="dot" w:pos="9016"/>
            </w:tabs>
            <w:rPr>
              <w:rFonts w:eastAsiaTheme="minorEastAsia"/>
              <w:noProof/>
              <w:lang w:eastAsia="en-ZA"/>
            </w:rPr>
          </w:pPr>
          <w:hyperlink w:anchor="_Toc506717769" w:history="1">
            <w:r w:rsidR="00BC15EF" w:rsidRPr="001B5A8E">
              <w:rPr>
                <w:rStyle w:val="Hyperlink"/>
                <w:rFonts w:ascii="Times New Roman" w:hAnsi="Times New Roman" w:cs="Times New Roman"/>
                <w:b/>
                <w:noProof/>
              </w:rPr>
              <w:t>2.1</w:t>
            </w:r>
            <w:r w:rsidR="00BC15EF">
              <w:rPr>
                <w:rFonts w:eastAsiaTheme="minorEastAsia"/>
                <w:noProof/>
                <w:lang w:eastAsia="en-ZA"/>
              </w:rPr>
              <w:tab/>
            </w:r>
            <w:r w:rsidR="00BC15EF" w:rsidRPr="001B5A8E">
              <w:rPr>
                <w:rStyle w:val="Hyperlink"/>
                <w:rFonts w:ascii="Times New Roman" w:hAnsi="Times New Roman" w:cs="Times New Roman"/>
                <w:b/>
                <w:noProof/>
              </w:rPr>
              <w:t>Broad-Based Black Economic Empowerment and Dividend Policy</w:t>
            </w:r>
            <w:r w:rsidR="00BC15EF">
              <w:rPr>
                <w:noProof/>
                <w:webHidden/>
              </w:rPr>
              <w:tab/>
            </w:r>
            <w:r w:rsidR="00BC15EF">
              <w:rPr>
                <w:noProof/>
                <w:webHidden/>
              </w:rPr>
              <w:fldChar w:fldCharType="begin"/>
            </w:r>
            <w:r w:rsidR="00BC15EF">
              <w:rPr>
                <w:noProof/>
                <w:webHidden/>
              </w:rPr>
              <w:instrText xml:space="preserve"> PAGEREF _Toc506717769 \h </w:instrText>
            </w:r>
            <w:r w:rsidR="00BC15EF">
              <w:rPr>
                <w:noProof/>
                <w:webHidden/>
              </w:rPr>
            </w:r>
            <w:r w:rsidR="00BC15EF">
              <w:rPr>
                <w:noProof/>
                <w:webHidden/>
              </w:rPr>
              <w:fldChar w:fldCharType="separate"/>
            </w:r>
            <w:r w:rsidR="00BC15EF">
              <w:rPr>
                <w:noProof/>
                <w:webHidden/>
              </w:rPr>
              <w:t>21</w:t>
            </w:r>
            <w:r w:rsidR="00BC15EF">
              <w:rPr>
                <w:noProof/>
                <w:webHidden/>
              </w:rPr>
              <w:fldChar w:fldCharType="end"/>
            </w:r>
          </w:hyperlink>
        </w:p>
        <w:p w14:paraId="59C4ECC2" w14:textId="77777777" w:rsidR="00BC15EF" w:rsidRDefault="004A65CA">
          <w:pPr>
            <w:pStyle w:val="TOC2"/>
            <w:tabs>
              <w:tab w:val="left" w:pos="880"/>
              <w:tab w:val="right" w:leader="dot" w:pos="9016"/>
            </w:tabs>
            <w:rPr>
              <w:rFonts w:eastAsiaTheme="minorEastAsia"/>
              <w:noProof/>
              <w:lang w:eastAsia="en-ZA"/>
            </w:rPr>
          </w:pPr>
          <w:hyperlink w:anchor="_Toc506717770" w:history="1">
            <w:r w:rsidR="00BC15EF" w:rsidRPr="001B5A8E">
              <w:rPr>
                <w:rStyle w:val="Hyperlink"/>
                <w:rFonts w:ascii="Times New Roman" w:hAnsi="Times New Roman" w:cs="Times New Roman"/>
                <w:b/>
                <w:noProof/>
              </w:rPr>
              <w:t>2.2</w:t>
            </w:r>
            <w:r w:rsidR="00BC15EF">
              <w:rPr>
                <w:rFonts w:eastAsiaTheme="minorEastAsia"/>
                <w:noProof/>
                <w:lang w:eastAsia="en-ZA"/>
              </w:rPr>
              <w:tab/>
            </w:r>
            <w:r w:rsidR="00BC15EF" w:rsidRPr="001B5A8E">
              <w:rPr>
                <w:rStyle w:val="Hyperlink"/>
                <w:rFonts w:ascii="Times New Roman" w:hAnsi="Times New Roman" w:cs="Times New Roman"/>
                <w:b/>
                <w:noProof/>
              </w:rPr>
              <w:t>Funding Institutions</w:t>
            </w:r>
            <w:r w:rsidR="00BC15EF">
              <w:rPr>
                <w:noProof/>
                <w:webHidden/>
              </w:rPr>
              <w:tab/>
            </w:r>
            <w:r w:rsidR="00BC15EF">
              <w:rPr>
                <w:noProof/>
                <w:webHidden/>
              </w:rPr>
              <w:fldChar w:fldCharType="begin"/>
            </w:r>
            <w:r w:rsidR="00BC15EF">
              <w:rPr>
                <w:noProof/>
                <w:webHidden/>
              </w:rPr>
              <w:instrText xml:space="preserve"> PAGEREF _Toc506717770 \h </w:instrText>
            </w:r>
            <w:r w:rsidR="00BC15EF">
              <w:rPr>
                <w:noProof/>
                <w:webHidden/>
              </w:rPr>
            </w:r>
            <w:r w:rsidR="00BC15EF">
              <w:rPr>
                <w:noProof/>
                <w:webHidden/>
              </w:rPr>
              <w:fldChar w:fldCharType="separate"/>
            </w:r>
            <w:r w:rsidR="00BC15EF">
              <w:rPr>
                <w:noProof/>
                <w:webHidden/>
              </w:rPr>
              <w:t>21</w:t>
            </w:r>
            <w:r w:rsidR="00BC15EF">
              <w:rPr>
                <w:noProof/>
                <w:webHidden/>
              </w:rPr>
              <w:fldChar w:fldCharType="end"/>
            </w:r>
          </w:hyperlink>
        </w:p>
        <w:p w14:paraId="72BBC4EF" w14:textId="77777777" w:rsidR="00BC15EF" w:rsidRDefault="004A65CA">
          <w:pPr>
            <w:pStyle w:val="TOC2"/>
            <w:tabs>
              <w:tab w:val="left" w:pos="1100"/>
              <w:tab w:val="right" w:leader="dot" w:pos="9016"/>
            </w:tabs>
            <w:rPr>
              <w:rFonts w:eastAsiaTheme="minorEastAsia"/>
              <w:noProof/>
              <w:lang w:eastAsia="en-ZA"/>
            </w:rPr>
          </w:pPr>
          <w:hyperlink w:anchor="_Toc506717771" w:history="1">
            <w:r w:rsidR="00BC15EF" w:rsidRPr="001B5A8E">
              <w:rPr>
                <w:rStyle w:val="Hyperlink"/>
                <w:rFonts w:ascii="Times New Roman" w:hAnsi="Times New Roman" w:cs="Times New Roman"/>
                <w:b/>
                <w:noProof/>
              </w:rPr>
              <w:t>2.3.1</w:t>
            </w:r>
            <w:r w:rsidR="00BC15EF">
              <w:rPr>
                <w:rFonts w:eastAsiaTheme="minorEastAsia"/>
                <w:noProof/>
                <w:lang w:eastAsia="en-ZA"/>
              </w:rPr>
              <w:tab/>
            </w:r>
            <w:r w:rsidR="00BC15EF" w:rsidRPr="001B5A8E">
              <w:rPr>
                <w:rStyle w:val="Hyperlink"/>
                <w:rFonts w:ascii="Times New Roman" w:hAnsi="Times New Roman" w:cs="Times New Roman"/>
                <w:b/>
                <w:noProof/>
              </w:rPr>
              <w:t>Types of Broad-Based Black Economic Empowerment Funding Models</w:t>
            </w:r>
            <w:r w:rsidR="00BC15EF">
              <w:rPr>
                <w:noProof/>
                <w:webHidden/>
              </w:rPr>
              <w:tab/>
            </w:r>
            <w:r w:rsidR="00BC15EF">
              <w:rPr>
                <w:noProof/>
                <w:webHidden/>
              </w:rPr>
              <w:fldChar w:fldCharType="begin"/>
            </w:r>
            <w:r w:rsidR="00BC15EF">
              <w:rPr>
                <w:noProof/>
                <w:webHidden/>
              </w:rPr>
              <w:instrText xml:space="preserve"> PAGEREF _Toc506717771 \h </w:instrText>
            </w:r>
            <w:r w:rsidR="00BC15EF">
              <w:rPr>
                <w:noProof/>
                <w:webHidden/>
              </w:rPr>
            </w:r>
            <w:r w:rsidR="00BC15EF">
              <w:rPr>
                <w:noProof/>
                <w:webHidden/>
              </w:rPr>
              <w:fldChar w:fldCharType="separate"/>
            </w:r>
            <w:r w:rsidR="00BC15EF">
              <w:rPr>
                <w:noProof/>
                <w:webHidden/>
              </w:rPr>
              <w:t>22</w:t>
            </w:r>
            <w:r w:rsidR="00BC15EF">
              <w:rPr>
                <w:noProof/>
                <w:webHidden/>
              </w:rPr>
              <w:fldChar w:fldCharType="end"/>
            </w:r>
          </w:hyperlink>
        </w:p>
        <w:p w14:paraId="287F0BB2" w14:textId="77777777" w:rsidR="00BC15EF" w:rsidRDefault="004A65CA">
          <w:pPr>
            <w:pStyle w:val="TOC2"/>
            <w:tabs>
              <w:tab w:val="left" w:pos="1100"/>
              <w:tab w:val="right" w:leader="dot" w:pos="9016"/>
            </w:tabs>
            <w:rPr>
              <w:rFonts w:eastAsiaTheme="minorEastAsia"/>
              <w:noProof/>
              <w:lang w:eastAsia="en-ZA"/>
            </w:rPr>
          </w:pPr>
          <w:hyperlink w:anchor="_Toc506717772" w:history="1">
            <w:r w:rsidR="00BC15EF" w:rsidRPr="001B5A8E">
              <w:rPr>
                <w:rStyle w:val="Hyperlink"/>
                <w:rFonts w:ascii="Times New Roman" w:hAnsi="Times New Roman" w:cs="Times New Roman"/>
                <w:b/>
                <w:noProof/>
              </w:rPr>
              <w:t>2.3.2</w:t>
            </w:r>
            <w:r w:rsidR="00BC15EF">
              <w:rPr>
                <w:rFonts w:eastAsiaTheme="minorEastAsia"/>
                <w:noProof/>
                <w:lang w:eastAsia="en-ZA"/>
              </w:rPr>
              <w:tab/>
            </w:r>
            <w:r w:rsidR="00BC15EF" w:rsidRPr="001B5A8E">
              <w:rPr>
                <w:rStyle w:val="Hyperlink"/>
                <w:rFonts w:ascii="Times New Roman" w:hAnsi="Times New Roman" w:cs="Times New Roman"/>
                <w:b/>
                <w:noProof/>
              </w:rPr>
              <w:t>First Phase of Funding Models</w:t>
            </w:r>
            <w:r w:rsidR="00BC15EF">
              <w:rPr>
                <w:noProof/>
                <w:webHidden/>
              </w:rPr>
              <w:tab/>
            </w:r>
            <w:r w:rsidR="00BC15EF">
              <w:rPr>
                <w:noProof/>
                <w:webHidden/>
              </w:rPr>
              <w:fldChar w:fldCharType="begin"/>
            </w:r>
            <w:r w:rsidR="00BC15EF">
              <w:rPr>
                <w:noProof/>
                <w:webHidden/>
              </w:rPr>
              <w:instrText xml:space="preserve"> PAGEREF _Toc506717772 \h </w:instrText>
            </w:r>
            <w:r w:rsidR="00BC15EF">
              <w:rPr>
                <w:noProof/>
                <w:webHidden/>
              </w:rPr>
            </w:r>
            <w:r w:rsidR="00BC15EF">
              <w:rPr>
                <w:noProof/>
                <w:webHidden/>
              </w:rPr>
              <w:fldChar w:fldCharType="separate"/>
            </w:r>
            <w:r w:rsidR="00BC15EF">
              <w:rPr>
                <w:noProof/>
                <w:webHidden/>
              </w:rPr>
              <w:t>23</w:t>
            </w:r>
            <w:r w:rsidR="00BC15EF">
              <w:rPr>
                <w:noProof/>
                <w:webHidden/>
              </w:rPr>
              <w:fldChar w:fldCharType="end"/>
            </w:r>
          </w:hyperlink>
        </w:p>
        <w:p w14:paraId="2CF083B5" w14:textId="77777777" w:rsidR="00BC15EF" w:rsidRDefault="004A65CA">
          <w:pPr>
            <w:pStyle w:val="TOC3"/>
            <w:tabs>
              <w:tab w:val="left" w:pos="1320"/>
              <w:tab w:val="right" w:leader="dot" w:pos="9016"/>
            </w:tabs>
            <w:rPr>
              <w:rFonts w:cstheme="minorBidi"/>
              <w:noProof/>
              <w:lang w:val="en-ZA" w:eastAsia="en-ZA"/>
            </w:rPr>
          </w:pPr>
          <w:hyperlink w:anchor="_Toc506717773" w:history="1">
            <w:r w:rsidR="00BC15EF" w:rsidRPr="001B5A8E">
              <w:rPr>
                <w:rStyle w:val="Hyperlink"/>
                <w:rFonts w:ascii="Times New Roman" w:hAnsi="Times New Roman"/>
                <w:i/>
                <w:noProof/>
              </w:rPr>
              <w:t>2.3.2.1</w:t>
            </w:r>
            <w:r w:rsidR="00BC15EF">
              <w:rPr>
                <w:rFonts w:cstheme="minorBidi"/>
                <w:noProof/>
                <w:lang w:val="en-ZA" w:eastAsia="en-ZA"/>
              </w:rPr>
              <w:tab/>
            </w:r>
            <w:r w:rsidR="00BC15EF" w:rsidRPr="001B5A8E">
              <w:rPr>
                <w:rStyle w:val="Hyperlink"/>
                <w:rFonts w:ascii="Times New Roman" w:hAnsi="Times New Roman"/>
                <w:i/>
                <w:noProof/>
              </w:rPr>
              <w:t>Special Purpose Vehicle</w:t>
            </w:r>
            <w:r w:rsidR="00BC15EF">
              <w:rPr>
                <w:noProof/>
                <w:webHidden/>
              </w:rPr>
              <w:tab/>
            </w:r>
            <w:r w:rsidR="00BC15EF">
              <w:rPr>
                <w:noProof/>
                <w:webHidden/>
              </w:rPr>
              <w:fldChar w:fldCharType="begin"/>
            </w:r>
            <w:r w:rsidR="00BC15EF">
              <w:rPr>
                <w:noProof/>
                <w:webHidden/>
              </w:rPr>
              <w:instrText xml:space="preserve"> PAGEREF _Toc506717773 \h </w:instrText>
            </w:r>
            <w:r w:rsidR="00BC15EF">
              <w:rPr>
                <w:noProof/>
                <w:webHidden/>
              </w:rPr>
            </w:r>
            <w:r w:rsidR="00BC15EF">
              <w:rPr>
                <w:noProof/>
                <w:webHidden/>
              </w:rPr>
              <w:fldChar w:fldCharType="separate"/>
            </w:r>
            <w:r w:rsidR="00BC15EF">
              <w:rPr>
                <w:noProof/>
                <w:webHidden/>
              </w:rPr>
              <w:t>23</w:t>
            </w:r>
            <w:r w:rsidR="00BC15EF">
              <w:rPr>
                <w:noProof/>
                <w:webHidden/>
              </w:rPr>
              <w:fldChar w:fldCharType="end"/>
            </w:r>
          </w:hyperlink>
        </w:p>
        <w:p w14:paraId="21F97AA4" w14:textId="77777777" w:rsidR="00BC15EF" w:rsidRDefault="004A65CA">
          <w:pPr>
            <w:pStyle w:val="TOC3"/>
            <w:tabs>
              <w:tab w:val="left" w:pos="1320"/>
              <w:tab w:val="right" w:leader="dot" w:pos="9016"/>
            </w:tabs>
            <w:rPr>
              <w:rFonts w:cstheme="minorBidi"/>
              <w:noProof/>
              <w:lang w:val="en-ZA" w:eastAsia="en-ZA"/>
            </w:rPr>
          </w:pPr>
          <w:hyperlink w:anchor="_Toc506717774" w:history="1">
            <w:r w:rsidR="00BC15EF" w:rsidRPr="001B5A8E">
              <w:rPr>
                <w:rStyle w:val="Hyperlink"/>
                <w:rFonts w:ascii="Times New Roman" w:hAnsi="Times New Roman"/>
                <w:i/>
                <w:noProof/>
              </w:rPr>
              <w:t>2.3.2.2</w:t>
            </w:r>
            <w:r w:rsidR="00BC15EF">
              <w:rPr>
                <w:rFonts w:cstheme="minorBidi"/>
                <w:noProof/>
                <w:lang w:val="en-ZA" w:eastAsia="en-ZA"/>
              </w:rPr>
              <w:tab/>
            </w:r>
            <w:r w:rsidR="00BC15EF" w:rsidRPr="001B5A8E">
              <w:rPr>
                <w:rStyle w:val="Hyperlink"/>
                <w:rFonts w:ascii="Times New Roman" w:hAnsi="Times New Roman"/>
                <w:i/>
                <w:noProof/>
              </w:rPr>
              <w:t>Others Funding Models</w:t>
            </w:r>
            <w:r w:rsidR="00BC15EF">
              <w:rPr>
                <w:noProof/>
                <w:webHidden/>
              </w:rPr>
              <w:tab/>
            </w:r>
            <w:r w:rsidR="00BC15EF">
              <w:rPr>
                <w:noProof/>
                <w:webHidden/>
              </w:rPr>
              <w:fldChar w:fldCharType="begin"/>
            </w:r>
            <w:r w:rsidR="00BC15EF">
              <w:rPr>
                <w:noProof/>
                <w:webHidden/>
              </w:rPr>
              <w:instrText xml:space="preserve"> PAGEREF _Toc506717774 \h </w:instrText>
            </w:r>
            <w:r w:rsidR="00BC15EF">
              <w:rPr>
                <w:noProof/>
                <w:webHidden/>
              </w:rPr>
            </w:r>
            <w:r w:rsidR="00BC15EF">
              <w:rPr>
                <w:noProof/>
                <w:webHidden/>
              </w:rPr>
              <w:fldChar w:fldCharType="separate"/>
            </w:r>
            <w:r w:rsidR="00BC15EF">
              <w:rPr>
                <w:noProof/>
                <w:webHidden/>
              </w:rPr>
              <w:t>24</w:t>
            </w:r>
            <w:r w:rsidR="00BC15EF">
              <w:rPr>
                <w:noProof/>
                <w:webHidden/>
              </w:rPr>
              <w:fldChar w:fldCharType="end"/>
            </w:r>
          </w:hyperlink>
        </w:p>
        <w:p w14:paraId="7AE2AEC8" w14:textId="77777777" w:rsidR="00BC15EF" w:rsidRDefault="004A65CA">
          <w:pPr>
            <w:pStyle w:val="TOC2"/>
            <w:tabs>
              <w:tab w:val="left" w:pos="1100"/>
              <w:tab w:val="right" w:leader="dot" w:pos="9016"/>
            </w:tabs>
            <w:rPr>
              <w:rFonts w:eastAsiaTheme="minorEastAsia"/>
              <w:noProof/>
              <w:lang w:eastAsia="en-ZA"/>
            </w:rPr>
          </w:pPr>
          <w:hyperlink w:anchor="_Toc506717775" w:history="1">
            <w:r w:rsidR="00BC15EF" w:rsidRPr="001B5A8E">
              <w:rPr>
                <w:rStyle w:val="Hyperlink"/>
                <w:rFonts w:ascii="Times New Roman" w:hAnsi="Times New Roman" w:cs="Times New Roman"/>
                <w:b/>
                <w:noProof/>
              </w:rPr>
              <w:t>2.3.3</w:t>
            </w:r>
            <w:r w:rsidR="00BC15EF">
              <w:rPr>
                <w:rFonts w:eastAsiaTheme="minorEastAsia"/>
                <w:noProof/>
                <w:lang w:eastAsia="en-ZA"/>
              </w:rPr>
              <w:tab/>
            </w:r>
            <w:r w:rsidR="00BC15EF" w:rsidRPr="001B5A8E">
              <w:rPr>
                <w:rStyle w:val="Hyperlink"/>
                <w:rFonts w:ascii="Times New Roman" w:hAnsi="Times New Roman" w:cs="Times New Roman"/>
                <w:b/>
                <w:noProof/>
              </w:rPr>
              <w:t>Reasons for Failure of the First Phase Funding Models</w:t>
            </w:r>
            <w:r w:rsidR="00BC15EF">
              <w:rPr>
                <w:noProof/>
                <w:webHidden/>
              </w:rPr>
              <w:tab/>
            </w:r>
            <w:r w:rsidR="00BC15EF">
              <w:rPr>
                <w:noProof/>
                <w:webHidden/>
              </w:rPr>
              <w:fldChar w:fldCharType="begin"/>
            </w:r>
            <w:r w:rsidR="00BC15EF">
              <w:rPr>
                <w:noProof/>
                <w:webHidden/>
              </w:rPr>
              <w:instrText xml:space="preserve"> PAGEREF _Toc506717775 \h </w:instrText>
            </w:r>
            <w:r w:rsidR="00BC15EF">
              <w:rPr>
                <w:noProof/>
                <w:webHidden/>
              </w:rPr>
            </w:r>
            <w:r w:rsidR="00BC15EF">
              <w:rPr>
                <w:noProof/>
                <w:webHidden/>
              </w:rPr>
              <w:fldChar w:fldCharType="separate"/>
            </w:r>
            <w:r w:rsidR="00BC15EF">
              <w:rPr>
                <w:noProof/>
                <w:webHidden/>
              </w:rPr>
              <w:t>26</w:t>
            </w:r>
            <w:r w:rsidR="00BC15EF">
              <w:rPr>
                <w:noProof/>
                <w:webHidden/>
              </w:rPr>
              <w:fldChar w:fldCharType="end"/>
            </w:r>
          </w:hyperlink>
        </w:p>
        <w:p w14:paraId="65581A40" w14:textId="77777777" w:rsidR="00BC15EF" w:rsidRDefault="004A65CA">
          <w:pPr>
            <w:pStyle w:val="TOC2"/>
            <w:tabs>
              <w:tab w:val="left" w:pos="1100"/>
              <w:tab w:val="right" w:leader="dot" w:pos="9016"/>
            </w:tabs>
            <w:rPr>
              <w:rFonts w:eastAsiaTheme="minorEastAsia"/>
              <w:noProof/>
              <w:lang w:eastAsia="en-ZA"/>
            </w:rPr>
          </w:pPr>
          <w:hyperlink w:anchor="_Toc506717776" w:history="1">
            <w:r w:rsidR="00BC15EF" w:rsidRPr="001B5A8E">
              <w:rPr>
                <w:rStyle w:val="Hyperlink"/>
                <w:rFonts w:ascii="Times New Roman" w:hAnsi="Times New Roman" w:cs="Times New Roman"/>
                <w:b/>
                <w:noProof/>
              </w:rPr>
              <w:t>2.3.4</w:t>
            </w:r>
            <w:r w:rsidR="00BC15EF">
              <w:rPr>
                <w:rFonts w:eastAsiaTheme="minorEastAsia"/>
                <w:noProof/>
                <w:lang w:eastAsia="en-ZA"/>
              </w:rPr>
              <w:tab/>
            </w:r>
            <w:r w:rsidR="00BC15EF" w:rsidRPr="001B5A8E">
              <w:rPr>
                <w:rStyle w:val="Hyperlink"/>
                <w:rFonts w:ascii="Times New Roman" w:hAnsi="Times New Roman" w:cs="Times New Roman"/>
                <w:b/>
                <w:noProof/>
              </w:rPr>
              <w:t>Second Phase of Funding Models</w:t>
            </w:r>
            <w:r w:rsidR="00BC15EF">
              <w:rPr>
                <w:noProof/>
                <w:webHidden/>
              </w:rPr>
              <w:tab/>
            </w:r>
            <w:r w:rsidR="00BC15EF">
              <w:rPr>
                <w:noProof/>
                <w:webHidden/>
              </w:rPr>
              <w:fldChar w:fldCharType="begin"/>
            </w:r>
            <w:r w:rsidR="00BC15EF">
              <w:rPr>
                <w:noProof/>
                <w:webHidden/>
              </w:rPr>
              <w:instrText xml:space="preserve"> PAGEREF _Toc506717776 \h </w:instrText>
            </w:r>
            <w:r w:rsidR="00BC15EF">
              <w:rPr>
                <w:noProof/>
                <w:webHidden/>
              </w:rPr>
            </w:r>
            <w:r w:rsidR="00BC15EF">
              <w:rPr>
                <w:noProof/>
                <w:webHidden/>
              </w:rPr>
              <w:fldChar w:fldCharType="separate"/>
            </w:r>
            <w:r w:rsidR="00BC15EF">
              <w:rPr>
                <w:noProof/>
                <w:webHidden/>
              </w:rPr>
              <w:t>27</w:t>
            </w:r>
            <w:r w:rsidR="00BC15EF">
              <w:rPr>
                <w:noProof/>
                <w:webHidden/>
              </w:rPr>
              <w:fldChar w:fldCharType="end"/>
            </w:r>
          </w:hyperlink>
        </w:p>
        <w:p w14:paraId="7FF40328" w14:textId="77777777" w:rsidR="00BC15EF" w:rsidRDefault="004A65CA">
          <w:pPr>
            <w:pStyle w:val="TOC3"/>
            <w:tabs>
              <w:tab w:val="left" w:pos="1320"/>
              <w:tab w:val="right" w:leader="dot" w:pos="9016"/>
            </w:tabs>
            <w:rPr>
              <w:rFonts w:cstheme="minorBidi"/>
              <w:noProof/>
              <w:lang w:val="en-ZA" w:eastAsia="en-ZA"/>
            </w:rPr>
          </w:pPr>
          <w:hyperlink w:anchor="_Toc506717777" w:history="1">
            <w:r w:rsidR="00BC15EF" w:rsidRPr="001B5A8E">
              <w:rPr>
                <w:rStyle w:val="Hyperlink"/>
                <w:rFonts w:ascii="Times New Roman" w:hAnsi="Times New Roman"/>
                <w:i/>
                <w:noProof/>
              </w:rPr>
              <w:t>2.3.4.1</w:t>
            </w:r>
            <w:r w:rsidR="00BC15EF">
              <w:rPr>
                <w:rFonts w:cstheme="minorBidi"/>
                <w:noProof/>
                <w:lang w:val="en-ZA" w:eastAsia="en-ZA"/>
              </w:rPr>
              <w:tab/>
            </w:r>
            <w:r w:rsidR="00BC15EF" w:rsidRPr="001B5A8E">
              <w:rPr>
                <w:rStyle w:val="Hyperlink"/>
                <w:rFonts w:ascii="Times New Roman" w:hAnsi="Times New Roman"/>
                <w:i/>
                <w:noProof/>
              </w:rPr>
              <w:t>Third Party Finance</w:t>
            </w:r>
            <w:r w:rsidR="00BC15EF">
              <w:rPr>
                <w:noProof/>
                <w:webHidden/>
              </w:rPr>
              <w:tab/>
            </w:r>
            <w:r w:rsidR="00BC15EF">
              <w:rPr>
                <w:noProof/>
                <w:webHidden/>
              </w:rPr>
              <w:fldChar w:fldCharType="begin"/>
            </w:r>
            <w:r w:rsidR="00BC15EF">
              <w:rPr>
                <w:noProof/>
                <w:webHidden/>
              </w:rPr>
              <w:instrText xml:space="preserve"> PAGEREF _Toc506717777 \h </w:instrText>
            </w:r>
            <w:r w:rsidR="00BC15EF">
              <w:rPr>
                <w:noProof/>
                <w:webHidden/>
              </w:rPr>
            </w:r>
            <w:r w:rsidR="00BC15EF">
              <w:rPr>
                <w:noProof/>
                <w:webHidden/>
              </w:rPr>
              <w:fldChar w:fldCharType="separate"/>
            </w:r>
            <w:r w:rsidR="00BC15EF">
              <w:rPr>
                <w:noProof/>
                <w:webHidden/>
              </w:rPr>
              <w:t>27</w:t>
            </w:r>
            <w:r w:rsidR="00BC15EF">
              <w:rPr>
                <w:noProof/>
                <w:webHidden/>
              </w:rPr>
              <w:fldChar w:fldCharType="end"/>
            </w:r>
          </w:hyperlink>
        </w:p>
        <w:p w14:paraId="4F2A03AD" w14:textId="77777777" w:rsidR="00BC15EF" w:rsidRDefault="004A65CA">
          <w:pPr>
            <w:pStyle w:val="TOC3"/>
            <w:tabs>
              <w:tab w:val="left" w:pos="1320"/>
              <w:tab w:val="right" w:leader="dot" w:pos="9016"/>
            </w:tabs>
            <w:rPr>
              <w:rFonts w:cstheme="minorBidi"/>
              <w:noProof/>
              <w:lang w:val="en-ZA" w:eastAsia="en-ZA"/>
            </w:rPr>
          </w:pPr>
          <w:hyperlink w:anchor="_Toc506717778" w:history="1">
            <w:r w:rsidR="00BC15EF" w:rsidRPr="001B5A8E">
              <w:rPr>
                <w:rStyle w:val="Hyperlink"/>
                <w:rFonts w:ascii="Times New Roman" w:hAnsi="Times New Roman"/>
                <w:i/>
                <w:noProof/>
              </w:rPr>
              <w:t>2.3.4.2</w:t>
            </w:r>
            <w:r w:rsidR="00BC15EF">
              <w:rPr>
                <w:rFonts w:cstheme="minorBidi"/>
                <w:noProof/>
                <w:lang w:val="en-ZA" w:eastAsia="en-ZA"/>
              </w:rPr>
              <w:tab/>
            </w:r>
            <w:r w:rsidR="00BC15EF" w:rsidRPr="001B5A8E">
              <w:rPr>
                <w:rStyle w:val="Hyperlink"/>
                <w:rFonts w:ascii="Times New Roman" w:hAnsi="Times New Roman"/>
                <w:i/>
                <w:noProof/>
              </w:rPr>
              <w:t>Vendor Finance</w:t>
            </w:r>
            <w:r w:rsidR="00BC15EF">
              <w:rPr>
                <w:noProof/>
                <w:webHidden/>
              </w:rPr>
              <w:tab/>
            </w:r>
            <w:r w:rsidR="00BC15EF">
              <w:rPr>
                <w:noProof/>
                <w:webHidden/>
              </w:rPr>
              <w:fldChar w:fldCharType="begin"/>
            </w:r>
            <w:r w:rsidR="00BC15EF">
              <w:rPr>
                <w:noProof/>
                <w:webHidden/>
              </w:rPr>
              <w:instrText xml:space="preserve"> PAGEREF _Toc506717778 \h </w:instrText>
            </w:r>
            <w:r w:rsidR="00BC15EF">
              <w:rPr>
                <w:noProof/>
                <w:webHidden/>
              </w:rPr>
            </w:r>
            <w:r w:rsidR="00BC15EF">
              <w:rPr>
                <w:noProof/>
                <w:webHidden/>
              </w:rPr>
              <w:fldChar w:fldCharType="separate"/>
            </w:r>
            <w:r w:rsidR="00BC15EF">
              <w:rPr>
                <w:noProof/>
                <w:webHidden/>
              </w:rPr>
              <w:t>29</w:t>
            </w:r>
            <w:r w:rsidR="00BC15EF">
              <w:rPr>
                <w:noProof/>
                <w:webHidden/>
              </w:rPr>
              <w:fldChar w:fldCharType="end"/>
            </w:r>
          </w:hyperlink>
        </w:p>
        <w:p w14:paraId="19DBDE4A" w14:textId="77777777" w:rsidR="00BC15EF" w:rsidRDefault="004A65CA">
          <w:pPr>
            <w:pStyle w:val="TOC3"/>
            <w:tabs>
              <w:tab w:val="left" w:pos="1320"/>
              <w:tab w:val="right" w:leader="dot" w:pos="9016"/>
            </w:tabs>
            <w:rPr>
              <w:rFonts w:cstheme="minorBidi"/>
              <w:noProof/>
              <w:lang w:val="en-ZA" w:eastAsia="en-ZA"/>
            </w:rPr>
          </w:pPr>
          <w:hyperlink w:anchor="_Toc506717779" w:history="1">
            <w:r w:rsidR="00BC15EF" w:rsidRPr="001B5A8E">
              <w:rPr>
                <w:rStyle w:val="Hyperlink"/>
                <w:rFonts w:ascii="Times New Roman" w:hAnsi="Times New Roman"/>
                <w:i/>
                <w:noProof/>
              </w:rPr>
              <w:t>2.3.4.3</w:t>
            </w:r>
            <w:r w:rsidR="00BC15EF">
              <w:rPr>
                <w:rFonts w:cstheme="minorBidi"/>
                <w:noProof/>
                <w:lang w:val="en-ZA" w:eastAsia="en-ZA"/>
              </w:rPr>
              <w:tab/>
            </w:r>
            <w:r w:rsidR="00BC15EF" w:rsidRPr="001B5A8E">
              <w:rPr>
                <w:rStyle w:val="Hyperlink"/>
                <w:rFonts w:ascii="Times New Roman" w:hAnsi="Times New Roman"/>
                <w:i/>
                <w:noProof/>
              </w:rPr>
              <w:t>Derivatives</w:t>
            </w:r>
            <w:r w:rsidR="00BC15EF">
              <w:rPr>
                <w:noProof/>
                <w:webHidden/>
              </w:rPr>
              <w:tab/>
            </w:r>
            <w:r w:rsidR="00BC15EF">
              <w:rPr>
                <w:noProof/>
                <w:webHidden/>
              </w:rPr>
              <w:fldChar w:fldCharType="begin"/>
            </w:r>
            <w:r w:rsidR="00BC15EF">
              <w:rPr>
                <w:noProof/>
                <w:webHidden/>
              </w:rPr>
              <w:instrText xml:space="preserve"> PAGEREF _Toc506717779 \h </w:instrText>
            </w:r>
            <w:r w:rsidR="00BC15EF">
              <w:rPr>
                <w:noProof/>
                <w:webHidden/>
              </w:rPr>
            </w:r>
            <w:r w:rsidR="00BC15EF">
              <w:rPr>
                <w:noProof/>
                <w:webHidden/>
              </w:rPr>
              <w:fldChar w:fldCharType="separate"/>
            </w:r>
            <w:r w:rsidR="00BC15EF">
              <w:rPr>
                <w:noProof/>
                <w:webHidden/>
              </w:rPr>
              <w:t>29</w:t>
            </w:r>
            <w:r w:rsidR="00BC15EF">
              <w:rPr>
                <w:noProof/>
                <w:webHidden/>
              </w:rPr>
              <w:fldChar w:fldCharType="end"/>
            </w:r>
          </w:hyperlink>
        </w:p>
        <w:p w14:paraId="22EB7994" w14:textId="77777777" w:rsidR="00BC15EF" w:rsidRDefault="004A65CA">
          <w:pPr>
            <w:pStyle w:val="TOC3"/>
            <w:tabs>
              <w:tab w:val="left" w:pos="1320"/>
              <w:tab w:val="right" w:leader="dot" w:pos="9016"/>
            </w:tabs>
            <w:rPr>
              <w:rFonts w:cstheme="minorBidi"/>
              <w:noProof/>
              <w:lang w:val="en-ZA" w:eastAsia="en-ZA"/>
            </w:rPr>
          </w:pPr>
          <w:hyperlink w:anchor="_Toc506717780" w:history="1">
            <w:r w:rsidR="00BC15EF" w:rsidRPr="001B5A8E">
              <w:rPr>
                <w:rStyle w:val="Hyperlink"/>
                <w:rFonts w:ascii="Times New Roman" w:hAnsi="Times New Roman"/>
                <w:i/>
                <w:noProof/>
              </w:rPr>
              <w:t>2.3.4.4</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_Toc506717780 \h </w:instrText>
            </w:r>
            <w:r w:rsidR="00BC15EF">
              <w:rPr>
                <w:noProof/>
                <w:webHidden/>
              </w:rPr>
            </w:r>
            <w:r w:rsidR="00BC15EF">
              <w:rPr>
                <w:noProof/>
                <w:webHidden/>
              </w:rPr>
              <w:fldChar w:fldCharType="separate"/>
            </w:r>
            <w:r w:rsidR="00BC15EF">
              <w:rPr>
                <w:noProof/>
                <w:webHidden/>
              </w:rPr>
              <w:t>30</w:t>
            </w:r>
            <w:r w:rsidR="00BC15EF">
              <w:rPr>
                <w:noProof/>
                <w:webHidden/>
              </w:rPr>
              <w:fldChar w:fldCharType="end"/>
            </w:r>
          </w:hyperlink>
        </w:p>
        <w:p w14:paraId="3EA3DB30" w14:textId="77777777" w:rsidR="00BC15EF" w:rsidRDefault="004A65CA">
          <w:pPr>
            <w:pStyle w:val="TOC2"/>
            <w:tabs>
              <w:tab w:val="left" w:pos="1100"/>
              <w:tab w:val="right" w:leader="dot" w:pos="9016"/>
            </w:tabs>
            <w:rPr>
              <w:rFonts w:eastAsiaTheme="minorEastAsia"/>
              <w:noProof/>
              <w:lang w:eastAsia="en-ZA"/>
            </w:rPr>
          </w:pPr>
          <w:hyperlink w:anchor="_Toc506717781" w:history="1">
            <w:r w:rsidR="00BC15EF" w:rsidRPr="001B5A8E">
              <w:rPr>
                <w:rStyle w:val="Hyperlink"/>
                <w:rFonts w:ascii="Times New Roman" w:hAnsi="Times New Roman" w:cs="Times New Roman"/>
                <w:b/>
                <w:noProof/>
              </w:rPr>
              <w:t>2.4.1</w:t>
            </w:r>
            <w:r w:rsidR="00BC15EF">
              <w:rPr>
                <w:rFonts w:eastAsiaTheme="minorEastAsia"/>
                <w:noProof/>
                <w:lang w:eastAsia="en-ZA"/>
              </w:rPr>
              <w:tab/>
            </w:r>
            <w:r w:rsidR="00BC15EF" w:rsidRPr="001B5A8E">
              <w:rPr>
                <w:rStyle w:val="Hyperlink"/>
                <w:rFonts w:ascii="Times New Roman" w:hAnsi="Times New Roman" w:cs="Times New Roman"/>
                <w:b/>
                <w:noProof/>
              </w:rPr>
              <w:t>General Determinants of Dividend Policy</w:t>
            </w:r>
            <w:r w:rsidR="00BC15EF">
              <w:rPr>
                <w:noProof/>
                <w:webHidden/>
              </w:rPr>
              <w:tab/>
            </w:r>
            <w:r w:rsidR="00BC15EF">
              <w:rPr>
                <w:noProof/>
                <w:webHidden/>
              </w:rPr>
              <w:fldChar w:fldCharType="begin"/>
            </w:r>
            <w:r w:rsidR="00BC15EF">
              <w:rPr>
                <w:noProof/>
                <w:webHidden/>
              </w:rPr>
              <w:instrText xml:space="preserve"> PAGEREF _Toc506717781 \h </w:instrText>
            </w:r>
            <w:r w:rsidR="00BC15EF">
              <w:rPr>
                <w:noProof/>
                <w:webHidden/>
              </w:rPr>
            </w:r>
            <w:r w:rsidR="00BC15EF">
              <w:rPr>
                <w:noProof/>
                <w:webHidden/>
              </w:rPr>
              <w:fldChar w:fldCharType="separate"/>
            </w:r>
            <w:r w:rsidR="00BC15EF">
              <w:rPr>
                <w:noProof/>
                <w:webHidden/>
              </w:rPr>
              <w:t>31</w:t>
            </w:r>
            <w:r w:rsidR="00BC15EF">
              <w:rPr>
                <w:noProof/>
                <w:webHidden/>
              </w:rPr>
              <w:fldChar w:fldCharType="end"/>
            </w:r>
          </w:hyperlink>
        </w:p>
        <w:p w14:paraId="2F1C91A9" w14:textId="77777777" w:rsidR="00BC15EF" w:rsidRDefault="004A65CA">
          <w:pPr>
            <w:pStyle w:val="TOC3"/>
            <w:tabs>
              <w:tab w:val="left" w:pos="1320"/>
              <w:tab w:val="right" w:leader="dot" w:pos="9016"/>
            </w:tabs>
            <w:rPr>
              <w:rFonts w:cstheme="minorBidi"/>
              <w:noProof/>
              <w:lang w:val="en-ZA" w:eastAsia="en-ZA"/>
            </w:rPr>
          </w:pPr>
          <w:hyperlink w:anchor="_Toc506717782" w:history="1">
            <w:r w:rsidR="00BC15EF" w:rsidRPr="001B5A8E">
              <w:rPr>
                <w:rStyle w:val="Hyperlink"/>
                <w:rFonts w:ascii="Times New Roman" w:hAnsi="Times New Roman"/>
                <w:i/>
                <w:noProof/>
              </w:rPr>
              <w:t>2.4.1.1</w:t>
            </w:r>
            <w:r w:rsidR="00BC15EF">
              <w:rPr>
                <w:rFonts w:cstheme="minorBidi"/>
                <w:noProof/>
                <w:lang w:val="en-ZA" w:eastAsia="en-ZA"/>
              </w:rPr>
              <w:tab/>
            </w:r>
            <w:r w:rsidR="00BC15EF" w:rsidRPr="001B5A8E">
              <w:rPr>
                <w:rStyle w:val="Hyperlink"/>
                <w:rFonts w:ascii="Times New Roman" w:hAnsi="Times New Roman"/>
                <w:i/>
                <w:noProof/>
              </w:rPr>
              <w:t>Fundamental Theories</w:t>
            </w:r>
            <w:r w:rsidR="00BC15EF">
              <w:rPr>
                <w:noProof/>
                <w:webHidden/>
              </w:rPr>
              <w:tab/>
            </w:r>
            <w:r w:rsidR="00BC15EF">
              <w:rPr>
                <w:noProof/>
                <w:webHidden/>
              </w:rPr>
              <w:fldChar w:fldCharType="begin"/>
            </w:r>
            <w:r w:rsidR="00BC15EF">
              <w:rPr>
                <w:noProof/>
                <w:webHidden/>
              </w:rPr>
              <w:instrText xml:space="preserve"> PAGEREF _Toc506717782 \h </w:instrText>
            </w:r>
            <w:r w:rsidR="00BC15EF">
              <w:rPr>
                <w:noProof/>
                <w:webHidden/>
              </w:rPr>
            </w:r>
            <w:r w:rsidR="00BC15EF">
              <w:rPr>
                <w:noProof/>
                <w:webHidden/>
              </w:rPr>
              <w:fldChar w:fldCharType="separate"/>
            </w:r>
            <w:r w:rsidR="00BC15EF">
              <w:rPr>
                <w:noProof/>
                <w:webHidden/>
              </w:rPr>
              <w:t>31</w:t>
            </w:r>
            <w:r w:rsidR="00BC15EF">
              <w:rPr>
                <w:noProof/>
                <w:webHidden/>
              </w:rPr>
              <w:fldChar w:fldCharType="end"/>
            </w:r>
          </w:hyperlink>
        </w:p>
        <w:p w14:paraId="760CD656" w14:textId="77777777" w:rsidR="00BC15EF" w:rsidRDefault="004A65CA">
          <w:pPr>
            <w:pStyle w:val="TOC2"/>
            <w:tabs>
              <w:tab w:val="left" w:pos="1100"/>
              <w:tab w:val="right" w:leader="dot" w:pos="9016"/>
            </w:tabs>
            <w:rPr>
              <w:rFonts w:eastAsiaTheme="minorEastAsia"/>
              <w:noProof/>
              <w:lang w:eastAsia="en-ZA"/>
            </w:rPr>
          </w:pPr>
          <w:hyperlink w:anchor="_Toc506717783" w:history="1">
            <w:r w:rsidR="00BC15EF" w:rsidRPr="001B5A8E">
              <w:rPr>
                <w:rStyle w:val="Hyperlink"/>
                <w:rFonts w:ascii="Times New Roman" w:hAnsi="Times New Roman" w:cs="Times New Roman"/>
                <w:b/>
                <w:noProof/>
              </w:rPr>
              <w:t>2.4.2</w:t>
            </w:r>
            <w:r w:rsidR="00BC15EF">
              <w:rPr>
                <w:rFonts w:eastAsiaTheme="minorEastAsia"/>
                <w:noProof/>
                <w:lang w:eastAsia="en-ZA"/>
              </w:rPr>
              <w:tab/>
            </w:r>
            <w:r w:rsidR="00BC15EF" w:rsidRPr="001B5A8E">
              <w:rPr>
                <w:rStyle w:val="Hyperlink"/>
                <w:rFonts w:ascii="Times New Roman" w:hAnsi="Times New Roman" w:cs="Times New Roman"/>
                <w:b/>
                <w:noProof/>
              </w:rPr>
              <w:t>Agency Theory on Dividend Policy</w:t>
            </w:r>
            <w:r w:rsidR="00BC15EF">
              <w:rPr>
                <w:noProof/>
                <w:webHidden/>
              </w:rPr>
              <w:tab/>
            </w:r>
            <w:r w:rsidR="00BC15EF">
              <w:rPr>
                <w:noProof/>
                <w:webHidden/>
              </w:rPr>
              <w:fldChar w:fldCharType="begin"/>
            </w:r>
            <w:r w:rsidR="00BC15EF">
              <w:rPr>
                <w:noProof/>
                <w:webHidden/>
              </w:rPr>
              <w:instrText xml:space="preserve"> PAGEREF _Toc506717783 \h </w:instrText>
            </w:r>
            <w:r w:rsidR="00BC15EF">
              <w:rPr>
                <w:noProof/>
                <w:webHidden/>
              </w:rPr>
            </w:r>
            <w:r w:rsidR="00BC15EF">
              <w:rPr>
                <w:noProof/>
                <w:webHidden/>
              </w:rPr>
              <w:fldChar w:fldCharType="separate"/>
            </w:r>
            <w:r w:rsidR="00BC15EF">
              <w:rPr>
                <w:noProof/>
                <w:webHidden/>
              </w:rPr>
              <w:t>32</w:t>
            </w:r>
            <w:r w:rsidR="00BC15EF">
              <w:rPr>
                <w:noProof/>
                <w:webHidden/>
              </w:rPr>
              <w:fldChar w:fldCharType="end"/>
            </w:r>
          </w:hyperlink>
        </w:p>
        <w:p w14:paraId="65878831" w14:textId="77777777" w:rsidR="00BC15EF" w:rsidRDefault="004A65CA">
          <w:pPr>
            <w:pStyle w:val="TOC3"/>
            <w:tabs>
              <w:tab w:val="left" w:pos="1320"/>
              <w:tab w:val="right" w:leader="dot" w:pos="9016"/>
            </w:tabs>
            <w:rPr>
              <w:rFonts w:cstheme="minorBidi"/>
              <w:noProof/>
              <w:lang w:val="en-ZA" w:eastAsia="en-ZA"/>
            </w:rPr>
          </w:pPr>
          <w:hyperlink w:anchor="_Toc506717784" w:history="1">
            <w:r w:rsidR="00BC15EF" w:rsidRPr="001B5A8E">
              <w:rPr>
                <w:rStyle w:val="Hyperlink"/>
                <w:rFonts w:ascii="Times New Roman" w:hAnsi="Times New Roman"/>
                <w:i/>
                <w:noProof/>
              </w:rPr>
              <w:t>2.4.2.1</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_Toc506717784 \h </w:instrText>
            </w:r>
            <w:r w:rsidR="00BC15EF">
              <w:rPr>
                <w:noProof/>
                <w:webHidden/>
              </w:rPr>
            </w:r>
            <w:r w:rsidR="00BC15EF">
              <w:rPr>
                <w:noProof/>
                <w:webHidden/>
              </w:rPr>
              <w:fldChar w:fldCharType="separate"/>
            </w:r>
            <w:r w:rsidR="00BC15EF">
              <w:rPr>
                <w:noProof/>
                <w:webHidden/>
              </w:rPr>
              <w:t>33</w:t>
            </w:r>
            <w:r w:rsidR="00BC15EF">
              <w:rPr>
                <w:noProof/>
                <w:webHidden/>
              </w:rPr>
              <w:fldChar w:fldCharType="end"/>
            </w:r>
          </w:hyperlink>
        </w:p>
        <w:p w14:paraId="1B80AFD2" w14:textId="77777777" w:rsidR="00BC15EF" w:rsidRDefault="004A65CA">
          <w:pPr>
            <w:pStyle w:val="TOC2"/>
            <w:tabs>
              <w:tab w:val="left" w:pos="1100"/>
              <w:tab w:val="right" w:leader="dot" w:pos="9016"/>
            </w:tabs>
            <w:rPr>
              <w:rFonts w:eastAsiaTheme="minorEastAsia"/>
              <w:noProof/>
              <w:lang w:eastAsia="en-ZA"/>
            </w:rPr>
          </w:pPr>
          <w:hyperlink w:anchor="_Toc506717785" w:history="1">
            <w:r w:rsidR="00BC15EF" w:rsidRPr="001B5A8E">
              <w:rPr>
                <w:rStyle w:val="Hyperlink"/>
                <w:rFonts w:ascii="Times New Roman" w:hAnsi="Times New Roman" w:cs="Times New Roman"/>
                <w:b/>
                <w:noProof/>
              </w:rPr>
              <w:t>2.4.3</w:t>
            </w:r>
            <w:r w:rsidR="00BC15EF">
              <w:rPr>
                <w:rFonts w:eastAsiaTheme="minorEastAsia"/>
                <w:noProof/>
                <w:lang w:eastAsia="en-ZA"/>
              </w:rPr>
              <w:tab/>
            </w:r>
            <w:r w:rsidR="00BC15EF" w:rsidRPr="001B5A8E">
              <w:rPr>
                <w:rStyle w:val="Hyperlink"/>
                <w:rFonts w:ascii="Times New Roman" w:hAnsi="Times New Roman" w:cs="Times New Roman"/>
                <w:b/>
                <w:noProof/>
              </w:rPr>
              <w:t>Minorities Claim to Dividends</w:t>
            </w:r>
            <w:r w:rsidR="00BC15EF">
              <w:rPr>
                <w:noProof/>
                <w:webHidden/>
              </w:rPr>
              <w:tab/>
            </w:r>
            <w:r w:rsidR="00BC15EF">
              <w:rPr>
                <w:noProof/>
                <w:webHidden/>
              </w:rPr>
              <w:fldChar w:fldCharType="begin"/>
            </w:r>
            <w:r w:rsidR="00BC15EF">
              <w:rPr>
                <w:noProof/>
                <w:webHidden/>
              </w:rPr>
              <w:instrText xml:space="preserve"> PAGEREF _Toc506717785 \h </w:instrText>
            </w:r>
            <w:r w:rsidR="00BC15EF">
              <w:rPr>
                <w:noProof/>
                <w:webHidden/>
              </w:rPr>
            </w:r>
            <w:r w:rsidR="00BC15EF">
              <w:rPr>
                <w:noProof/>
                <w:webHidden/>
              </w:rPr>
              <w:fldChar w:fldCharType="separate"/>
            </w:r>
            <w:r w:rsidR="00BC15EF">
              <w:rPr>
                <w:noProof/>
                <w:webHidden/>
              </w:rPr>
              <w:t>34</w:t>
            </w:r>
            <w:r w:rsidR="00BC15EF">
              <w:rPr>
                <w:noProof/>
                <w:webHidden/>
              </w:rPr>
              <w:fldChar w:fldCharType="end"/>
            </w:r>
          </w:hyperlink>
        </w:p>
        <w:p w14:paraId="32E5D3F8" w14:textId="77777777" w:rsidR="00BC15EF" w:rsidRDefault="004A65CA">
          <w:pPr>
            <w:pStyle w:val="TOC3"/>
            <w:tabs>
              <w:tab w:val="left" w:pos="1320"/>
              <w:tab w:val="right" w:leader="dot" w:pos="9016"/>
            </w:tabs>
            <w:rPr>
              <w:rFonts w:cstheme="minorBidi"/>
              <w:noProof/>
              <w:lang w:val="en-ZA" w:eastAsia="en-ZA"/>
            </w:rPr>
          </w:pPr>
          <w:hyperlink w:anchor="_Toc506717786" w:history="1">
            <w:r w:rsidR="00BC15EF" w:rsidRPr="001B5A8E">
              <w:rPr>
                <w:rStyle w:val="Hyperlink"/>
                <w:rFonts w:ascii="Times New Roman" w:hAnsi="Times New Roman"/>
                <w:i/>
                <w:noProof/>
              </w:rPr>
              <w:t>2.4.3.1</w:t>
            </w:r>
            <w:r w:rsidR="00BC15EF">
              <w:rPr>
                <w:rFonts w:cstheme="minorBidi"/>
                <w:noProof/>
                <w:lang w:val="en-ZA" w:eastAsia="en-ZA"/>
              </w:rPr>
              <w:tab/>
            </w:r>
            <w:r w:rsidR="00BC15EF" w:rsidRPr="001B5A8E">
              <w:rPr>
                <w:rStyle w:val="Hyperlink"/>
                <w:rFonts w:ascii="Times New Roman" w:hAnsi="Times New Roman"/>
                <w:i/>
                <w:noProof/>
              </w:rPr>
              <w:t>Dividend Outcome Due to Legal Protection and Corporate Governance</w:t>
            </w:r>
            <w:r w:rsidR="00BC15EF">
              <w:rPr>
                <w:noProof/>
                <w:webHidden/>
              </w:rPr>
              <w:tab/>
            </w:r>
            <w:r w:rsidR="00BC15EF">
              <w:rPr>
                <w:noProof/>
                <w:webHidden/>
              </w:rPr>
              <w:fldChar w:fldCharType="begin"/>
            </w:r>
            <w:r w:rsidR="00BC15EF">
              <w:rPr>
                <w:noProof/>
                <w:webHidden/>
              </w:rPr>
              <w:instrText xml:space="preserve"> PAGEREF _Toc506717786 \h </w:instrText>
            </w:r>
            <w:r w:rsidR="00BC15EF">
              <w:rPr>
                <w:noProof/>
                <w:webHidden/>
              </w:rPr>
            </w:r>
            <w:r w:rsidR="00BC15EF">
              <w:rPr>
                <w:noProof/>
                <w:webHidden/>
              </w:rPr>
              <w:fldChar w:fldCharType="separate"/>
            </w:r>
            <w:r w:rsidR="00BC15EF">
              <w:rPr>
                <w:noProof/>
                <w:webHidden/>
              </w:rPr>
              <w:t>34</w:t>
            </w:r>
            <w:r w:rsidR="00BC15EF">
              <w:rPr>
                <w:noProof/>
                <w:webHidden/>
              </w:rPr>
              <w:fldChar w:fldCharType="end"/>
            </w:r>
          </w:hyperlink>
        </w:p>
        <w:p w14:paraId="3601B247" w14:textId="77777777" w:rsidR="00BC15EF" w:rsidRDefault="004A65CA">
          <w:pPr>
            <w:pStyle w:val="TOC3"/>
            <w:tabs>
              <w:tab w:val="left" w:pos="1320"/>
              <w:tab w:val="right" w:leader="dot" w:pos="9016"/>
            </w:tabs>
            <w:rPr>
              <w:rFonts w:cstheme="minorBidi"/>
              <w:noProof/>
              <w:lang w:val="en-ZA" w:eastAsia="en-ZA"/>
            </w:rPr>
          </w:pPr>
          <w:hyperlink w:anchor="_Toc506717787" w:history="1">
            <w:r w:rsidR="00BC15EF" w:rsidRPr="001B5A8E">
              <w:rPr>
                <w:rStyle w:val="Hyperlink"/>
                <w:rFonts w:ascii="Times New Roman" w:hAnsi="Times New Roman"/>
                <w:i/>
                <w:noProof/>
              </w:rPr>
              <w:t>2.4.3.2</w:t>
            </w:r>
            <w:r w:rsidR="00BC15EF">
              <w:rPr>
                <w:rFonts w:cstheme="minorBidi"/>
                <w:noProof/>
                <w:lang w:val="en-ZA" w:eastAsia="en-ZA"/>
              </w:rPr>
              <w:tab/>
            </w:r>
            <w:r w:rsidR="00BC15EF" w:rsidRPr="001B5A8E">
              <w:rPr>
                <w:rStyle w:val="Hyperlink"/>
                <w:rFonts w:ascii="Times New Roman" w:hAnsi="Times New Roman"/>
                <w:i/>
                <w:noProof/>
              </w:rPr>
              <w:t>Dividend Outcome Due to need for Capital Market Funding</w:t>
            </w:r>
            <w:r w:rsidR="00BC15EF">
              <w:rPr>
                <w:noProof/>
                <w:webHidden/>
              </w:rPr>
              <w:tab/>
            </w:r>
            <w:r w:rsidR="00BC15EF">
              <w:rPr>
                <w:noProof/>
                <w:webHidden/>
              </w:rPr>
              <w:fldChar w:fldCharType="begin"/>
            </w:r>
            <w:r w:rsidR="00BC15EF">
              <w:rPr>
                <w:noProof/>
                <w:webHidden/>
              </w:rPr>
              <w:instrText xml:space="preserve"> PAGEREF _Toc506717787 \h </w:instrText>
            </w:r>
            <w:r w:rsidR="00BC15EF">
              <w:rPr>
                <w:noProof/>
                <w:webHidden/>
              </w:rPr>
            </w:r>
            <w:r w:rsidR="00BC15EF">
              <w:rPr>
                <w:noProof/>
                <w:webHidden/>
              </w:rPr>
              <w:fldChar w:fldCharType="separate"/>
            </w:r>
            <w:r w:rsidR="00BC15EF">
              <w:rPr>
                <w:noProof/>
                <w:webHidden/>
              </w:rPr>
              <w:t>35</w:t>
            </w:r>
            <w:r w:rsidR="00BC15EF">
              <w:rPr>
                <w:noProof/>
                <w:webHidden/>
              </w:rPr>
              <w:fldChar w:fldCharType="end"/>
            </w:r>
          </w:hyperlink>
        </w:p>
        <w:p w14:paraId="7A2117D2" w14:textId="77777777" w:rsidR="00BC15EF" w:rsidRDefault="004A65CA">
          <w:pPr>
            <w:pStyle w:val="TOC3"/>
            <w:tabs>
              <w:tab w:val="left" w:pos="1320"/>
              <w:tab w:val="right" w:leader="dot" w:pos="9016"/>
            </w:tabs>
            <w:rPr>
              <w:rFonts w:cstheme="minorBidi"/>
              <w:noProof/>
              <w:lang w:val="en-ZA" w:eastAsia="en-ZA"/>
            </w:rPr>
          </w:pPr>
          <w:hyperlink w:anchor="_Toc506717788" w:history="1">
            <w:r w:rsidR="00BC15EF" w:rsidRPr="001B5A8E">
              <w:rPr>
                <w:rStyle w:val="Hyperlink"/>
                <w:rFonts w:ascii="Times New Roman" w:hAnsi="Times New Roman"/>
                <w:i/>
                <w:noProof/>
              </w:rPr>
              <w:t>2.4.3.3</w:t>
            </w:r>
            <w:r w:rsidR="00BC15EF">
              <w:rPr>
                <w:rFonts w:cstheme="minorBidi"/>
                <w:noProof/>
                <w:lang w:val="en-ZA" w:eastAsia="en-ZA"/>
              </w:rPr>
              <w:tab/>
            </w:r>
            <w:r w:rsidR="00BC15EF" w:rsidRPr="001B5A8E">
              <w:rPr>
                <w:rStyle w:val="Hyperlink"/>
                <w:rFonts w:ascii="Times New Roman" w:hAnsi="Times New Roman"/>
                <w:i/>
                <w:noProof/>
              </w:rPr>
              <w:t>Ownership Structure Implications on Dividend Policy</w:t>
            </w:r>
            <w:r w:rsidR="00BC15EF">
              <w:rPr>
                <w:noProof/>
                <w:webHidden/>
              </w:rPr>
              <w:tab/>
            </w:r>
            <w:r w:rsidR="00BC15EF">
              <w:rPr>
                <w:noProof/>
                <w:webHidden/>
              </w:rPr>
              <w:fldChar w:fldCharType="begin"/>
            </w:r>
            <w:r w:rsidR="00BC15EF">
              <w:rPr>
                <w:noProof/>
                <w:webHidden/>
              </w:rPr>
              <w:instrText xml:space="preserve"> PAGEREF _Toc506717788 \h </w:instrText>
            </w:r>
            <w:r w:rsidR="00BC15EF">
              <w:rPr>
                <w:noProof/>
                <w:webHidden/>
              </w:rPr>
            </w:r>
            <w:r w:rsidR="00BC15EF">
              <w:rPr>
                <w:noProof/>
                <w:webHidden/>
              </w:rPr>
              <w:fldChar w:fldCharType="separate"/>
            </w:r>
            <w:r w:rsidR="00BC15EF">
              <w:rPr>
                <w:noProof/>
                <w:webHidden/>
              </w:rPr>
              <w:t>36</w:t>
            </w:r>
            <w:r w:rsidR="00BC15EF">
              <w:rPr>
                <w:noProof/>
                <w:webHidden/>
              </w:rPr>
              <w:fldChar w:fldCharType="end"/>
            </w:r>
          </w:hyperlink>
        </w:p>
        <w:p w14:paraId="629BBECF" w14:textId="77777777" w:rsidR="00BC15EF" w:rsidRDefault="004A65CA">
          <w:pPr>
            <w:pStyle w:val="TOC3"/>
            <w:tabs>
              <w:tab w:val="left" w:pos="1320"/>
              <w:tab w:val="right" w:leader="dot" w:pos="9016"/>
            </w:tabs>
            <w:rPr>
              <w:rFonts w:cstheme="minorBidi"/>
              <w:noProof/>
              <w:lang w:val="en-ZA" w:eastAsia="en-ZA"/>
            </w:rPr>
          </w:pPr>
          <w:hyperlink w:anchor="_Toc506717789" w:history="1">
            <w:r w:rsidR="00BC15EF" w:rsidRPr="001B5A8E">
              <w:rPr>
                <w:rStyle w:val="Hyperlink"/>
                <w:rFonts w:ascii="Times New Roman" w:hAnsi="Times New Roman"/>
                <w:i/>
                <w:noProof/>
              </w:rPr>
              <w:t>2.4.3.4</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_Toc506717789 \h </w:instrText>
            </w:r>
            <w:r w:rsidR="00BC15EF">
              <w:rPr>
                <w:noProof/>
                <w:webHidden/>
              </w:rPr>
            </w:r>
            <w:r w:rsidR="00BC15EF">
              <w:rPr>
                <w:noProof/>
                <w:webHidden/>
              </w:rPr>
              <w:fldChar w:fldCharType="separate"/>
            </w:r>
            <w:r w:rsidR="00BC15EF">
              <w:rPr>
                <w:noProof/>
                <w:webHidden/>
              </w:rPr>
              <w:t>36</w:t>
            </w:r>
            <w:r w:rsidR="00BC15EF">
              <w:rPr>
                <w:noProof/>
                <w:webHidden/>
              </w:rPr>
              <w:fldChar w:fldCharType="end"/>
            </w:r>
          </w:hyperlink>
        </w:p>
        <w:p w14:paraId="0BF3FE38" w14:textId="77777777" w:rsidR="00BC15EF" w:rsidRDefault="004A65CA">
          <w:pPr>
            <w:pStyle w:val="TOC1"/>
            <w:tabs>
              <w:tab w:val="right" w:leader="dot" w:pos="9016"/>
            </w:tabs>
            <w:rPr>
              <w:rFonts w:eastAsiaTheme="minorEastAsia"/>
              <w:noProof/>
              <w:lang w:eastAsia="en-ZA"/>
            </w:rPr>
          </w:pPr>
          <w:hyperlink w:anchor="_Toc506717790" w:history="1">
            <w:r w:rsidR="00BC15EF" w:rsidRPr="001B5A8E">
              <w:rPr>
                <w:rStyle w:val="Hyperlink"/>
                <w:rFonts w:ascii="Times New Roman" w:hAnsi="Times New Roman" w:cs="Times New Roman"/>
                <w:b/>
                <w:noProof/>
              </w:rPr>
              <w:t>CHAPTER 3 - METHODOLOGY</w:t>
            </w:r>
            <w:r w:rsidR="00BC15EF">
              <w:rPr>
                <w:noProof/>
                <w:webHidden/>
              </w:rPr>
              <w:tab/>
            </w:r>
            <w:r w:rsidR="00BC15EF">
              <w:rPr>
                <w:noProof/>
                <w:webHidden/>
              </w:rPr>
              <w:fldChar w:fldCharType="begin"/>
            </w:r>
            <w:r w:rsidR="00BC15EF">
              <w:rPr>
                <w:noProof/>
                <w:webHidden/>
              </w:rPr>
              <w:instrText xml:space="preserve"> PAGEREF _Toc506717790 \h </w:instrText>
            </w:r>
            <w:r w:rsidR="00BC15EF">
              <w:rPr>
                <w:noProof/>
                <w:webHidden/>
              </w:rPr>
            </w:r>
            <w:r w:rsidR="00BC15EF">
              <w:rPr>
                <w:noProof/>
                <w:webHidden/>
              </w:rPr>
              <w:fldChar w:fldCharType="separate"/>
            </w:r>
            <w:r w:rsidR="00BC15EF">
              <w:rPr>
                <w:noProof/>
                <w:webHidden/>
              </w:rPr>
              <w:t>38</w:t>
            </w:r>
            <w:r w:rsidR="00BC15EF">
              <w:rPr>
                <w:noProof/>
                <w:webHidden/>
              </w:rPr>
              <w:fldChar w:fldCharType="end"/>
            </w:r>
          </w:hyperlink>
        </w:p>
        <w:p w14:paraId="2A6C56DA" w14:textId="77777777" w:rsidR="00BC15EF" w:rsidRDefault="004A65CA">
          <w:pPr>
            <w:pStyle w:val="TOC2"/>
            <w:tabs>
              <w:tab w:val="left" w:pos="880"/>
              <w:tab w:val="right" w:leader="dot" w:pos="9016"/>
            </w:tabs>
            <w:rPr>
              <w:rFonts w:eastAsiaTheme="minorEastAsia"/>
              <w:noProof/>
              <w:lang w:eastAsia="en-ZA"/>
            </w:rPr>
          </w:pPr>
          <w:hyperlink w:anchor="_Toc506717791" w:history="1">
            <w:r w:rsidR="00BC15EF" w:rsidRPr="001B5A8E">
              <w:rPr>
                <w:rStyle w:val="Hyperlink"/>
                <w:rFonts w:ascii="Times New Roman" w:hAnsi="Times New Roman" w:cs="Times New Roman"/>
                <w:b/>
                <w:noProof/>
              </w:rPr>
              <w:t xml:space="preserve">3.1 </w:t>
            </w:r>
            <w:r w:rsidR="00BC15EF">
              <w:rPr>
                <w:rFonts w:eastAsiaTheme="minorEastAsia"/>
                <w:noProof/>
                <w:lang w:eastAsia="en-ZA"/>
              </w:rPr>
              <w:tab/>
            </w:r>
            <w:r w:rsidR="00BC15EF" w:rsidRPr="001B5A8E">
              <w:rPr>
                <w:rStyle w:val="Hyperlink"/>
                <w:rFonts w:ascii="Times New Roman" w:hAnsi="Times New Roman" w:cs="Times New Roman"/>
                <w:b/>
                <w:noProof/>
              </w:rPr>
              <w:t>Sample and Data</w:t>
            </w:r>
            <w:r w:rsidR="00BC15EF">
              <w:rPr>
                <w:noProof/>
                <w:webHidden/>
              </w:rPr>
              <w:tab/>
            </w:r>
            <w:r w:rsidR="00BC15EF">
              <w:rPr>
                <w:noProof/>
                <w:webHidden/>
              </w:rPr>
              <w:fldChar w:fldCharType="begin"/>
            </w:r>
            <w:r w:rsidR="00BC15EF">
              <w:rPr>
                <w:noProof/>
                <w:webHidden/>
              </w:rPr>
              <w:instrText xml:space="preserve"> PAGEREF _Toc506717791 \h </w:instrText>
            </w:r>
            <w:r w:rsidR="00BC15EF">
              <w:rPr>
                <w:noProof/>
                <w:webHidden/>
              </w:rPr>
            </w:r>
            <w:r w:rsidR="00BC15EF">
              <w:rPr>
                <w:noProof/>
                <w:webHidden/>
              </w:rPr>
              <w:fldChar w:fldCharType="separate"/>
            </w:r>
            <w:r w:rsidR="00BC15EF">
              <w:rPr>
                <w:noProof/>
                <w:webHidden/>
              </w:rPr>
              <w:t>38</w:t>
            </w:r>
            <w:r w:rsidR="00BC15EF">
              <w:rPr>
                <w:noProof/>
                <w:webHidden/>
              </w:rPr>
              <w:fldChar w:fldCharType="end"/>
            </w:r>
          </w:hyperlink>
        </w:p>
        <w:p w14:paraId="194CBEFE" w14:textId="77777777" w:rsidR="00BC15EF" w:rsidRDefault="004A65CA">
          <w:pPr>
            <w:pStyle w:val="TOC2"/>
            <w:tabs>
              <w:tab w:val="left" w:pos="880"/>
              <w:tab w:val="right" w:leader="dot" w:pos="9016"/>
            </w:tabs>
            <w:rPr>
              <w:rFonts w:eastAsiaTheme="minorEastAsia"/>
              <w:noProof/>
              <w:lang w:eastAsia="en-ZA"/>
            </w:rPr>
          </w:pPr>
          <w:hyperlink w:anchor="_Toc506717792" w:history="1">
            <w:r w:rsidR="00BC15EF" w:rsidRPr="001B5A8E">
              <w:rPr>
                <w:rStyle w:val="Hyperlink"/>
                <w:rFonts w:ascii="Times New Roman" w:hAnsi="Times New Roman" w:cs="Times New Roman"/>
                <w:b/>
                <w:noProof/>
              </w:rPr>
              <w:t>3.2</w:t>
            </w:r>
            <w:r w:rsidR="00BC15EF">
              <w:rPr>
                <w:rFonts w:eastAsiaTheme="minorEastAsia"/>
                <w:noProof/>
                <w:lang w:eastAsia="en-ZA"/>
              </w:rPr>
              <w:tab/>
            </w:r>
            <w:r w:rsidR="00BC15EF" w:rsidRPr="001B5A8E">
              <w:rPr>
                <w:rStyle w:val="Hyperlink"/>
                <w:rFonts w:ascii="Times New Roman" w:hAnsi="Times New Roman" w:cs="Times New Roman"/>
                <w:b/>
                <w:noProof/>
              </w:rPr>
              <w:t xml:space="preserve"> Data Analysis</w:t>
            </w:r>
            <w:r w:rsidR="00BC15EF">
              <w:rPr>
                <w:noProof/>
                <w:webHidden/>
              </w:rPr>
              <w:tab/>
            </w:r>
            <w:r w:rsidR="00BC15EF">
              <w:rPr>
                <w:noProof/>
                <w:webHidden/>
              </w:rPr>
              <w:fldChar w:fldCharType="begin"/>
            </w:r>
            <w:r w:rsidR="00BC15EF">
              <w:rPr>
                <w:noProof/>
                <w:webHidden/>
              </w:rPr>
              <w:instrText xml:space="preserve"> PAGEREF _Toc506717792 \h </w:instrText>
            </w:r>
            <w:r w:rsidR="00BC15EF">
              <w:rPr>
                <w:noProof/>
                <w:webHidden/>
              </w:rPr>
            </w:r>
            <w:r w:rsidR="00BC15EF">
              <w:rPr>
                <w:noProof/>
                <w:webHidden/>
              </w:rPr>
              <w:fldChar w:fldCharType="separate"/>
            </w:r>
            <w:r w:rsidR="00BC15EF">
              <w:rPr>
                <w:noProof/>
                <w:webHidden/>
              </w:rPr>
              <w:t>40</w:t>
            </w:r>
            <w:r w:rsidR="00BC15EF">
              <w:rPr>
                <w:noProof/>
                <w:webHidden/>
              </w:rPr>
              <w:fldChar w:fldCharType="end"/>
            </w:r>
          </w:hyperlink>
        </w:p>
        <w:p w14:paraId="3047C8ED" w14:textId="77777777" w:rsidR="00BC15EF" w:rsidRDefault="004A65CA">
          <w:pPr>
            <w:pStyle w:val="TOC2"/>
            <w:tabs>
              <w:tab w:val="left" w:pos="880"/>
              <w:tab w:val="right" w:leader="dot" w:pos="9016"/>
            </w:tabs>
            <w:rPr>
              <w:rFonts w:eastAsiaTheme="minorEastAsia"/>
              <w:noProof/>
              <w:lang w:eastAsia="en-ZA"/>
            </w:rPr>
          </w:pPr>
          <w:hyperlink w:anchor="_Toc506717793" w:history="1">
            <w:r w:rsidR="00BC15EF" w:rsidRPr="001B5A8E">
              <w:rPr>
                <w:rStyle w:val="Hyperlink"/>
                <w:rFonts w:ascii="Times New Roman" w:hAnsi="Times New Roman" w:cs="Times New Roman"/>
                <w:b/>
                <w:noProof/>
              </w:rPr>
              <w:t xml:space="preserve">3.3 </w:t>
            </w:r>
            <w:r w:rsidR="00BC15EF">
              <w:rPr>
                <w:rFonts w:eastAsiaTheme="minorEastAsia"/>
                <w:noProof/>
                <w:lang w:eastAsia="en-ZA"/>
              </w:rPr>
              <w:tab/>
            </w:r>
            <w:r w:rsidR="00BC15EF" w:rsidRPr="001B5A8E">
              <w:rPr>
                <w:rStyle w:val="Hyperlink"/>
                <w:rFonts w:ascii="Times New Roman" w:hAnsi="Times New Roman" w:cs="Times New Roman"/>
                <w:b/>
                <w:noProof/>
              </w:rPr>
              <w:t>Validity and Reliability</w:t>
            </w:r>
            <w:r w:rsidR="00BC15EF">
              <w:rPr>
                <w:noProof/>
                <w:webHidden/>
              </w:rPr>
              <w:tab/>
            </w:r>
            <w:r w:rsidR="00BC15EF">
              <w:rPr>
                <w:noProof/>
                <w:webHidden/>
              </w:rPr>
              <w:fldChar w:fldCharType="begin"/>
            </w:r>
            <w:r w:rsidR="00BC15EF">
              <w:rPr>
                <w:noProof/>
                <w:webHidden/>
              </w:rPr>
              <w:instrText xml:space="preserve"> PAGEREF _Toc506717793 \h </w:instrText>
            </w:r>
            <w:r w:rsidR="00BC15EF">
              <w:rPr>
                <w:noProof/>
                <w:webHidden/>
              </w:rPr>
            </w:r>
            <w:r w:rsidR="00BC15EF">
              <w:rPr>
                <w:noProof/>
                <w:webHidden/>
              </w:rPr>
              <w:fldChar w:fldCharType="separate"/>
            </w:r>
            <w:r w:rsidR="00BC15EF">
              <w:rPr>
                <w:noProof/>
                <w:webHidden/>
              </w:rPr>
              <w:t>46</w:t>
            </w:r>
            <w:r w:rsidR="00BC15EF">
              <w:rPr>
                <w:noProof/>
                <w:webHidden/>
              </w:rPr>
              <w:fldChar w:fldCharType="end"/>
            </w:r>
          </w:hyperlink>
        </w:p>
        <w:p w14:paraId="4CF3FDD8" w14:textId="77777777" w:rsidR="00BC15EF" w:rsidRDefault="004A65CA">
          <w:pPr>
            <w:pStyle w:val="TOC1"/>
            <w:tabs>
              <w:tab w:val="right" w:leader="dot" w:pos="9016"/>
            </w:tabs>
            <w:rPr>
              <w:rFonts w:eastAsiaTheme="minorEastAsia"/>
              <w:noProof/>
              <w:lang w:eastAsia="en-ZA"/>
            </w:rPr>
          </w:pPr>
          <w:hyperlink w:anchor="_Toc506717794" w:history="1">
            <w:r w:rsidR="00BC15EF" w:rsidRPr="001B5A8E">
              <w:rPr>
                <w:rStyle w:val="Hyperlink"/>
                <w:rFonts w:ascii="Times New Roman" w:hAnsi="Times New Roman" w:cs="Times New Roman"/>
                <w:b/>
                <w:noProof/>
              </w:rPr>
              <w:t>CHAPTER 4: RESULTS</w:t>
            </w:r>
            <w:r w:rsidR="00BC15EF">
              <w:rPr>
                <w:noProof/>
                <w:webHidden/>
              </w:rPr>
              <w:tab/>
            </w:r>
            <w:r w:rsidR="00BC15EF">
              <w:rPr>
                <w:noProof/>
                <w:webHidden/>
              </w:rPr>
              <w:fldChar w:fldCharType="begin"/>
            </w:r>
            <w:r w:rsidR="00BC15EF">
              <w:rPr>
                <w:noProof/>
                <w:webHidden/>
              </w:rPr>
              <w:instrText xml:space="preserve"> PAGEREF _Toc506717794 \h </w:instrText>
            </w:r>
            <w:r w:rsidR="00BC15EF">
              <w:rPr>
                <w:noProof/>
                <w:webHidden/>
              </w:rPr>
            </w:r>
            <w:r w:rsidR="00BC15EF">
              <w:rPr>
                <w:noProof/>
                <w:webHidden/>
              </w:rPr>
              <w:fldChar w:fldCharType="separate"/>
            </w:r>
            <w:r w:rsidR="00BC15EF">
              <w:rPr>
                <w:noProof/>
                <w:webHidden/>
              </w:rPr>
              <w:t>48</w:t>
            </w:r>
            <w:r w:rsidR="00BC15EF">
              <w:rPr>
                <w:noProof/>
                <w:webHidden/>
              </w:rPr>
              <w:fldChar w:fldCharType="end"/>
            </w:r>
          </w:hyperlink>
        </w:p>
        <w:p w14:paraId="475E27D4" w14:textId="77777777" w:rsidR="00BC15EF" w:rsidRDefault="004A65CA">
          <w:pPr>
            <w:pStyle w:val="TOC2"/>
            <w:tabs>
              <w:tab w:val="left" w:pos="880"/>
              <w:tab w:val="right" w:leader="dot" w:pos="9016"/>
            </w:tabs>
            <w:rPr>
              <w:rFonts w:eastAsiaTheme="minorEastAsia"/>
              <w:noProof/>
              <w:lang w:eastAsia="en-ZA"/>
            </w:rPr>
          </w:pPr>
          <w:hyperlink w:anchor="_Toc506717795" w:history="1">
            <w:r w:rsidR="00BC15EF" w:rsidRPr="001B5A8E">
              <w:rPr>
                <w:rStyle w:val="Hyperlink"/>
                <w:rFonts w:ascii="Times New Roman" w:hAnsi="Times New Roman" w:cs="Times New Roman"/>
                <w:b/>
                <w:noProof/>
              </w:rPr>
              <w:t>4.1</w:t>
            </w:r>
            <w:r w:rsidR="00BC15EF">
              <w:rPr>
                <w:rFonts w:eastAsiaTheme="minorEastAsia"/>
                <w:noProof/>
                <w:lang w:eastAsia="en-ZA"/>
              </w:rPr>
              <w:tab/>
            </w:r>
            <w:r w:rsidR="00BC15EF" w:rsidRPr="001B5A8E">
              <w:rPr>
                <w:rStyle w:val="Hyperlink"/>
                <w:rFonts w:ascii="Times New Roman" w:hAnsi="Times New Roman" w:cs="Times New Roman"/>
                <w:b/>
                <w:noProof/>
              </w:rPr>
              <w:t>Descriptive Statistics</w:t>
            </w:r>
            <w:r w:rsidR="00BC15EF">
              <w:rPr>
                <w:noProof/>
                <w:webHidden/>
              </w:rPr>
              <w:tab/>
            </w:r>
            <w:r w:rsidR="00BC15EF">
              <w:rPr>
                <w:noProof/>
                <w:webHidden/>
              </w:rPr>
              <w:fldChar w:fldCharType="begin"/>
            </w:r>
            <w:r w:rsidR="00BC15EF">
              <w:rPr>
                <w:noProof/>
                <w:webHidden/>
              </w:rPr>
              <w:instrText xml:space="preserve"> PAGEREF _Toc506717795 \h </w:instrText>
            </w:r>
            <w:r w:rsidR="00BC15EF">
              <w:rPr>
                <w:noProof/>
                <w:webHidden/>
              </w:rPr>
            </w:r>
            <w:r w:rsidR="00BC15EF">
              <w:rPr>
                <w:noProof/>
                <w:webHidden/>
              </w:rPr>
              <w:fldChar w:fldCharType="separate"/>
            </w:r>
            <w:r w:rsidR="00BC15EF">
              <w:rPr>
                <w:noProof/>
                <w:webHidden/>
              </w:rPr>
              <w:t>48</w:t>
            </w:r>
            <w:r w:rsidR="00BC15EF">
              <w:rPr>
                <w:noProof/>
                <w:webHidden/>
              </w:rPr>
              <w:fldChar w:fldCharType="end"/>
            </w:r>
          </w:hyperlink>
        </w:p>
        <w:p w14:paraId="022ABA20" w14:textId="77777777" w:rsidR="00BC15EF" w:rsidRDefault="004A65CA">
          <w:pPr>
            <w:pStyle w:val="TOC3"/>
            <w:tabs>
              <w:tab w:val="left" w:pos="1320"/>
              <w:tab w:val="right" w:leader="dot" w:pos="9016"/>
            </w:tabs>
            <w:rPr>
              <w:rFonts w:cstheme="minorBidi"/>
              <w:noProof/>
              <w:lang w:val="en-ZA" w:eastAsia="en-ZA"/>
            </w:rPr>
          </w:pPr>
          <w:hyperlink w:anchor="_Toc506717796" w:history="1">
            <w:r w:rsidR="00BC15EF" w:rsidRPr="001B5A8E">
              <w:rPr>
                <w:rStyle w:val="Hyperlink"/>
                <w:rFonts w:ascii="Times New Roman" w:hAnsi="Times New Roman"/>
                <w:i/>
                <w:noProof/>
              </w:rPr>
              <w:t>4.1.1</w:t>
            </w:r>
            <w:r w:rsidR="00BC15EF">
              <w:rPr>
                <w:rFonts w:cstheme="minorBidi"/>
                <w:noProof/>
                <w:lang w:val="en-ZA" w:eastAsia="en-ZA"/>
              </w:rPr>
              <w:tab/>
            </w:r>
            <w:r w:rsidR="00BC15EF" w:rsidRPr="001B5A8E">
              <w:rPr>
                <w:rStyle w:val="Hyperlink"/>
                <w:rFonts w:ascii="Times New Roman" w:hAnsi="Times New Roman"/>
                <w:i/>
                <w:noProof/>
              </w:rPr>
              <w:t>Overall Descriptive Statistics</w:t>
            </w:r>
            <w:r w:rsidR="00BC15EF">
              <w:rPr>
                <w:noProof/>
                <w:webHidden/>
              </w:rPr>
              <w:tab/>
            </w:r>
            <w:r w:rsidR="00BC15EF">
              <w:rPr>
                <w:noProof/>
                <w:webHidden/>
              </w:rPr>
              <w:fldChar w:fldCharType="begin"/>
            </w:r>
            <w:r w:rsidR="00BC15EF">
              <w:rPr>
                <w:noProof/>
                <w:webHidden/>
              </w:rPr>
              <w:instrText xml:space="preserve"> PAGEREF _Toc506717796 \h </w:instrText>
            </w:r>
            <w:r w:rsidR="00BC15EF">
              <w:rPr>
                <w:noProof/>
                <w:webHidden/>
              </w:rPr>
            </w:r>
            <w:r w:rsidR="00BC15EF">
              <w:rPr>
                <w:noProof/>
                <w:webHidden/>
              </w:rPr>
              <w:fldChar w:fldCharType="separate"/>
            </w:r>
            <w:r w:rsidR="00BC15EF">
              <w:rPr>
                <w:noProof/>
                <w:webHidden/>
              </w:rPr>
              <w:t>48</w:t>
            </w:r>
            <w:r w:rsidR="00BC15EF">
              <w:rPr>
                <w:noProof/>
                <w:webHidden/>
              </w:rPr>
              <w:fldChar w:fldCharType="end"/>
            </w:r>
          </w:hyperlink>
        </w:p>
        <w:p w14:paraId="3C330364" w14:textId="77777777" w:rsidR="00BC15EF" w:rsidRDefault="004A65CA">
          <w:pPr>
            <w:pStyle w:val="TOC3"/>
            <w:tabs>
              <w:tab w:val="left" w:pos="1320"/>
              <w:tab w:val="right" w:leader="dot" w:pos="9016"/>
            </w:tabs>
            <w:rPr>
              <w:rFonts w:cstheme="minorBidi"/>
              <w:noProof/>
              <w:lang w:val="en-ZA" w:eastAsia="en-ZA"/>
            </w:rPr>
          </w:pPr>
          <w:hyperlink w:anchor="_Toc506717797" w:history="1">
            <w:r w:rsidR="00BC15EF" w:rsidRPr="001B5A8E">
              <w:rPr>
                <w:rStyle w:val="Hyperlink"/>
                <w:rFonts w:ascii="Times New Roman" w:hAnsi="Times New Roman"/>
                <w:i/>
                <w:noProof/>
              </w:rPr>
              <w:t>4.1.2</w:t>
            </w:r>
            <w:r w:rsidR="00BC15EF">
              <w:rPr>
                <w:rFonts w:cstheme="minorBidi"/>
                <w:noProof/>
                <w:lang w:val="en-ZA" w:eastAsia="en-ZA"/>
              </w:rPr>
              <w:tab/>
            </w:r>
            <w:r w:rsidR="00BC15EF" w:rsidRPr="001B5A8E">
              <w:rPr>
                <w:rStyle w:val="Hyperlink"/>
                <w:rFonts w:ascii="Times New Roman" w:hAnsi="Times New Roman"/>
                <w:i/>
                <w:noProof/>
              </w:rPr>
              <w:t>Comparing the Treatment Group to the Control Group</w:t>
            </w:r>
            <w:r w:rsidR="00BC15EF">
              <w:rPr>
                <w:noProof/>
                <w:webHidden/>
              </w:rPr>
              <w:tab/>
            </w:r>
            <w:r w:rsidR="00BC15EF">
              <w:rPr>
                <w:noProof/>
                <w:webHidden/>
              </w:rPr>
              <w:fldChar w:fldCharType="begin"/>
            </w:r>
            <w:r w:rsidR="00BC15EF">
              <w:rPr>
                <w:noProof/>
                <w:webHidden/>
              </w:rPr>
              <w:instrText xml:space="preserve"> PAGEREF _Toc506717797 \h </w:instrText>
            </w:r>
            <w:r w:rsidR="00BC15EF">
              <w:rPr>
                <w:noProof/>
                <w:webHidden/>
              </w:rPr>
            </w:r>
            <w:r w:rsidR="00BC15EF">
              <w:rPr>
                <w:noProof/>
                <w:webHidden/>
              </w:rPr>
              <w:fldChar w:fldCharType="separate"/>
            </w:r>
            <w:r w:rsidR="00BC15EF">
              <w:rPr>
                <w:noProof/>
                <w:webHidden/>
              </w:rPr>
              <w:t>51</w:t>
            </w:r>
            <w:r w:rsidR="00BC15EF">
              <w:rPr>
                <w:noProof/>
                <w:webHidden/>
              </w:rPr>
              <w:fldChar w:fldCharType="end"/>
            </w:r>
          </w:hyperlink>
        </w:p>
        <w:p w14:paraId="0C15DBCA" w14:textId="77777777" w:rsidR="00BC15EF" w:rsidRDefault="004A65CA">
          <w:pPr>
            <w:pStyle w:val="TOC3"/>
            <w:tabs>
              <w:tab w:val="left" w:pos="1320"/>
              <w:tab w:val="right" w:leader="dot" w:pos="9016"/>
            </w:tabs>
            <w:rPr>
              <w:rFonts w:cstheme="minorBidi"/>
              <w:noProof/>
              <w:lang w:val="en-ZA" w:eastAsia="en-ZA"/>
            </w:rPr>
          </w:pPr>
          <w:hyperlink w:anchor="_Toc506717798" w:history="1">
            <w:r w:rsidR="00BC15EF" w:rsidRPr="001B5A8E">
              <w:rPr>
                <w:rStyle w:val="Hyperlink"/>
                <w:rFonts w:ascii="Times New Roman" w:hAnsi="Times New Roman"/>
                <w:i/>
                <w:noProof/>
              </w:rPr>
              <w:t>4.1.3</w:t>
            </w:r>
            <w:r w:rsidR="00BC15EF">
              <w:rPr>
                <w:rFonts w:cstheme="minorBidi"/>
                <w:noProof/>
                <w:lang w:val="en-ZA" w:eastAsia="en-ZA"/>
              </w:rPr>
              <w:tab/>
            </w:r>
            <w:r w:rsidR="00BC15EF" w:rsidRPr="001B5A8E">
              <w:rPr>
                <w:rStyle w:val="Hyperlink"/>
                <w:rFonts w:ascii="Times New Roman" w:hAnsi="Times New Roman"/>
                <w:i/>
                <w:noProof/>
              </w:rPr>
              <w:t>Deals and Dividends across Time</w:t>
            </w:r>
            <w:r w:rsidR="00BC15EF">
              <w:rPr>
                <w:noProof/>
                <w:webHidden/>
              </w:rPr>
              <w:tab/>
            </w:r>
            <w:r w:rsidR="00BC15EF">
              <w:rPr>
                <w:noProof/>
                <w:webHidden/>
              </w:rPr>
              <w:fldChar w:fldCharType="begin"/>
            </w:r>
            <w:r w:rsidR="00BC15EF">
              <w:rPr>
                <w:noProof/>
                <w:webHidden/>
              </w:rPr>
              <w:instrText xml:space="preserve"> PAGEREF _Toc506717798 \h </w:instrText>
            </w:r>
            <w:r w:rsidR="00BC15EF">
              <w:rPr>
                <w:noProof/>
                <w:webHidden/>
              </w:rPr>
            </w:r>
            <w:r w:rsidR="00BC15EF">
              <w:rPr>
                <w:noProof/>
                <w:webHidden/>
              </w:rPr>
              <w:fldChar w:fldCharType="separate"/>
            </w:r>
            <w:r w:rsidR="00BC15EF">
              <w:rPr>
                <w:noProof/>
                <w:webHidden/>
              </w:rPr>
              <w:t>55</w:t>
            </w:r>
            <w:r w:rsidR="00BC15EF">
              <w:rPr>
                <w:noProof/>
                <w:webHidden/>
              </w:rPr>
              <w:fldChar w:fldCharType="end"/>
            </w:r>
          </w:hyperlink>
        </w:p>
        <w:p w14:paraId="3D9D914D" w14:textId="77777777" w:rsidR="00BC15EF" w:rsidRDefault="004A65CA">
          <w:pPr>
            <w:pStyle w:val="TOC3"/>
            <w:tabs>
              <w:tab w:val="left" w:pos="1320"/>
              <w:tab w:val="right" w:leader="dot" w:pos="9016"/>
            </w:tabs>
            <w:rPr>
              <w:rFonts w:cstheme="minorBidi"/>
              <w:noProof/>
              <w:lang w:val="en-ZA" w:eastAsia="en-ZA"/>
            </w:rPr>
          </w:pPr>
          <w:hyperlink w:anchor="_Toc506717799" w:history="1">
            <w:r w:rsidR="00BC15EF" w:rsidRPr="001B5A8E">
              <w:rPr>
                <w:rStyle w:val="Hyperlink"/>
                <w:rFonts w:ascii="Times New Roman" w:hAnsi="Times New Roman"/>
                <w:i/>
                <w:noProof/>
              </w:rPr>
              <w:t>4.1.4</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_Toc506717799 \h </w:instrText>
            </w:r>
            <w:r w:rsidR="00BC15EF">
              <w:rPr>
                <w:noProof/>
                <w:webHidden/>
              </w:rPr>
            </w:r>
            <w:r w:rsidR="00BC15EF">
              <w:rPr>
                <w:noProof/>
                <w:webHidden/>
              </w:rPr>
              <w:fldChar w:fldCharType="separate"/>
            </w:r>
            <w:r w:rsidR="00BC15EF">
              <w:rPr>
                <w:noProof/>
                <w:webHidden/>
              </w:rPr>
              <w:t>57</w:t>
            </w:r>
            <w:r w:rsidR="00BC15EF">
              <w:rPr>
                <w:noProof/>
                <w:webHidden/>
              </w:rPr>
              <w:fldChar w:fldCharType="end"/>
            </w:r>
          </w:hyperlink>
        </w:p>
        <w:p w14:paraId="60DC044C" w14:textId="77777777" w:rsidR="00BC15EF" w:rsidRDefault="004A65CA">
          <w:pPr>
            <w:pStyle w:val="TOC2"/>
            <w:tabs>
              <w:tab w:val="left" w:pos="880"/>
              <w:tab w:val="right" w:leader="dot" w:pos="9016"/>
            </w:tabs>
            <w:rPr>
              <w:rFonts w:eastAsiaTheme="minorEastAsia"/>
              <w:noProof/>
              <w:lang w:eastAsia="en-ZA"/>
            </w:rPr>
          </w:pPr>
          <w:hyperlink w:anchor="_Toc506717800" w:history="1">
            <w:r w:rsidR="00BC15EF" w:rsidRPr="001B5A8E">
              <w:rPr>
                <w:rStyle w:val="Hyperlink"/>
                <w:rFonts w:ascii="Times New Roman" w:hAnsi="Times New Roman" w:cs="Times New Roman"/>
                <w:b/>
                <w:noProof/>
              </w:rPr>
              <w:t>4.2</w:t>
            </w:r>
            <w:r w:rsidR="00BC15EF">
              <w:rPr>
                <w:rFonts w:eastAsiaTheme="minorEastAsia"/>
                <w:noProof/>
                <w:lang w:eastAsia="en-ZA"/>
              </w:rPr>
              <w:tab/>
            </w:r>
            <w:r w:rsidR="00BC15EF" w:rsidRPr="001B5A8E">
              <w:rPr>
                <w:rStyle w:val="Hyperlink"/>
                <w:rFonts w:ascii="Times New Roman" w:hAnsi="Times New Roman" w:cs="Times New Roman"/>
                <w:b/>
                <w:noProof/>
              </w:rPr>
              <w:t>Regression Results</w:t>
            </w:r>
            <w:r w:rsidR="00BC15EF">
              <w:rPr>
                <w:noProof/>
                <w:webHidden/>
              </w:rPr>
              <w:tab/>
            </w:r>
            <w:r w:rsidR="00BC15EF">
              <w:rPr>
                <w:noProof/>
                <w:webHidden/>
              </w:rPr>
              <w:fldChar w:fldCharType="begin"/>
            </w:r>
            <w:r w:rsidR="00BC15EF">
              <w:rPr>
                <w:noProof/>
                <w:webHidden/>
              </w:rPr>
              <w:instrText xml:space="preserve"> PAGEREF _Toc506717800 \h </w:instrText>
            </w:r>
            <w:r w:rsidR="00BC15EF">
              <w:rPr>
                <w:noProof/>
                <w:webHidden/>
              </w:rPr>
            </w:r>
            <w:r w:rsidR="00BC15EF">
              <w:rPr>
                <w:noProof/>
                <w:webHidden/>
              </w:rPr>
              <w:fldChar w:fldCharType="separate"/>
            </w:r>
            <w:r w:rsidR="00BC15EF">
              <w:rPr>
                <w:noProof/>
                <w:webHidden/>
              </w:rPr>
              <w:t>57</w:t>
            </w:r>
            <w:r w:rsidR="00BC15EF">
              <w:rPr>
                <w:noProof/>
                <w:webHidden/>
              </w:rPr>
              <w:fldChar w:fldCharType="end"/>
            </w:r>
          </w:hyperlink>
        </w:p>
        <w:p w14:paraId="739DC2D4" w14:textId="77777777" w:rsidR="00BC15EF" w:rsidRDefault="004A65CA">
          <w:pPr>
            <w:pStyle w:val="TOC2"/>
            <w:tabs>
              <w:tab w:val="left" w:pos="880"/>
              <w:tab w:val="right" w:leader="dot" w:pos="9016"/>
            </w:tabs>
            <w:rPr>
              <w:rFonts w:eastAsiaTheme="minorEastAsia"/>
              <w:noProof/>
              <w:lang w:eastAsia="en-ZA"/>
            </w:rPr>
          </w:pPr>
          <w:hyperlink w:anchor="_Toc506717801" w:history="1">
            <w:r w:rsidR="00BC15EF" w:rsidRPr="001B5A8E">
              <w:rPr>
                <w:rStyle w:val="Hyperlink"/>
                <w:rFonts w:ascii="Times New Roman" w:hAnsi="Times New Roman" w:cs="Times New Roman"/>
                <w:b/>
                <w:noProof/>
              </w:rPr>
              <w:t>4.3</w:t>
            </w:r>
            <w:r w:rsidR="00BC15EF">
              <w:rPr>
                <w:rFonts w:eastAsiaTheme="minorEastAsia"/>
                <w:noProof/>
                <w:lang w:eastAsia="en-ZA"/>
              </w:rPr>
              <w:tab/>
            </w:r>
            <w:r w:rsidR="00BC15EF" w:rsidRPr="001B5A8E">
              <w:rPr>
                <w:rStyle w:val="Hyperlink"/>
                <w:rFonts w:ascii="Times New Roman" w:hAnsi="Times New Roman" w:cs="Times New Roman"/>
                <w:b/>
                <w:noProof/>
              </w:rPr>
              <w:t>Findings</w:t>
            </w:r>
            <w:r w:rsidR="00BC15EF">
              <w:rPr>
                <w:noProof/>
                <w:webHidden/>
              </w:rPr>
              <w:tab/>
            </w:r>
            <w:r w:rsidR="00BC15EF">
              <w:rPr>
                <w:noProof/>
                <w:webHidden/>
              </w:rPr>
              <w:fldChar w:fldCharType="begin"/>
            </w:r>
            <w:r w:rsidR="00BC15EF">
              <w:rPr>
                <w:noProof/>
                <w:webHidden/>
              </w:rPr>
              <w:instrText xml:space="preserve"> PAGEREF _Toc506717801 \h </w:instrText>
            </w:r>
            <w:r w:rsidR="00BC15EF">
              <w:rPr>
                <w:noProof/>
                <w:webHidden/>
              </w:rPr>
            </w:r>
            <w:r w:rsidR="00BC15EF">
              <w:rPr>
                <w:noProof/>
                <w:webHidden/>
              </w:rPr>
              <w:fldChar w:fldCharType="separate"/>
            </w:r>
            <w:r w:rsidR="00BC15EF">
              <w:rPr>
                <w:noProof/>
                <w:webHidden/>
              </w:rPr>
              <w:t>62</w:t>
            </w:r>
            <w:r w:rsidR="00BC15EF">
              <w:rPr>
                <w:noProof/>
                <w:webHidden/>
              </w:rPr>
              <w:fldChar w:fldCharType="end"/>
            </w:r>
          </w:hyperlink>
        </w:p>
        <w:p w14:paraId="06483C73" w14:textId="77777777" w:rsidR="00BC15EF" w:rsidRDefault="004A65CA">
          <w:pPr>
            <w:pStyle w:val="TOC3"/>
            <w:tabs>
              <w:tab w:val="left" w:pos="1320"/>
              <w:tab w:val="right" w:leader="dot" w:pos="9016"/>
            </w:tabs>
            <w:rPr>
              <w:rFonts w:cstheme="minorBidi"/>
              <w:noProof/>
              <w:lang w:val="en-ZA" w:eastAsia="en-ZA"/>
            </w:rPr>
          </w:pPr>
          <w:hyperlink w:anchor="_Toc506717802" w:history="1">
            <w:r w:rsidR="00BC15EF" w:rsidRPr="001B5A8E">
              <w:rPr>
                <w:rStyle w:val="Hyperlink"/>
                <w:rFonts w:ascii="Times New Roman" w:hAnsi="Times New Roman"/>
                <w:i/>
                <w:noProof/>
              </w:rPr>
              <w:t>4.3.1</w:t>
            </w:r>
            <w:r w:rsidR="00BC15EF">
              <w:rPr>
                <w:rFonts w:cstheme="minorBidi"/>
                <w:noProof/>
                <w:lang w:val="en-ZA" w:eastAsia="en-ZA"/>
              </w:rPr>
              <w:tab/>
            </w:r>
            <w:r w:rsidR="00BC15EF" w:rsidRPr="001B5A8E">
              <w:rPr>
                <w:rStyle w:val="Hyperlink"/>
                <w:rFonts w:ascii="Times New Roman" w:hAnsi="Times New Roman"/>
                <w:i/>
                <w:noProof/>
              </w:rPr>
              <w:t>Deals</w:t>
            </w:r>
            <w:r w:rsidR="00BC15EF">
              <w:rPr>
                <w:noProof/>
                <w:webHidden/>
              </w:rPr>
              <w:tab/>
            </w:r>
            <w:r w:rsidR="00BC15EF">
              <w:rPr>
                <w:noProof/>
                <w:webHidden/>
              </w:rPr>
              <w:fldChar w:fldCharType="begin"/>
            </w:r>
            <w:r w:rsidR="00BC15EF">
              <w:rPr>
                <w:noProof/>
                <w:webHidden/>
              </w:rPr>
              <w:instrText xml:space="preserve"> PAGEREF _Toc506717802 \h </w:instrText>
            </w:r>
            <w:r w:rsidR="00BC15EF">
              <w:rPr>
                <w:noProof/>
                <w:webHidden/>
              </w:rPr>
            </w:r>
            <w:r w:rsidR="00BC15EF">
              <w:rPr>
                <w:noProof/>
                <w:webHidden/>
              </w:rPr>
              <w:fldChar w:fldCharType="separate"/>
            </w:r>
            <w:r w:rsidR="00BC15EF">
              <w:rPr>
                <w:noProof/>
                <w:webHidden/>
              </w:rPr>
              <w:t>62</w:t>
            </w:r>
            <w:r w:rsidR="00BC15EF">
              <w:rPr>
                <w:noProof/>
                <w:webHidden/>
              </w:rPr>
              <w:fldChar w:fldCharType="end"/>
            </w:r>
          </w:hyperlink>
        </w:p>
        <w:p w14:paraId="1C43BDF4" w14:textId="77777777" w:rsidR="00BC15EF" w:rsidRDefault="004A65CA">
          <w:pPr>
            <w:pStyle w:val="TOC3"/>
            <w:tabs>
              <w:tab w:val="left" w:pos="1320"/>
              <w:tab w:val="right" w:leader="dot" w:pos="9016"/>
            </w:tabs>
            <w:rPr>
              <w:rFonts w:cstheme="minorBidi"/>
              <w:noProof/>
              <w:lang w:val="en-ZA" w:eastAsia="en-ZA"/>
            </w:rPr>
          </w:pPr>
          <w:hyperlink w:anchor="_Toc506717803" w:history="1">
            <w:r w:rsidR="00BC15EF" w:rsidRPr="001B5A8E">
              <w:rPr>
                <w:rStyle w:val="Hyperlink"/>
                <w:rFonts w:ascii="Times New Roman" w:hAnsi="Times New Roman"/>
                <w:i/>
                <w:noProof/>
              </w:rPr>
              <w:t>4.3.2</w:t>
            </w:r>
            <w:r w:rsidR="00BC15EF">
              <w:rPr>
                <w:rFonts w:cstheme="minorBidi"/>
                <w:noProof/>
                <w:lang w:val="en-ZA" w:eastAsia="en-ZA"/>
              </w:rPr>
              <w:tab/>
            </w:r>
            <w:r w:rsidR="00BC15EF" w:rsidRPr="001B5A8E">
              <w:rPr>
                <w:rStyle w:val="Hyperlink"/>
                <w:rFonts w:ascii="Times New Roman" w:hAnsi="Times New Roman"/>
                <w:i/>
                <w:noProof/>
              </w:rPr>
              <w:t>Profitability</w:t>
            </w:r>
            <w:r w:rsidR="00BC15EF">
              <w:rPr>
                <w:noProof/>
                <w:webHidden/>
              </w:rPr>
              <w:tab/>
            </w:r>
            <w:r w:rsidR="00BC15EF">
              <w:rPr>
                <w:noProof/>
                <w:webHidden/>
              </w:rPr>
              <w:fldChar w:fldCharType="begin"/>
            </w:r>
            <w:r w:rsidR="00BC15EF">
              <w:rPr>
                <w:noProof/>
                <w:webHidden/>
              </w:rPr>
              <w:instrText xml:space="preserve"> PAGEREF _Toc506717803 \h </w:instrText>
            </w:r>
            <w:r w:rsidR="00BC15EF">
              <w:rPr>
                <w:noProof/>
                <w:webHidden/>
              </w:rPr>
            </w:r>
            <w:r w:rsidR="00BC15EF">
              <w:rPr>
                <w:noProof/>
                <w:webHidden/>
              </w:rPr>
              <w:fldChar w:fldCharType="separate"/>
            </w:r>
            <w:r w:rsidR="00BC15EF">
              <w:rPr>
                <w:noProof/>
                <w:webHidden/>
              </w:rPr>
              <w:t>63</w:t>
            </w:r>
            <w:r w:rsidR="00BC15EF">
              <w:rPr>
                <w:noProof/>
                <w:webHidden/>
              </w:rPr>
              <w:fldChar w:fldCharType="end"/>
            </w:r>
          </w:hyperlink>
        </w:p>
        <w:p w14:paraId="6DDAF9A0" w14:textId="77777777" w:rsidR="00BC15EF" w:rsidRDefault="004A65CA">
          <w:pPr>
            <w:pStyle w:val="TOC3"/>
            <w:tabs>
              <w:tab w:val="left" w:pos="1320"/>
              <w:tab w:val="right" w:leader="dot" w:pos="9016"/>
            </w:tabs>
            <w:rPr>
              <w:rFonts w:cstheme="minorBidi"/>
              <w:noProof/>
              <w:lang w:val="en-ZA" w:eastAsia="en-ZA"/>
            </w:rPr>
          </w:pPr>
          <w:hyperlink w:anchor="_Toc506717804" w:history="1">
            <w:r w:rsidR="00BC15EF" w:rsidRPr="001B5A8E">
              <w:rPr>
                <w:rStyle w:val="Hyperlink"/>
                <w:rFonts w:ascii="Times New Roman" w:hAnsi="Times New Roman"/>
                <w:i/>
                <w:noProof/>
              </w:rPr>
              <w:t>4.3.3</w:t>
            </w:r>
            <w:r w:rsidR="00BC15EF">
              <w:rPr>
                <w:rFonts w:cstheme="minorBidi"/>
                <w:noProof/>
                <w:lang w:val="en-ZA" w:eastAsia="en-ZA"/>
              </w:rPr>
              <w:tab/>
            </w:r>
            <w:r w:rsidR="00BC15EF" w:rsidRPr="001B5A8E">
              <w:rPr>
                <w:rStyle w:val="Hyperlink"/>
                <w:rFonts w:ascii="Times New Roman" w:hAnsi="Times New Roman"/>
                <w:i/>
                <w:noProof/>
              </w:rPr>
              <w:t>Capital Structure</w:t>
            </w:r>
            <w:r w:rsidR="00BC15EF">
              <w:rPr>
                <w:noProof/>
                <w:webHidden/>
              </w:rPr>
              <w:tab/>
            </w:r>
            <w:r w:rsidR="00BC15EF">
              <w:rPr>
                <w:noProof/>
                <w:webHidden/>
              </w:rPr>
              <w:fldChar w:fldCharType="begin"/>
            </w:r>
            <w:r w:rsidR="00BC15EF">
              <w:rPr>
                <w:noProof/>
                <w:webHidden/>
              </w:rPr>
              <w:instrText xml:space="preserve"> PAGEREF _Toc506717804 \h </w:instrText>
            </w:r>
            <w:r w:rsidR="00BC15EF">
              <w:rPr>
                <w:noProof/>
                <w:webHidden/>
              </w:rPr>
            </w:r>
            <w:r w:rsidR="00BC15EF">
              <w:rPr>
                <w:noProof/>
                <w:webHidden/>
              </w:rPr>
              <w:fldChar w:fldCharType="separate"/>
            </w:r>
            <w:r w:rsidR="00BC15EF">
              <w:rPr>
                <w:noProof/>
                <w:webHidden/>
              </w:rPr>
              <w:t>63</w:t>
            </w:r>
            <w:r w:rsidR="00BC15EF">
              <w:rPr>
                <w:noProof/>
                <w:webHidden/>
              </w:rPr>
              <w:fldChar w:fldCharType="end"/>
            </w:r>
          </w:hyperlink>
        </w:p>
        <w:p w14:paraId="04A773FA" w14:textId="77777777" w:rsidR="00BC15EF" w:rsidRDefault="004A65CA">
          <w:pPr>
            <w:pStyle w:val="TOC3"/>
            <w:tabs>
              <w:tab w:val="left" w:pos="1320"/>
              <w:tab w:val="right" w:leader="dot" w:pos="9016"/>
            </w:tabs>
            <w:rPr>
              <w:rFonts w:cstheme="minorBidi"/>
              <w:noProof/>
              <w:lang w:val="en-ZA" w:eastAsia="en-ZA"/>
            </w:rPr>
          </w:pPr>
          <w:hyperlink w:anchor="_Toc506717805" w:history="1">
            <w:r w:rsidR="00BC15EF" w:rsidRPr="001B5A8E">
              <w:rPr>
                <w:rStyle w:val="Hyperlink"/>
                <w:rFonts w:ascii="Times New Roman" w:hAnsi="Times New Roman"/>
                <w:i/>
                <w:noProof/>
              </w:rPr>
              <w:t>4.3.4</w:t>
            </w:r>
            <w:r w:rsidR="00BC15EF">
              <w:rPr>
                <w:rFonts w:cstheme="minorBidi"/>
                <w:noProof/>
                <w:lang w:val="en-ZA" w:eastAsia="en-ZA"/>
              </w:rPr>
              <w:tab/>
            </w:r>
            <w:r w:rsidR="00BC15EF" w:rsidRPr="001B5A8E">
              <w:rPr>
                <w:rStyle w:val="Hyperlink"/>
                <w:rFonts w:ascii="Times New Roman" w:hAnsi="Times New Roman"/>
                <w:i/>
                <w:noProof/>
              </w:rPr>
              <w:t>Growth</w:t>
            </w:r>
            <w:r w:rsidR="00BC15EF">
              <w:rPr>
                <w:noProof/>
                <w:webHidden/>
              </w:rPr>
              <w:tab/>
            </w:r>
            <w:r w:rsidR="00BC15EF">
              <w:rPr>
                <w:noProof/>
                <w:webHidden/>
              </w:rPr>
              <w:fldChar w:fldCharType="begin"/>
            </w:r>
            <w:r w:rsidR="00BC15EF">
              <w:rPr>
                <w:noProof/>
                <w:webHidden/>
              </w:rPr>
              <w:instrText xml:space="preserve"> PAGEREF _Toc506717805 \h </w:instrText>
            </w:r>
            <w:r w:rsidR="00BC15EF">
              <w:rPr>
                <w:noProof/>
                <w:webHidden/>
              </w:rPr>
            </w:r>
            <w:r w:rsidR="00BC15EF">
              <w:rPr>
                <w:noProof/>
                <w:webHidden/>
              </w:rPr>
              <w:fldChar w:fldCharType="separate"/>
            </w:r>
            <w:r w:rsidR="00BC15EF">
              <w:rPr>
                <w:noProof/>
                <w:webHidden/>
              </w:rPr>
              <w:t>63</w:t>
            </w:r>
            <w:r w:rsidR="00BC15EF">
              <w:rPr>
                <w:noProof/>
                <w:webHidden/>
              </w:rPr>
              <w:fldChar w:fldCharType="end"/>
            </w:r>
          </w:hyperlink>
        </w:p>
        <w:p w14:paraId="2718F33F" w14:textId="77777777" w:rsidR="00BC15EF" w:rsidRDefault="004A65CA">
          <w:pPr>
            <w:pStyle w:val="TOC3"/>
            <w:tabs>
              <w:tab w:val="left" w:pos="1320"/>
              <w:tab w:val="right" w:leader="dot" w:pos="9016"/>
            </w:tabs>
            <w:rPr>
              <w:rFonts w:cstheme="minorBidi"/>
              <w:noProof/>
              <w:lang w:val="en-ZA" w:eastAsia="en-ZA"/>
            </w:rPr>
          </w:pPr>
          <w:hyperlink w:anchor="_Toc506717806" w:history="1">
            <w:r w:rsidR="00BC15EF" w:rsidRPr="001B5A8E">
              <w:rPr>
                <w:rStyle w:val="Hyperlink"/>
                <w:rFonts w:ascii="Times New Roman" w:hAnsi="Times New Roman"/>
                <w:i/>
                <w:noProof/>
              </w:rPr>
              <w:t>4.3.5</w:t>
            </w:r>
            <w:r w:rsidR="00BC15EF">
              <w:rPr>
                <w:rFonts w:cstheme="minorBidi"/>
                <w:noProof/>
                <w:lang w:val="en-ZA" w:eastAsia="en-ZA"/>
              </w:rPr>
              <w:tab/>
            </w:r>
            <w:r w:rsidR="00BC15EF" w:rsidRPr="001B5A8E">
              <w:rPr>
                <w:rStyle w:val="Hyperlink"/>
                <w:rFonts w:ascii="Times New Roman" w:hAnsi="Times New Roman"/>
                <w:i/>
                <w:noProof/>
              </w:rPr>
              <w:t>Liquidity</w:t>
            </w:r>
            <w:r w:rsidR="00BC15EF">
              <w:rPr>
                <w:noProof/>
                <w:webHidden/>
              </w:rPr>
              <w:tab/>
            </w:r>
            <w:r w:rsidR="00BC15EF">
              <w:rPr>
                <w:noProof/>
                <w:webHidden/>
              </w:rPr>
              <w:fldChar w:fldCharType="begin"/>
            </w:r>
            <w:r w:rsidR="00BC15EF">
              <w:rPr>
                <w:noProof/>
                <w:webHidden/>
              </w:rPr>
              <w:instrText xml:space="preserve"> PAGEREF _Toc506717806 \h </w:instrText>
            </w:r>
            <w:r w:rsidR="00BC15EF">
              <w:rPr>
                <w:noProof/>
                <w:webHidden/>
              </w:rPr>
            </w:r>
            <w:r w:rsidR="00BC15EF">
              <w:rPr>
                <w:noProof/>
                <w:webHidden/>
              </w:rPr>
              <w:fldChar w:fldCharType="separate"/>
            </w:r>
            <w:r w:rsidR="00BC15EF">
              <w:rPr>
                <w:noProof/>
                <w:webHidden/>
              </w:rPr>
              <w:t>64</w:t>
            </w:r>
            <w:r w:rsidR="00BC15EF">
              <w:rPr>
                <w:noProof/>
                <w:webHidden/>
              </w:rPr>
              <w:fldChar w:fldCharType="end"/>
            </w:r>
          </w:hyperlink>
        </w:p>
        <w:p w14:paraId="03387EEC" w14:textId="77777777" w:rsidR="00BC15EF" w:rsidRDefault="004A65CA">
          <w:pPr>
            <w:pStyle w:val="TOC3"/>
            <w:tabs>
              <w:tab w:val="left" w:pos="1320"/>
              <w:tab w:val="right" w:leader="dot" w:pos="9016"/>
            </w:tabs>
            <w:rPr>
              <w:rFonts w:cstheme="minorBidi"/>
              <w:noProof/>
              <w:lang w:val="en-ZA" w:eastAsia="en-ZA"/>
            </w:rPr>
          </w:pPr>
          <w:hyperlink w:anchor="_Toc506717807" w:history="1">
            <w:r w:rsidR="00BC15EF" w:rsidRPr="001B5A8E">
              <w:rPr>
                <w:rStyle w:val="Hyperlink"/>
                <w:rFonts w:ascii="Times New Roman" w:hAnsi="Times New Roman"/>
                <w:i/>
                <w:noProof/>
              </w:rPr>
              <w:t>4.3.6</w:t>
            </w:r>
            <w:r w:rsidR="00BC15EF">
              <w:rPr>
                <w:rFonts w:cstheme="minorBidi"/>
                <w:noProof/>
                <w:lang w:val="en-ZA" w:eastAsia="en-ZA"/>
              </w:rPr>
              <w:tab/>
            </w:r>
            <w:r w:rsidR="00BC15EF" w:rsidRPr="001B5A8E">
              <w:rPr>
                <w:rStyle w:val="Hyperlink"/>
                <w:rFonts w:ascii="Times New Roman" w:hAnsi="Times New Roman"/>
                <w:i/>
                <w:noProof/>
              </w:rPr>
              <w:t>Size</w:t>
            </w:r>
            <w:r w:rsidR="00BC15EF">
              <w:rPr>
                <w:noProof/>
                <w:webHidden/>
              </w:rPr>
              <w:tab/>
            </w:r>
            <w:r w:rsidR="00BC15EF">
              <w:rPr>
                <w:noProof/>
                <w:webHidden/>
              </w:rPr>
              <w:fldChar w:fldCharType="begin"/>
            </w:r>
            <w:r w:rsidR="00BC15EF">
              <w:rPr>
                <w:noProof/>
                <w:webHidden/>
              </w:rPr>
              <w:instrText xml:space="preserve"> PAGEREF _Toc506717807 \h </w:instrText>
            </w:r>
            <w:r w:rsidR="00BC15EF">
              <w:rPr>
                <w:noProof/>
                <w:webHidden/>
              </w:rPr>
            </w:r>
            <w:r w:rsidR="00BC15EF">
              <w:rPr>
                <w:noProof/>
                <w:webHidden/>
              </w:rPr>
              <w:fldChar w:fldCharType="separate"/>
            </w:r>
            <w:r w:rsidR="00BC15EF">
              <w:rPr>
                <w:noProof/>
                <w:webHidden/>
              </w:rPr>
              <w:t>64</w:t>
            </w:r>
            <w:r w:rsidR="00BC15EF">
              <w:rPr>
                <w:noProof/>
                <w:webHidden/>
              </w:rPr>
              <w:fldChar w:fldCharType="end"/>
            </w:r>
          </w:hyperlink>
        </w:p>
        <w:p w14:paraId="2969DEB4" w14:textId="77777777" w:rsidR="00BC15EF" w:rsidRDefault="004A65CA">
          <w:pPr>
            <w:pStyle w:val="TOC3"/>
            <w:tabs>
              <w:tab w:val="left" w:pos="1320"/>
              <w:tab w:val="right" w:leader="dot" w:pos="9016"/>
            </w:tabs>
            <w:rPr>
              <w:rFonts w:cstheme="minorBidi"/>
              <w:noProof/>
              <w:lang w:val="en-ZA" w:eastAsia="en-ZA"/>
            </w:rPr>
          </w:pPr>
          <w:hyperlink w:anchor="_Toc506717808" w:history="1">
            <w:r w:rsidR="00BC15EF" w:rsidRPr="001B5A8E">
              <w:rPr>
                <w:rStyle w:val="Hyperlink"/>
                <w:rFonts w:ascii="Times New Roman" w:hAnsi="Times New Roman"/>
                <w:i/>
                <w:noProof/>
              </w:rPr>
              <w:t>4.3.7</w:t>
            </w:r>
            <w:r w:rsidR="00BC15EF">
              <w:rPr>
                <w:rFonts w:cstheme="minorBidi"/>
                <w:noProof/>
                <w:lang w:val="en-ZA" w:eastAsia="en-ZA"/>
              </w:rPr>
              <w:tab/>
            </w:r>
            <w:r w:rsidR="00BC15EF" w:rsidRPr="001B5A8E">
              <w:rPr>
                <w:rStyle w:val="Hyperlink"/>
                <w:rFonts w:ascii="Times New Roman" w:hAnsi="Times New Roman"/>
                <w:i/>
                <w:noProof/>
              </w:rPr>
              <w:t>Sector</w:t>
            </w:r>
            <w:r w:rsidR="00BC15EF">
              <w:rPr>
                <w:noProof/>
                <w:webHidden/>
              </w:rPr>
              <w:tab/>
            </w:r>
            <w:r w:rsidR="00BC15EF">
              <w:rPr>
                <w:noProof/>
                <w:webHidden/>
              </w:rPr>
              <w:fldChar w:fldCharType="begin"/>
            </w:r>
            <w:r w:rsidR="00BC15EF">
              <w:rPr>
                <w:noProof/>
                <w:webHidden/>
              </w:rPr>
              <w:instrText xml:space="preserve"> PAGEREF _Toc506717808 \h </w:instrText>
            </w:r>
            <w:r w:rsidR="00BC15EF">
              <w:rPr>
                <w:noProof/>
                <w:webHidden/>
              </w:rPr>
            </w:r>
            <w:r w:rsidR="00BC15EF">
              <w:rPr>
                <w:noProof/>
                <w:webHidden/>
              </w:rPr>
              <w:fldChar w:fldCharType="separate"/>
            </w:r>
            <w:r w:rsidR="00BC15EF">
              <w:rPr>
                <w:noProof/>
                <w:webHidden/>
              </w:rPr>
              <w:t>65</w:t>
            </w:r>
            <w:r w:rsidR="00BC15EF">
              <w:rPr>
                <w:noProof/>
                <w:webHidden/>
              </w:rPr>
              <w:fldChar w:fldCharType="end"/>
            </w:r>
          </w:hyperlink>
        </w:p>
        <w:p w14:paraId="5D91775B" w14:textId="77777777" w:rsidR="00BC15EF" w:rsidRDefault="004A65CA">
          <w:pPr>
            <w:pStyle w:val="TOC3"/>
            <w:tabs>
              <w:tab w:val="left" w:pos="1320"/>
              <w:tab w:val="right" w:leader="dot" w:pos="9016"/>
            </w:tabs>
            <w:rPr>
              <w:rFonts w:cstheme="minorBidi"/>
              <w:noProof/>
              <w:lang w:val="en-ZA" w:eastAsia="en-ZA"/>
            </w:rPr>
          </w:pPr>
          <w:hyperlink w:anchor="_Toc506717809" w:history="1">
            <w:r w:rsidR="00BC15EF" w:rsidRPr="001B5A8E">
              <w:rPr>
                <w:rStyle w:val="Hyperlink"/>
                <w:rFonts w:ascii="Times New Roman" w:hAnsi="Times New Roman"/>
                <w:i/>
                <w:noProof/>
              </w:rPr>
              <w:t>4.3.8</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_Toc506717809 \h </w:instrText>
            </w:r>
            <w:r w:rsidR="00BC15EF">
              <w:rPr>
                <w:noProof/>
                <w:webHidden/>
              </w:rPr>
            </w:r>
            <w:r w:rsidR="00BC15EF">
              <w:rPr>
                <w:noProof/>
                <w:webHidden/>
              </w:rPr>
              <w:fldChar w:fldCharType="separate"/>
            </w:r>
            <w:r w:rsidR="00BC15EF">
              <w:rPr>
                <w:noProof/>
                <w:webHidden/>
              </w:rPr>
              <w:t>65</w:t>
            </w:r>
            <w:r w:rsidR="00BC15EF">
              <w:rPr>
                <w:noProof/>
                <w:webHidden/>
              </w:rPr>
              <w:fldChar w:fldCharType="end"/>
            </w:r>
          </w:hyperlink>
        </w:p>
        <w:p w14:paraId="309CD858" w14:textId="77777777" w:rsidR="00BC15EF" w:rsidRDefault="004A65CA">
          <w:pPr>
            <w:pStyle w:val="TOC2"/>
            <w:tabs>
              <w:tab w:val="right" w:leader="dot" w:pos="9016"/>
            </w:tabs>
            <w:rPr>
              <w:rFonts w:eastAsiaTheme="minorEastAsia"/>
              <w:noProof/>
              <w:lang w:eastAsia="en-ZA"/>
            </w:rPr>
          </w:pPr>
          <w:hyperlink w:anchor="_Toc506717810" w:history="1">
            <w:r w:rsidR="00BC15EF" w:rsidRPr="001B5A8E">
              <w:rPr>
                <w:rStyle w:val="Hyperlink"/>
                <w:rFonts w:ascii="Times New Roman" w:hAnsi="Times New Roman" w:cs="Times New Roman"/>
                <w:b/>
                <w:noProof/>
              </w:rPr>
              <w:t>4.4 Robustness</w:t>
            </w:r>
            <w:r w:rsidR="00BC15EF">
              <w:rPr>
                <w:noProof/>
                <w:webHidden/>
              </w:rPr>
              <w:tab/>
            </w:r>
            <w:r w:rsidR="00BC15EF">
              <w:rPr>
                <w:noProof/>
                <w:webHidden/>
              </w:rPr>
              <w:fldChar w:fldCharType="begin"/>
            </w:r>
            <w:r w:rsidR="00BC15EF">
              <w:rPr>
                <w:noProof/>
                <w:webHidden/>
              </w:rPr>
              <w:instrText xml:space="preserve"> PAGEREF _Toc506717810 \h </w:instrText>
            </w:r>
            <w:r w:rsidR="00BC15EF">
              <w:rPr>
                <w:noProof/>
                <w:webHidden/>
              </w:rPr>
            </w:r>
            <w:r w:rsidR="00BC15EF">
              <w:rPr>
                <w:noProof/>
                <w:webHidden/>
              </w:rPr>
              <w:fldChar w:fldCharType="separate"/>
            </w:r>
            <w:r w:rsidR="00BC15EF">
              <w:rPr>
                <w:noProof/>
                <w:webHidden/>
              </w:rPr>
              <w:t>66</w:t>
            </w:r>
            <w:r w:rsidR="00BC15EF">
              <w:rPr>
                <w:noProof/>
                <w:webHidden/>
              </w:rPr>
              <w:fldChar w:fldCharType="end"/>
            </w:r>
          </w:hyperlink>
        </w:p>
        <w:p w14:paraId="0C246C3B" w14:textId="77777777" w:rsidR="00BC15EF" w:rsidRDefault="004A65CA">
          <w:pPr>
            <w:pStyle w:val="TOC3"/>
            <w:tabs>
              <w:tab w:val="left" w:pos="1320"/>
              <w:tab w:val="right" w:leader="dot" w:pos="9016"/>
            </w:tabs>
            <w:rPr>
              <w:rFonts w:cstheme="minorBidi"/>
              <w:noProof/>
              <w:lang w:val="en-ZA" w:eastAsia="en-ZA"/>
            </w:rPr>
          </w:pPr>
          <w:hyperlink w:anchor="_Toc506717811" w:history="1">
            <w:r w:rsidR="00BC15EF" w:rsidRPr="001B5A8E">
              <w:rPr>
                <w:rStyle w:val="Hyperlink"/>
                <w:rFonts w:ascii="Times New Roman" w:hAnsi="Times New Roman"/>
                <w:i/>
                <w:noProof/>
              </w:rPr>
              <w:t>4.4.1</w:t>
            </w:r>
            <w:r w:rsidR="00BC15EF">
              <w:rPr>
                <w:rFonts w:cstheme="minorBidi"/>
                <w:noProof/>
                <w:lang w:val="en-ZA" w:eastAsia="en-ZA"/>
              </w:rPr>
              <w:tab/>
            </w:r>
            <w:r w:rsidR="00BC15EF" w:rsidRPr="001B5A8E">
              <w:rPr>
                <w:rStyle w:val="Hyperlink"/>
                <w:rFonts w:ascii="Times New Roman" w:hAnsi="Times New Roman"/>
                <w:i/>
                <w:noProof/>
              </w:rPr>
              <w:t>Conclusion</w:t>
            </w:r>
            <w:r w:rsidR="00BC15EF">
              <w:rPr>
                <w:noProof/>
                <w:webHidden/>
              </w:rPr>
              <w:tab/>
            </w:r>
            <w:r w:rsidR="00BC15EF">
              <w:rPr>
                <w:noProof/>
                <w:webHidden/>
              </w:rPr>
              <w:fldChar w:fldCharType="begin"/>
            </w:r>
            <w:r w:rsidR="00BC15EF">
              <w:rPr>
                <w:noProof/>
                <w:webHidden/>
              </w:rPr>
              <w:instrText xml:space="preserve"> PAGEREF _Toc506717811 \h </w:instrText>
            </w:r>
            <w:r w:rsidR="00BC15EF">
              <w:rPr>
                <w:noProof/>
                <w:webHidden/>
              </w:rPr>
            </w:r>
            <w:r w:rsidR="00BC15EF">
              <w:rPr>
                <w:noProof/>
                <w:webHidden/>
              </w:rPr>
              <w:fldChar w:fldCharType="separate"/>
            </w:r>
            <w:r w:rsidR="00BC15EF">
              <w:rPr>
                <w:noProof/>
                <w:webHidden/>
              </w:rPr>
              <w:t>67</w:t>
            </w:r>
            <w:r w:rsidR="00BC15EF">
              <w:rPr>
                <w:noProof/>
                <w:webHidden/>
              </w:rPr>
              <w:fldChar w:fldCharType="end"/>
            </w:r>
          </w:hyperlink>
        </w:p>
        <w:p w14:paraId="6C58D91D" w14:textId="77777777" w:rsidR="00BC15EF" w:rsidRDefault="004A65CA">
          <w:pPr>
            <w:pStyle w:val="TOC1"/>
            <w:tabs>
              <w:tab w:val="right" w:leader="dot" w:pos="9016"/>
            </w:tabs>
            <w:rPr>
              <w:rFonts w:eastAsiaTheme="minorEastAsia"/>
              <w:noProof/>
              <w:lang w:eastAsia="en-ZA"/>
            </w:rPr>
          </w:pPr>
          <w:hyperlink w:anchor="_Toc506717812" w:history="1">
            <w:r w:rsidR="00BC15EF" w:rsidRPr="001B5A8E">
              <w:rPr>
                <w:rStyle w:val="Hyperlink"/>
                <w:rFonts w:ascii="Times New Roman" w:hAnsi="Times New Roman" w:cs="Times New Roman"/>
                <w:b/>
                <w:noProof/>
              </w:rPr>
              <w:t>CHAPTER 5: CONCUSION</w:t>
            </w:r>
            <w:r w:rsidR="00BC15EF">
              <w:rPr>
                <w:noProof/>
                <w:webHidden/>
              </w:rPr>
              <w:tab/>
            </w:r>
            <w:r w:rsidR="00BC15EF">
              <w:rPr>
                <w:noProof/>
                <w:webHidden/>
              </w:rPr>
              <w:fldChar w:fldCharType="begin"/>
            </w:r>
            <w:r w:rsidR="00BC15EF">
              <w:rPr>
                <w:noProof/>
                <w:webHidden/>
              </w:rPr>
              <w:instrText xml:space="preserve"> PAGEREF _Toc506717812 \h </w:instrText>
            </w:r>
            <w:r w:rsidR="00BC15EF">
              <w:rPr>
                <w:noProof/>
                <w:webHidden/>
              </w:rPr>
            </w:r>
            <w:r w:rsidR="00BC15EF">
              <w:rPr>
                <w:noProof/>
                <w:webHidden/>
              </w:rPr>
              <w:fldChar w:fldCharType="separate"/>
            </w:r>
            <w:r w:rsidR="00BC15EF">
              <w:rPr>
                <w:noProof/>
                <w:webHidden/>
              </w:rPr>
              <w:t>68</w:t>
            </w:r>
            <w:r w:rsidR="00BC15EF">
              <w:rPr>
                <w:noProof/>
                <w:webHidden/>
              </w:rPr>
              <w:fldChar w:fldCharType="end"/>
            </w:r>
          </w:hyperlink>
        </w:p>
        <w:p w14:paraId="278E2AE4" w14:textId="77777777" w:rsidR="00BC15EF" w:rsidRDefault="004A65CA">
          <w:pPr>
            <w:pStyle w:val="TOC2"/>
            <w:tabs>
              <w:tab w:val="left" w:pos="880"/>
              <w:tab w:val="right" w:leader="dot" w:pos="9016"/>
            </w:tabs>
            <w:rPr>
              <w:rFonts w:eastAsiaTheme="minorEastAsia"/>
              <w:noProof/>
              <w:lang w:eastAsia="en-ZA"/>
            </w:rPr>
          </w:pPr>
          <w:hyperlink w:anchor="_Toc506717813" w:history="1">
            <w:r w:rsidR="00BC15EF" w:rsidRPr="001B5A8E">
              <w:rPr>
                <w:rStyle w:val="Hyperlink"/>
                <w:rFonts w:ascii="Times New Roman" w:hAnsi="Times New Roman" w:cs="Times New Roman"/>
                <w:b/>
                <w:noProof/>
              </w:rPr>
              <w:t>5.1</w:t>
            </w:r>
            <w:r w:rsidR="00BC15EF">
              <w:rPr>
                <w:rFonts w:eastAsiaTheme="minorEastAsia"/>
                <w:noProof/>
                <w:lang w:eastAsia="en-ZA"/>
              </w:rPr>
              <w:tab/>
            </w:r>
            <w:r w:rsidR="00BC15EF" w:rsidRPr="001B5A8E">
              <w:rPr>
                <w:rStyle w:val="Hyperlink"/>
                <w:rFonts w:ascii="Times New Roman" w:hAnsi="Times New Roman" w:cs="Times New Roman"/>
                <w:b/>
                <w:noProof/>
              </w:rPr>
              <w:t>Conclusion</w:t>
            </w:r>
            <w:r w:rsidR="00BC15EF">
              <w:rPr>
                <w:noProof/>
                <w:webHidden/>
              </w:rPr>
              <w:tab/>
            </w:r>
            <w:r w:rsidR="00BC15EF">
              <w:rPr>
                <w:noProof/>
                <w:webHidden/>
              </w:rPr>
              <w:fldChar w:fldCharType="begin"/>
            </w:r>
            <w:r w:rsidR="00BC15EF">
              <w:rPr>
                <w:noProof/>
                <w:webHidden/>
              </w:rPr>
              <w:instrText xml:space="preserve"> PAGEREF _Toc506717813 \h </w:instrText>
            </w:r>
            <w:r w:rsidR="00BC15EF">
              <w:rPr>
                <w:noProof/>
                <w:webHidden/>
              </w:rPr>
            </w:r>
            <w:r w:rsidR="00BC15EF">
              <w:rPr>
                <w:noProof/>
                <w:webHidden/>
              </w:rPr>
              <w:fldChar w:fldCharType="separate"/>
            </w:r>
            <w:r w:rsidR="00BC15EF">
              <w:rPr>
                <w:noProof/>
                <w:webHidden/>
              </w:rPr>
              <w:t>68</w:t>
            </w:r>
            <w:r w:rsidR="00BC15EF">
              <w:rPr>
                <w:noProof/>
                <w:webHidden/>
              </w:rPr>
              <w:fldChar w:fldCharType="end"/>
            </w:r>
          </w:hyperlink>
        </w:p>
        <w:p w14:paraId="14104253" w14:textId="77777777" w:rsidR="00BC15EF" w:rsidRDefault="004A65CA">
          <w:pPr>
            <w:pStyle w:val="TOC2"/>
            <w:tabs>
              <w:tab w:val="left" w:pos="880"/>
              <w:tab w:val="right" w:leader="dot" w:pos="9016"/>
            </w:tabs>
            <w:rPr>
              <w:rFonts w:eastAsiaTheme="minorEastAsia"/>
              <w:noProof/>
              <w:lang w:eastAsia="en-ZA"/>
            </w:rPr>
          </w:pPr>
          <w:hyperlink w:anchor="_Toc506717814" w:history="1">
            <w:r w:rsidR="00BC15EF" w:rsidRPr="001B5A8E">
              <w:rPr>
                <w:rStyle w:val="Hyperlink"/>
                <w:rFonts w:ascii="Times New Roman" w:hAnsi="Times New Roman" w:cs="Times New Roman"/>
                <w:b/>
                <w:noProof/>
              </w:rPr>
              <w:t>5.2</w:t>
            </w:r>
            <w:r w:rsidR="00BC15EF">
              <w:rPr>
                <w:rFonts w:eastAsiaTheme="minorEastAsia"/>
                <w:noProof/>
                <w:lang w:eastAsia="en-ZA"/>
              </w:rPr>
              <w:tab/>
            </w:r>
            <w:r w:rsidR="00BC15EF" w:rsidRPr="001B5A8E">
              <w:rPr>
                <w:rStyle w:val="Hyperlink"/>
                <w:rFonts w:ascii="Times New Roman" w:hAnsi="Times New Roman" w:cs="Times New Roman"/>
                <w:b/>
                <w:noProof/>
              </w:rPr>
              <w:t>Areas for Future Research</w:t>
            </w:r>
            <w:r w:rsidR="00BC15EF">
              <w:rPr>
                <w:noProof/>
                <w:webHidden/>
              </w:rPr>
              <w:tab/>
            </w:r>
            <w:r w:rsidR="00BC15EF">
              <w:rPr>
                <w:noProof/>
                <w:webHidden/>
              </w:rPr>
              <w:fldChar w:fldCharType="begin"/>
            </w:r>
            <w:r w:rsidR="00BC15EF">
              <w:rPr>
                <w:noProof/>
                <w:webHidden/>
              </w:rPr>
              <w:instrText xml:space="preserve"> PAGEREF _Toc506717814 \h </w:instrText>
            </w:r>
            <w:r w:rsidR="00BC15EF">
              <w:rPr>
                <w:noProof/>
                <w:webHidden/>
              </w:rPr>
            </w:r>
            <w:r w:rsidR="00BC15EF">
              <w:rPr>
                <w:noProof/>
                <w:webHidden/>
              </w:rPr>
              <w:fldChar w:fldCharType="separate"/>
            </w:r>
            <w:r w:rsidR="00BC15EF">
              <w:rPr>
                <w:noProof/>
                <w:webHidden/>
              </w:rPr>
              <w:t>69</w:t>
            </w:r>
            <w:r w:rsidR="00BC15EF">
              <w:rPr>
                <w:noProof/>
                <w:webHidden/>
              </w:rPr>
              <w:fldChar w:fldCharType="end"/>
            </w:r>
          </w:hyperlink>
        </w:p>
        <w:p w14:paraId="4ECD274B" w14:textId="77777777" w:rsidR="00BC15EF" w:rsidRDefault="004A65CA">
          <w:pPr>
            <w:pStyle w:val="TOC1"/>
            <w:tabs>
              <w:tab w:val="right" w:leader="dot" w:pos="9016"/>
            </w:tabs>
            <w:rPr>
              <w:rFonts w:eastAsiaTheme="minorEastAsia"/>
              <w:noProof/>
              <w:lang w:eastAsia="en-ZA"/>
            </w:rPr>
          </w:pPr>
          <w:hyperlink w:anchor="_Toc506717815" w:history="1">
            <w:r w:rsidR="00BC15EF" w:rsidRPr="001B5A8E">
              <w:rPr>
                <w:rStyle w:val="Hyperlink"/>
                <w:rFonts w:ascii="Times New Roman" w:hAnsi="Times New Roman" w:cs="Times New Roman"/>
                <w:b/>
                <w:noProof/>
              </w:rPr>
              <w:t>REFERENCES</w:t>
            </w:r>
            <w:r w:rsidR="00BC15EF">
              <w:rPr>
                <w:noProof/>
                <w:webHidden/>
              </w:rPr>
              <w:tab/>
            </w:r>
            <w:r w:rsidR="00BC15EF">
              <w:rPr>
                <w:noProof/>
                <w:webHidden/>
              </w:rPr>
              <w:fldChar w:fldCharType="begin"/>
            </w:r>
            <w:r w:rsidR="00BC15EF">
              <w:rPr>
                <w:noProof/>
                <w:webHidden/>
              </w:rPr>
              <w:instrText xml:space="preserve"> PAGEREF _Toc506717815 \h </w:instrText>
            </w:r>
            <w:r w:rsidR="00BC15EF">
              <w:rPr>
                <w:noProof/>
                <w:webHidden/>
              </w:rPr>
            </w:r>
            <w:r w:rsidR="00BC15EF">
              <w:rPr>
                <w:noProof/>
                <w:webHidden/>
              </w:rPr>
              <w:fldChar w:fldCharType="separate"/>
            </w:r>
            <w:r w:rsidR="00BC15EF">
              <w:rPr>
                <w:noProof/>
                <w:webHidden/>
              </w:rPr>
              <w:t>71</w:t>
            </w:r>
            <w:r w:rsidR="00BC15EF">
              <w:rPr>
                <w:noProof/>
                <w:webHidden/>
              </w:rPr>
              <w:fldChar w:fldCharType="end"/>
            </w:r>
          </w:hyperlink>
        </w:p>
        <w:p w14:paraId="2F694A7A" w14:textId="77777777" w:rsidR="00BC15EF" w:rsidRDefault="004A65CA">
          <w:pPr>
            <w:pStyle w:val="TOC1"/>
            <w:tabs>
              <w:tab w:val="right" w:leader="dot" w:pos="9016"/>
            </w:tabs>
            <w:rPr>
              <w:rFonts w:eastAsiaTheme="minorEastAsia"/>
              <w:noProof/>
              <w:lang w:eastAsia="en-ZA"/>
            </w:rPr>
          </w:pPr>
          <w:hyperlink w:anchor="_Toc506717816" w:history="1">
            <w:r w:rsidR="00BC15EF" w:rsidRPr="001B5A8E">
              <w:rPr>
                <w:rStyle w:val="Hyperlink"/>
                <w:rFonts w:ascii="Times New Roman" w:hAnsi="Times New Roman" w:cs="Times New Roman"/>
                <w:b/>
                <w:noProof/>
              </w:rPr>
              <w:t>APPENDIX A</w:t>
            </w:r>
            <w:r w:rsidR="00BC15EF">
              <w:rPr>
                <w:noProof/>
                <w:webHidden/>
              </w:rPr>
              <w:tab/>
            </w:r>
            <w:r w:rsidR="00BC15EF">
              <w:rPr>
                <w:noProof/>
                <w:webHidden/>
              </w:rPr>
              <w:fldChar w:fldCharType="begin"/>
            </w:r>
            <w:r w:rsidR="00BC15EF">
              <w:rPr>
                <w:noProof/>
                <w:webHidden/>
              </w:rPr>
              <w:instrText xml:space="preserve"> PAGEREF _Toc506717816 \h </w:instrText>
            </w:r>
            <w:r w:rsidR="00BC15EF">
              <w:rPr>
                <w:noProof/>
                <w:webHidden/>
              </w:rPr>
            </w:r>
            <w:r w:rsidR="00BC15EF">
              <w:rPr>
                <w:noProof/>
                <w:webHidden/>
              </w:rPr>
              <w:fldChar w:fldCharType="separate"/>
            </w:r>
            <w:r w:rsidR="00BC15EF">
              <w:rPr>
                <w:noProof/>
                <w:webHidden/>
              </w:rPr>
              <w:t>81</w:t>
            </w:r>
            <w:r w:rsidR="00BC15EF">
              <w:rPr>
                <w:noProof/>
                <w:webHidden/>
              </w:rPr>
              <w:fldChar w:fldCharType="end"/>
            </w:r>
          </w:hyperlink>
        </w:p>
        <w:p w14:paraId="53387C80" w14:textId="77777777" w:rsidR="00095351" w:rsidRPr="00095351" w:rsidRDefault="00095351" w:rsidP="00536234">
          <w:pPr>
            <w:ind w:left="0"/>
            <w:rPr>
              <w:rFonts w:ascii="Times New Roman" w:hAnsi="Times New Roman" w:cs="Times New Roman"/>
            </w:rPr>
          </w:pPr>
          <w:r w:rsidRPr="00095351">
            <w:rPr>
              <w:rFonts w:ascii="Times New Roman" w:hAnsi="Times New Roman" w:cs="Times New Roman"/>
              <w:b/>
              <w:bCs/>
              <w:noProof/>
            </w:rPr>
            <w:fldChar w:fldCharType="end"/>
          </w:r>
        </w:p>
      </w:sdtContent>
    </w:sdt>
    <w:p w14:paraId="469E3618" w14:textId="77777777" w:rsidR="00A75B31" w:rsidRPr="003A1203" w:rsidRDefault="00095351" w:rsidP="00536234">
      <w:pPr>
        <w:spacing w:line="480" w:lineRule="auto"/>
        <w:ind w:left="0"/>
        <w:jc w:val="center"/>
        <w:rPr>
          <w:rFonts w:ascii="Times New Roman" w:hAnsi="Times New Roman" w:cs="Times New Roman"/>
          <w:b/>
          <w:szCs w:val="26"/>
          <w:u w:val="single"/>
        </w:rPr>
      </w:pPr>
      <w:r>
        <w:rPr>
          <w:rFonts w:ascii="Times New Roman" w:hAnsi="Times New Roman" w:cs="Times New Roman"/>
          <w:b/>
          <w:szCs w:val="26"/>
          <w:u w:val="single"/>
        </w:rPr>
        <w:lastRenderedPageBreak/>
        <w:t>L</w:t>
      </w:r>
      <w:r w:rsidR="006B7584" w:rsidRPr="003A1203">
        <w:rPr>
          <w:rFonts w:ascii="Times New Roman" w:hAnsi="Times New Roman" w:cs="Times New Roman"/>
          <w:b/>
          <w:szCs w:val="26"/>
          <w:u w:val="single"/>
        </w:rPr>
        <w:t>IST OF ABBREVIATIONS</w:t>
      </w:r>
    </w:p>
    <w:tbl>
      <w:tblPr>
        <w:tblW w:w="9016" w:type="dxa"/>
        <w:tblCellMar>
          <w:top w:w="11" w:type="dxa"/>
          <w:left w:w="107" w:type="dxa"/>
          <w:right w:w="115" w:type="dxa"/>
        </w:tblCellMar>
        <w:tblLook w:val="04A0" w:firstRow="1" w:lastRow="0" w:firstColumn="1" w:lastColumn="0" w:noHBand="0" w:noVBand="1"/>
      </w:tblPr>
      <w:tblGrid>
        <w:gridCol w:w="2075"/>
        <w:gridCol w:w="6941"/>
      </w:tblGrid>
      <w:tr w:rsidR="006B7584" w:rsidRPr="003A1203" w14:paraId="2C2CA5ED" w14:textId="77777777" w:rsidTr="00095351">
        <w:trPr>
          <w:trHeight w:val="835"/>
        </w:trPr>
        <w:tc>
          <w:tcPr>
            <w:tcW w:w="2075"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3E8E1E6B" w14:textId="77777777" w:rsidR="006B7584" w:rsidRPr="003A1203" w:rsidRDefault="006B7584"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b/>
                <w:sz w:val="22"/>
              </w:rPr>
              <w:t>Abbreviation</w:t>
            </w:r>
          </w:p>
        </w:tc>
        <w:tc>
          <w:tcPr>
            <w:tcW w:w="6941"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6D31D7B1" w14:textId="77777777" w:rsidR="006B7584" w:rsidRPr="003A1203" w:rsidRDefault="006B7584"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b/>
                <w:sz w:val="22"/>
              </w:rPr>
              <w:t>Definition</w:t>
            </w:r>
          </w:p>
        </w:tc>
      </w:tr>
      <w:tr w:rsidR="004B4581" w:rsidRPr="003A1203" w14:paraId="4CC94FA6" w14:textId="77777777" w:rsidTr="00095351">
        <w:trPr>
          <w:trHeight w:val="835"/>
        </w:trPr>
        <w:tc>
          <w:tcPr>
            <w:tcW w:w="2075" w:type="dxa"/>
            <w:tcBorders>
              <w:top w:val="single" w:sz="4" w:space="0" w:color="000000"/>
              <w:left w:val="single" w:sz="4" w:space="0" w:color="000000"/>
              <w:bottom w:val="single" w:sz="4" w:space="0" w:color="000000"/>
              <w:right w:val="single" w:sz="4" w:space="0" w:color="000000"/>
            </w:tcBorders>
            <w:shd w:val="clear" w:color="auto" w:fill="auto"/>
          </w:tcPr>
          <w:p w14:paraId="47E63C0E"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669ABF73"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Act</w:t>
            </w:r>
          </w:p>
        </w:tc>
        <w:tc>
          <w:tcPr>
            <w:tcW w:w="6941" w:type="dxa"/>
            <w:tcBorders>
              <w:top w:val="single" w:sz="4" w:space="0" w:color="000000"/>
              <w:left w:val="single" w:sz="4" w:space="0" w:color="000000"/>
              <w:bottom w:val="single" w:sz="4" w:space="0" w:color="000000"/>
              <w:right w:val="single" w:sz="4" w:space="0" w:color="000000"/>
            </w:tcBorders>
            <w:shd w:val="clear" w:color="auto" w:fill="auto"/>
          </w:tcPr>
          <w:p w14:paraId="59AF7ADD"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3C095331"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Broad-Based Black Economic Empowerment Act</w:t>
            </w:r>
          </w:p>
        </w:tc>
      </w:tr>
      <w:tr w:rsidR="004B4581" w:rsidRPr="003A1203" w14:paraId="4464180F" w14:textId="77777777" w:rsidTr="00095351">
        <w:trPr>
          <w:trHeight w:val="839"/>
        </w:trPr>
        <w:tc>
          <w:tcPr>
            <w:tcW w:w="2075" w:type="dxa"/>
            <w:tcBorders>
              <w:top w:val="single" w:sz="4" w:space="0" w:color="000000"/>
              <w:left w:val="single" w:sz="4" w:space="0" w:color="000000"/>
              <w:bottom w:val="single" w:sz="4" w:space="0" w:color="000000"/>
              <w:right w:val="single" w:sz="4" w:space="0" w:color="000000"/>
            </w:tcBorders>
          </w:tcPr>
          <w:p w14:paraId="62016CC4"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6BB696C2"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BBBEE</w:t>
            </w:r>
          </w:p>
        </w:tc>
        <w:tc>
          <w:tcPr>
            <w:tcW w:w="6941" w:type="dxa"/>
            <w:tcBorders>
              <w:top w:val="single" w:sz="4" w:space="0" w:color="000000"/>
              <w:left w:val="single" w:sz="4" w:space="0" w:color="000000"/>
              <w:bottom w:val="single" w:sz="4" w:space="0" w:color="000000"/>
              <w:right w:val="single" w:sz="4" w:space="0" w:color="000000"/>
            </w:tcBorders>
          </w:tcPr>
          <w:p w14:paraId="56C27E78"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7E7AB44E"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Broad-Based Black Economic Empowerment</w:t>
            </w:r>
          </w:p>
        </w:tc>
      </w:tr>
      <w:tr w:rsidR="004B4581" w:rsidRPr="003A1203" w14:paraId="04EC481B" w14:textId="77777777" w:rsidTr="00095351">
        <w:trPr>
          <w:trHeight w:val="838"/>
        </w:trPr>
        <w:tc>
          <w:tcPr>
            <w:tcW w:w="2075" w:type="dxa"/>
            <w:tcBorders>
              <w:top w:val="single" w:sz="4" w:space="0" w:color="000000"/>
              <w:left w:val="single" w:sz="4" w:space="0" w:color="000000"/>
              <w:bottom w:val="single" w:sz="4" w:space="0" w:color="000000"/>
              <w:right w:val="single" w:sz="4" w:space="0" w:color="000000"/>
            </w:tcBorders>
          </w:tcPr>
          <w:p w14:paraId="4EFBDDE0"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2F7BBFD4"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Codes</w:t>
            </w:r>
          </w:p>
        </w:tc>
        <w:tc>
          <w:tcPr>
            <w:tcW w:w="6941" w:type="dxa"/>
            <w:tcBorders>
              <w:top w:val="single" w:sz="4" w:space="0" w:color="000000"/>
              <w:left w:val="single" w:sz="4" w:space="0" w:color="000000"/>
              <w:bottom w:val="single" w:sz="4" w:space="0" w:color="000000"/>
              <w:right w:val="single" w:sz="4" w:space="0" w:color="000000"/>
            </w:tcBorders>
          </w:tcPr>
          <w:p w14:paraId="397AFF9C"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3EACC41C"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Codes of Good Practise</w:t>
            </w:r>
          </w:p>
        </w:tc>
      </w:tr>
      <w:tr w:rsidR="004B4581" w:rsidRPr="003A1203" w14:paraId="298CEF71" w14:textId="77777777" w:rsidTr="00095351">
        <w:trPr>
          <w:trHeight w:val="841"/>
        </w:trPr>
        <w:tc>
          <w:tcPr>
            <w:tcW w:w="2075" w:type="dxa"/>
            <w:tcBorders>
              <w:top w:val="single" w:sz="4" w:space="0" w:color="000000"/>
              <w:left w:val="single" w:sz="4" w:space="0" w:color="000000"/>
              <w:bottom w:val="single" w:sz="4" w:space="0" w:color="000000"/>
              <w:right w:val="single" w:sz="4" w:space="0" w:color="000000"/>
            </w:tcBorders>
          </w:tcPr>
          <w:p w14:paraId="7796F6CB"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7586B26B"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CSR</w:t>
            </w:r>
          </w:p>
        </w:tc>
        <w:tc>
          <w:tcPr>
            <w:tcW w:w="6941" w:type="dxa"/>
            <w:tcBorders>
              <w:top w:val="single" w:sz="4" w:space="0" w:color="000000"/>
              <w:left w:val="single" w:sz="4" w:space="0" w:color="000000"/>
              <w:bottom w:val="single" w:sz="4" w:space="0" w:color="000000"/>
              <w:right w:val="single" w:sz="4" w:space="0" w:color="000000"/>
            </w:tcBorders>
          </w:tcPr>
          <w:p w14:paraId="4B77A9A2"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48B381F2"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Corporate Social Responsibility</w:t>
            </w:r>
          </w:p>
        </w:tc>
      </w:tr>
      <w:tr w:rsidR="00CD2736" w:rsidRPr="003A1203" w14:paraId="18E25ED0" w14:textId="77777777" w:rsidTr="00095351">
        <w:trPr>
          <w:trHeight w:val="838"/>
        </w:trPr>
        <w:tc>
          <w:tcPr>
            <w:tcW w:w="2075" w:type="dxa"/>
            <w:tcBorders>
              <w:top w:val="single" w:sz="4" w:space="0" w:color="000000"/>
              <w:left w:val="single" w:sz="4" w:space="0" w:color="000000"/>
              <w:bottom w:val="single" w:sz="4" w:space="0" w:color="000000"/>
              <w:right w:val="single" w:sz="4" w:space="0" w:color="000000"/>
            </w:tcBorders>
          </w:tcPr>
          <w:p w14:paraId="1ECA8351" w14:textId="77777777" w:rsidR="00CD2736" w:rsidRDefault="00CD2736" w:rsidP="00536234">
            <w:pPr>
              <w:spacing w:after="0" w:line="480" w:lineRule="auto"/>
              <w:ind w:left="0" w:firstLine="0"/>
              <w:jc w:val="center"/>
              <w:rPr>
                <w:rFonts w:ascii="Times New Roman" w:hAnsi="Times New Roman" w:cs="Times New Roman"/>
                <w:sz w:val="22"/>
              </w:rPr>
            </w:pPr>
          </w:p>
          <w:p w14:paraId="5A1C75EB" w14:textId="77777777" w:rsidR="00CD2736" w:rsidRPr="003A1203" w:rsidRDefault="00CD2736"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Deal</w:t>
            </w:r>
          </w:p>
        </w:tc>
        <w:tc>
          <w:tcPr>
            <w:tcW w:w="6941" w:type="dxa"/>
            <w:tcBorders>
              <w:top w:val="single" w:sz="4" w:space="0" w:color="000000"/>
              <w:left w:val="single" w:sz="4" w:space="0" w:color="000000"/>
              <w:bottom w:val="single" w:sz="4" w:space="0" w:color="000000"/>
              <w:right w:val="single" w:sz="4" w:space="0" w:color="000000"/>
            </w:tcBorders>
          </w:tcPr>
          <w:p w14:paraId="10E49AC1" w14:textId="77777777" w:rsidR="00CD2736" w:rsidRDefault="00CD2736" w:rsidP="00536234">
            <w:pPr>
              <w:spacing w:after="0" w:line="480" w:lineRule="auto"/>
              <w:ind w:left="0" w:firstLine="0"/>
              <w:jc w:val="center"/>
              <w:rPr>
                <w:rFonts w:ascii="Times New Roman" w:hAnsi="Times New Roman" w:cs="Times New Roman"/>
                <w:sz w:val="22"/>
              </w:rPr>
            </w:pPr>
          </w:p>
          <w:p w14:paraId="2D11A48C" w14:textId="77777777" w:rsidR="00CD2736" w:rsidRPr="003A1203" w:rsidRDefault="00CD2736" w:rsidP="00536234">
            <w:pPr>
              <w:spacing w:after="0" w:line="480" w:lineRule="auto"/>
              <w:ind w:left="0" w:firstLine="0"/>
              <w:jc w:val="center"/>
              <w:rPr>
                <w:rFonts w:ascii="Times New Roman" w:hAnsi="Times New Roman" w:cs="Times New Roman"/>
                <w:sz w:val="22"/>
              </w:rPr>
            </w:pPr>
            <w:r w:rsidRPr="00CD2736">
              <w:rPr>
                <w:rFonts w:ascii="Times New Roman" w:hAnsi="Times New Roman" w:cs="Times New Roman"/>
                <w:sz w:val="22"/>
              </w:rPr>
              <w:t>Broad-Base</w:t>
            </w:r>
            <w:r>
              <w:rPr>
                <w:rFonts w:ascii="Times New Roman" w:hAnsi="Times New Roman" w:cs="Times New Roman"/>
                <w:sz w:val="22"/>
              </w:rPr>
              <w:t>d Black Economic Empowerment Deal</w:t>
            </w:r>
          </w:p>
        </w:tc>
      </w:tr>
      <w:tr w:rsidR="004B4581" w:rsidRPr="003A1203" w14:paraId="73C9D711" w14:textId="77777777" w:rsidTr="00095351">
        <w:trPr>
          <w:trHeight w:val="838"/>
        </w:trPr>
        <w:tc>
          <w:tcPr>
            <w:tcW w:w="2075" w:type="dxa"/>
            <w:tcBorders>
              <w:top w:val="single" w:sz="4" w:space="0" w:color="000000"/>
              <w:left w:val="single" w:sz="4" w:space="0" w:color="000000"/>
              <w:bottom w:val="single" w:sz="4" w:space="0" w:color="000000"/>
              <w:right w:val="single" w:sz="4" w:space="0" w:color="000000"/>
            </w:tcBorders>
          </w:tcPr>
          <w:p w14:paraId="3F5BFDC5"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47234ED9" w14:textId="77777777" w:rsidR="004B4581" w:rsidRPr="003A1203" w:rsidRDefault="004B4581"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sz w:val="22"/>
              </w:rPr>
              <w:t>JSE</w:t>
            </w:r>
          </w:p>
        </w:tc>
        <w:tc>
          <w:tcPr>
            <w:tcW w:w="6941" w:type="dxa"/>
            <w:tcBorders>
              <w:top w:val="single" w:sz="4" w:space="0" w:color="000000"/>
              <w:left w:val="single" w:sz="4" w:space="0" w:color="000000"/>
              <w:bottom w:val="single" w:sz="4" w:space="0" w:color="000000"/>
              <w:right w:val="single" w:sz="4" w:space="0" w:color="000000"/>
            </w:tcBorders>
          </w:tcPr>
          <w:p w14:paraId="3094C455" w14:textId="77777777" w:rsidR="004B4581" w:rsidRPr="003A1203" w:rsidRDefault="004B4581" w:rsidP="00536234">
            <w:pPr>
              <w:spacing w:after="0" w:line="480" w:lineRule="auto"/>
              <w:ind w:left="0" w:firstLine="0"/>
              <w:jc w:val="center"/>
              <w:rPr>
                <w:rFonts w:ascii="Times New Roman" w:hAnsi="Times New Roman" w:cs="Times New Roman"/>
                <w:sz w:val="22"/>
              </w:rPr>
            </w:pPr>
          </w:p>
          <w:p w14:paraId="563CC120" w14:textId="04FCD73F" w:rsidR="004B4581" w:rsidRPr="003A1203" w:rsidRDefault="00B56DC0" w:rsidP="00536234">
            <w:pPr>
              <w:spacing w:after="0" w:line="480" w:lineRule="auto"/>
              <w:ind w:left="0" w:firstLine="0"/>
              <w:jc w:val="center"/>
              <w:rPr>
                <w:rFonts w:ascii="Times New Roman" w:hAnsi="Times New Roman" w:cs="Times New Roman"/>
                <w:sz w:val="22"/>
              </w:rPr>
            </w:pPr>
            <w:r w:rsidRPr="00B56DC0">
              <w:rPr>
                <w:rFonts w:ascii="Times New Roman" w:hAnsi="Times New Roman" w:cs="Times New Roman"/>
                <w:sz w:val="22"/>
              </w:rPr>
              <w:t>Jo</w:t>
            </w:r>
            <w:r>
              <w:rPr>
                <w:rFonts w:ascii="Times New Roman" w:hAnsi="Times New Roman" w:cs="Times New Roman"/>
                <w:sz w:val="22"/>
              </w:rPr>
              <w:t>hannesburg Securities Exchange</w:t>
            </w:r>
            <w:r w:rsidRPr="00B56DC0">
              <w:rPr>
                <w:rFonts w:ascii="Times New Roman" w:hAnsi="Times New Roman" w:cs="Times New Roman"/>
                <w:sz w:val="22"/>
              </w:rPr>
              <w:t xml:space="preserve"> </w:t>
            </w:r>
          </w:p>
        </w:tc>
      </w:tr>
      <w:tr w:rsidR="004B4581" w:rsidRPr="003A1203" w14:paraId="66FC90A5" w14:textId="77777777" w:rsidTr="00095351">
        <w:trPr>
          <w:trHeight w:val="838"/>
        </w:trPr>
        <w:tc>
          <w:tcPr>
            <w:tcW w:w="2075" w:type="dxa"/>
            <w:tcBorders>
              <w:top w:val="single" w:sz="4" w:space="0" w:color="000000"/>
              <w:left w:val="single" w:sz="4" w:space="0" w:color="000000"/>
              <w:bottom w:val="single" w:sz="4" w:space="0" w:color="000000"/>
              <w:right w:val="single" w:sz="4" w:space="0" w:color="000000"/>
            </w:tcBorders>
          </w:tcPr>
          <w:p w14:paraId="214C9D57" w14:textId="77777777" w:rsidR="004B4581" w:rsidRDefault="004B4581" w:rsidP="00536234">
            <w:pPr>
              <w:spacing w:after="0" w:line="480" w:lineRule="auto"/>
              <w:ind w:left="0" w:firstLine="0"/>
              <w:jc w:val="center"/>
              <w:rPr>
                <w:rFonts w:ascii="Times New Roman" w:hAnsi="Times New Roman" w:cs="Times New Roman"/>
                <w:sz w:val="22"/>
              </w:rPr>
            </w:pPr>
          </w:p>
          <w:p w14:paraId="133CD751" w14:textId="77777777" w:rsidR="002A199A" w:rsidRPr="003A1203" w:rsidRDefault="002A199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SPV</w:t>
            </w:r>
          </w:p>
        </w:tc>
        <w:tc>
          <w:tcPr>
            <w:tcW w:w="6941" w:type="dxa"/>
            <w:tcBorders>
              <w:top w:val="single" w:sz="4" w:space="0" w:color="000000"/>
              <w:left w:val="single" w:sz="4" w:space="0" w:color="000000"/>
              <w:bottom w:val="single" w:sz="4" w:space="0" w:color="000000"/>
              <w:right w:val="single" w:sz="4" w:space="0" w:color="000000"/>
            </w:tcBorders>
          </w:tcPr>
          <w:p w14:paraId="201D078F" w14:textId="77777777" w:rsidR="004B4581" w:rsidRDefault="004B4581" w:rsidP="00536234">
            <w:pPr>
              <w:spacing w:after="0" w:line="480" w:lineRule="auto"/>
              <w:ind w:left="0" w:firstLine="0"/>
              <w:jc w:val="center"/>
              <w:rPr>
                <w:rFonts w:ascii="Times New Roman" w:hAnsi="Times New Roman" w:cs="Times New Roman"/>
                <w:sz w:val="22"/>
              </w:rPr>
            </w:pPr>
          </w:p>
          <w:p w14:paraId="14B7B738" w14:textId="77777777" w:rsidR="002A199A" w:rsidRPr="003A1203" w:rsidRDefault="002A199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Special Purpose Vehicle</w:t>
            </w:r>
          </w:p>
        </w:tc>
      </w:tr>
    </w:tbl>
    <w:p w14:paraId="0245F7B7" w14:textId="77777777" w:rsidR="00A75B31" w:rsidRPr="003A1203" w:rsidRDefault="006B7584" w:rsidP="00536234">
      <w:pPr>
        <w:spacing w:line="480" w:lineRule="auto"/>
        <w:ind w:left="0"/>
        <w:jc w:val="left"/>
        <w:rPr>
          <w:rFonts w:ascii="Times New Roman" w:hAnsi="Times New Roman" w:cs="Times New Roman"/>
          <w:b/>
          <w:sz w:val="20"/>
        </w:rPr>
      </w:pPr>
      <w:r w:rsidRPr="003A1203">
        <w:rPr>
          <w:rFonts w:ascii="Times New Roman" w:hAnsi="Times New Roman" w:cs="Times New Roman"/>
          <w:b/>
          <w:sz w:val="20"/>
        </w:rPr>
        <w:t xml:space="preserve"> </w:t>
      </w:r>
    </w:p>
    <w:p w14:paraId="513CDEED" w14:textId="77777777" w:rsidR="006B7584" w:rsidRPr="003A1203" w:rsidRDefault="006B7584" w:rsidP="00536234">
      <w:pPr>
        <w:spacing w:line="480" w:lineRule="auto"/>
        <w:ind w:left="0"/>
        <w:jc w:val="left"/>
        <w:rPr>
          <w:rFonts w:ascii="Times New Roman" w:hAnsi="Times New Roman" w:cs="Times New Roman"/>
          <w:b/>
          <w:sz w:val="20"/>
        </w:rPr>
      </w:pPr>
    </w:p>
    <w:p w14:paraId="274113D3" w14:textId="77777777" w:rsidR="006B7584" w:rsidRDefault="006B7584" w:rsidP="00536234">
      <w:pPr>
        <w:spacing w:line="480" w:lineRule="auto"/>
        <w:ind w:left="0"/>
        <w:jc w:val="left"/>
        <w:rPr>
          <w:rFonts w:ascii="Times New Roman" w:hAnsi="Times New Roman" w:cs="Times New Roman"/>
          <w:b/>
          <w:sz w:val="20"/>
        </w:rPr>
      </w:pPr>
    </w:p>
    <w:p w14:paraId="06A25B73" w14:textId="77777777" w:rsidR="00536234" w:rsidRPr="003A1203" w:rsidRDefault="00536234" w:rsidP="00536234">
      <w:pPr>
        <w:spacing w:line="480" w:lineRule="auto"/>
        <w:ind w:left="0"/>
        <w:jc w:val="left"/>
        <w:rPr>
          <w:rFonts w:ascii="Times New Roman" w:hAnsi="Times New Roman" w:cs="Times New Roman"/>
          <w:b/>
          <w:sz w:val="20"/>
        </w:rPr>
      </w:pPr>
    </w:p>
    <w:p w14:paraId="1D9AFD6E" w14:textId="77777777" w:rsidR="00D30D4F" w:rsidRDefault="00D30D4F">
      <w:pPr>
        <w:spacing w:after="160" w:line="259" w:lineRule="auto"/>
        <w:ind w:left="0" w:firstLine="0"/>
        <w:jc w:val="left"/>
        <w:rPr>
          <w:rFonts w:ascii="Times New Roman" w:hAnsi="Times New Roman" w:cs="Times New Roman"/>
          <w:b/>
          <w:szCs w:val="26"/>
          <w:u w:val="single"/>
        </w:rPr>
      </w:pPr>
      <w:r>
        <w:rPr>
          <w:rFonts w:ascii="Times New Roman" w:hAnsi="Times New Roman" w:cs="Times New Roman"/>
          <w:b/>
          <w:szCs w:val="26"/>
          <w:u w:val="single"/>
        </w:rPr>
        <w:br w:type="page"/>
      </w:r>
    </w:p>
    <w:p w14:paraId="3CB49E1D" w14:textId="77777777" w:rsidR="006B7584" w:rsidRPr="003A1203" w:rsidRDefault="006B7584" w:rsidP="00536234">
      <w:pPr>
        <w:spacing w:line="480" w:lineRule="auto"/>
        <w:ind w:left="0"/>
        <w:jc w:val="center"/>
        <w:rPr>
          <w:rFonts w:ascii="Times New Roman" w:hAnsi="Times New Roman" w:cs="Times New Roman"/>
          <w:b/>
          <w:szCs w:val="26"/>
          <w:u w:val="single"/>
        </w:rPr>
      </w:pPr>
      <w:r w:rsidRPr="003A1203">
        <w:rPr>
          <w:rFonts w:ascii="Times New Roman" w:hAnsi="Times New Roman" w:cs="Times New Roman"/>
          <w:b/>
          <w:szCs w:val="26"/>
          <w:u w:val="single"/>
        </w:rPr>
        <w:lastRenderedPageBreak/>
        <w:t>LIST OF TABLES</w:t>
      </w:r>
    </w:p>
    <w:tbl>
      <w:tblPr>
        <w:tblW w:w="9401" w:type="dxa"/>
        <w:tblInd w:w="-190" w:type="dxa"/>
        <w:tblCellMar>
          <w:top w:w="10" w:type="dxa"/>
          <w:left w:w="107" w:type="dxa"/>
          <w:right w:w="134" w:type="dxa"/>
        </w:tblCellMar>
        <w:tblLook w:val="04A0" w:firstRow="1" w:lastRow="0" w:firstColumn="1" w:lastColumn="0" w:noHBand="0" w:noVBand="1"/>
      </w:tblPr>
      <w:tblGrid>
        <w:gridCol w:w="1128"/>
        <w:gridCol w:w="6672"/>
        <w:gridCol w:w="1601"/>
      </w:tblGrid>
      <w:tr w:rsidR="00AC6C2E" w:rsidRPr="003A1203" w14:paraId="186B6AE6" w14:textId="77777777" w:rsidTr="00F94EED">
        <w:trPr>
          <w:trHeight w:val="466"/>
        </w:trPr>
        <w:tc>
          <w:tcPr>
            <w:tcW w:w="1128"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782288A3" w14:textId="77777777" w:rsidR="00AC6C2E" w:rsidRPr="003A1203" w:rsidRDefault="00AC6C2E" w:rsidP="00536234">
            <w:pPr>
              <w:tabs>
                <w:tab w:val="left" w:pos="180"/>
                <w:tab w:val="center" w:pos="727"/>
              </w:tabs>
              <w:spacing w:after="0" w:line="480" w:lineRule="auto"/>
              <w:ind w:left="0" w:firstLine="0"/>
              <w:jc w:val="center"/>
              <w:rPr>
                <w:rFonts w:ascii="Times New Roman" w:hAnsi="Times New Roman" w:cs="Times New Roman"/>
                <w:sz w:val="22"/>
              </w:rPr>
            </w:pPr>
            <w:r>
              <w:rPr>
                <w:rFonts w:ascii="Times New Roman" w:hAnsi="Times New Roman" w:cs="Times New Roman"/>
                <w:b/>
                <w:sz w:val="22"/>
              </w:rPr>
              <w:t>Table</w:t>
            </w:r>
          </w:p>
        </w:tc>
        <w:tc>
          <w:tcPr>
            <w:tcW w:w="6672"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5FE0C7B4" w14:textId="77777777" w:rsidR="00AC6C2E" w:rsidRPr="003A1203" w:rsidRDefault="00AC6C2E" w:rsidP="00536234">
            <w:pPr>
              <w:spacing w:after="0" w:line="480" w:lineRule="auto"/>
              <w:ind w:left="0" w:firstLine="0"/>
              <w:jc w:val="center"/>
              <w:rPr>
                <w:rFonts w:ascii="Times New Roman" w:hAnsi="Times New Roman" w:cs="Times New Roman"/>
                <w:sz w:val="22"/>
              </w:rPr>
            </w:pPr>
            <w:r w:rsidRPr="003A1203">
              <w:rPr>
                <w:rFonts w:ascii="Times New Roman" w:hAnsi="Times New Roman" w:cs="Times New Roman"/>
                <w:b/>
                <w:sz w:val="22"/>
              </w:rPr>
              <w:t xml:space="preserve">Description of the </w:t>
            </w:r>
            <w:r>
              <w:rPr>
                <w:rFonts w:ascii="Times New Roman" w:hAnsi="Times New Roman" w:cs="Times New Roman"/>
                <w:b/>
                <w:sz w:val="22"/>
              </w:rPr>
              <w:t>Table</w:t>
            </w:r>
          </w:p>
        </w:tc>
        <w:tc>
          <w:tcPr>
            <w:tcW w:w="1601"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tcPr>
          <w:p w14:paraId="4D5A3336" w14:textId="77777777" w:rsidR="00AC6C2E" w:rsidRPr="003A1203" w:rsidRDefault="00AC6C2E" w:rsidP="00536234">
            <w:pPr>
              <w:tabs>
                <w:tab w:val="left" w:pos="1272"/>
              </w:tabs>
              <w:spacing w:after="0" w:line="480" w:lineRule="auto"/>
              <w:ind w:left="0" w:firstLine="0"/>
              <w:jc w:val="center"/>
              <w:rPr>
                <w:rFonts w:ascii="Times New Roman" w:hAnsi="Times New Roman" w:cs="Times New Roman"/>
                <w:b/>
                <w:sz w:val="22"/>
              </w:rPr>
            </w:pPr>
            <w:r>
              <w:rPr>
                <w:rFonts w:ascii="Times New Roman" w:hAnsi="Times New Roman" w:cs="Times New Roman"/>
                <w:b/>
                <w:sz w:val="22"/>
              </w:rPr>
              <w:t>Page Number</w:t>
            </w:r>
          </w:p>
        </w:tc>
      </w:tr>
      <w:tr w:rsidR="00AC6C2E" w:rsidRPr="003A1203" w14:paraId="49891741"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6BF0A995"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1</w:t>
            </w:r>
          </w:p>
        </w:tc>
        <w:tc>
          <w:tcPr>
            <w:tcW w:w="6672" w:type="dxa"/>
            <w:tcBorders>
              <w:top w:val="single" w:sz="4" w:space="0" w:color="000000"/>
              <w:left w:val="single" w:sz="4" w:space="0" w:color="000000"/>
              <w:bottom w:val="single" w:sz="4" w:space="0" w:color="000000"/>
              <w:right w:val="single" w:sz="4" w:space="0" w:color="000000"/>
            </w:tcBorders>
            <w:vAlign w:val="center"/>
          </w:tcPr>
          <w:p w14:paraId="0AA6A388"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Model Variables and Definitions</w:t>
            </w:r>
          </w:p>
        </w:tc>
        <w:tc>
          <w:tcPr>
            <w:tcW w:w="1601" w:type="dxa"/>
            <w:tcBorders>
              <w:top w:val="single" w:sz="4" w:space="0" w:color="000000"/>
              <w:left w:val="single" w:sz="4" w:space="0" w:color="000000"/>
              <w:bottom w:val="single" w:sz="4" w:space="0" w:color="000000"/>
              <w:right w:val="single" w:sz="4" w:space="0" w:color="000000"/>
            </w:tcBorders>
          </w:tcPr>
          <w:p w14:paraId="35DC492F" w14:textId="77777777" w:rsidR="00D431C5" w:rsidRDefault="00D431C5" w:rsidP="00536234">
            <w:pPr>
              <w:spacing w:after="0" w:line="480" w:lineRule="auto"/>
              <w:ind w:left="0" w:firstLine="0"/>
              <w:jc w:val="center"/>
              <w:rPr>
                <w:rFonts w:ascii="Times New Roman" w:hAnsi="Times New Roman" w:cs="Times New Roman"/>
                <w:sz w:val="22"/>
              </w:rPr>
            </w:pPr>
          </w:p>
          <w:p w14:paraId="5EF0736D" w14:textId="72DA45E1" w:rsidR="00AC6C2E" w:rsidRDefault="00D62DF2">
            <w:pPr>
              <w:spacing w:after="0" w:line="480" w:lineRule="auto"/>
              <w:ind w:left="0" w:firstLine="0"/>
              <w:jc w:val="center"/>
              <w:rPr>
                <w:rFonts w:ascii="Times New Roman" w:hAnsi="Times New Roman" w:cs="Times New Roman"/>
                <w:sz w:val="22"/>
              </w:rPr>
            </w:pPr>
            <w:r>
              <w:rPr>
                <w:rFonts w:ascii="Times New Roman" w:hAnsi="Times New Roman" w:cs="Times New Roman"/>
                <w:sz w:val="22"/>
              </w:rPr>
              <w:t>4</w:t>
            </w:r>
            <w:r w:rsidR="008F2EC9">
              <w:rPr>
                <w:rFonts w:ascii="Times New Roman" w:hAnsi="Times New Roman" w:cs="Times New Roman"/>
                <w:sz w:val="22"/>
              </w:rPr>
              <w:t>2</w:t>
            </w:r>
            <w:r w:rsidR="00ED33E6">
              <w:rPr>
                <w:rFonts w:ascii="Times New Roman" w:hAnsi="Times New Roman" w:cs="Times New Roman"/>
                <w:sz w:val="22"/>
              </w:rPr>
              <w:t>-43</w:t>
            </w:r>
          </w:p>
        </w:tc>
      </w:tr>
      <w:tr w:rsidR="00AC6C2E" w:rsidRPr="003A1203" w14:paraId="5538D3B6" w14:textId="77777777" w:rsidTr="00F94EED">
        <w:trPr>
          <w:trHeight w:val="389"/>
        </w:trPr>
        <w:tc>
          <w:tcPr>
            <w:tcW w:w="1128" w:type="dxa"/>
            <w:tcBorders>
              <w:top w:val="single" w:sz="4" w:space="0" w:color="000000"/>
              <w:left w:val="single" w:sz="4" w:space="0" w:color="000000"/>
              <w:bottom w:val="single" w:sz="4" w:space="0" w:color="000000"/>
              <w:right w:val="single" w:sz="4" w:space="0" w:color="000000"/>
            </w:tcBorders>
            <w:vAlign w:val="center"/>
          </w:tcPr>
          <w:p w14:paraId="2B4DFFB7"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2</w:t>
            </w:r>
          </w:p>
        </w:tc>
        <w:tc>
          <w:tcPr>
            <w:tcW w:w="6672" w:type="dxa"/>
            <w:tcBorders>
              <w:top w:val="single" w:sz="4" w:space="0" w:color="000000"/>
              <w:left w:val="single" w:sz="4" w:space="0" w:color="000000"/>
              <w:bottom w:val="single" w:sz="4" w:space="0" w:color="000000"/>
              <w:right w:val="single" w:sz="4" w:space="0" w:color="000000"/>
            </w:tcBorders>
            <w:vAlign w:val="center"/>
          </w:tcPr>
          <w:p w14:paraId="6A57E6EB" w14:textId="77777777" w:rsidR="00AC6C2E" w:rsidRPr="003A1203" w:rsidRDefault="00D62DF2" w:rsidP="00536234">
            <w:pPr>
              <w:spacing w:after="0" w:line="480" w:lineRule="auto"/>
              <w:ind w:left="0" w:firstLine="0"/>
              <w:jc w:val="center"/>
              <w:rPr>
                <w:rFonts w:ascii="Times New Roman" w:hAnsi="Times New Roman" w:cs="Times New Roman"/>
                <w:sz w:val="22"/>
              </w:rPr>
            </w:pPr>
            <w:r w:rsidRPr="00D62DF2">
              <w:rPr>
                <w:rFonts w:ascii="Times New Roman" w:hAnsi="Times New Roman" w:cs="Times New Roman"/>
                <w:sz w:val="22"/>
              </w:rPr>
              <w:t>Descriptive Statistics for the Overall Data Set</w:t>
            </w:r>
          </w:p>
        </w:tc>
        <w:tc>
          <w:tcPr>
            <w:tcW w:w="1601" w:type="dxa"/>
            <w:tcBorders>
              <w:top w:val="single" w:sz="4" w:space="0" w:color="000000"/>
              <w:left w:val="single" w:sz="4" w:space="0" w:color="000000"/>
              <w:bottom w:val="single" w:sz="4" w:space="0" w:color="000000"/>
              <w:right w:val="single" w:sz="4" w:space="0" w:color="000000"/>
            </w:tcBorders>
          </w:tcPr>
          <w:p w14:paraId="4942C499" w14:textId="77777777" w:rsidR="00D431C5" w:rsidRDefault="00D431C5" w:rsidP="00536234">
            <w:pPr>
              <w:spacing w:after="0" w:line="480" w:lineRule="auto"/>
              <w:ind w:left="0" w:firstLine="0"/>
              <w:jc w:val="center"/>
              <w:rPr>
                <w:rFonts w:ascii="Times New Roman" w:hAnsi="Times New Roman" w:cs="Times New Roman"/>
                <w:sz w:val="22"/>
              </w:rPr>
            </w:pPr>
          </w:p>
          <w:p w14:paraId="217D0BC2" w14:textId="3AB7B935" w:rsidR="00AC6C2E"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48</w:t>
            </w:r>
          </w:p>
        </w:tc>
      </w:tr>
      <w:tr w:rsidR="008F2EC9" w:rsidRPr="003A1203" w14:paraId="26744105" w14:textId="77777777" w:rsidTr="00F94EED">
        <w:trPr>
          <w:trHeight w:val="378"/>
        </w:trPr>
        <w:tc>
          <w:tcPr>
            <w:tcW w:w="1128" w:type="dxa"/>
            <w:tcBorders>
              <w:top w:val="single" w:sz="4" w:space="0" w:color="000000"/>
              <w:left w:val="single" w:sz="4" w:space="0" w:color="000000"/>
              <w:bottom w:val="single" w:sz="4" w:space="0" w:color="000000"/>
              <w:right w:val="single" w:sz="4" w:space="0" w:color="000000"/>
            </w:tcBorders>
            <w:vAlign w:val="center"/>
          </w:tcPr>
          <w:p w14:paraId="4DE94031" w14:textId="25C8D8E6" w:rsidR="008F2EC9"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3</w:t>
            </w:r>
          </w:p>
        </w:tc>
        <w:tc>
          <w:tcPr>
            <w:tcW w:w="6672" w:type="dxa"/>
            <w:tcBorders>
              <w:top w:val="single" w:sz="4" w:space="0" w:color="000000"/>
              <w:left w:val="single" w:sz="4" w:space="0" w:color="000000"/>
              <w:bottom w:val="single" w:sz="4" w:space="0" w:color="000000"/>
              <w:right w:val="single" w:sz="4" w:space="0" w:color="000000"/>
            </w:tcBorders>
            <w:vAlign w:val="center"/>
          </w:tcPr>
          <w:p w14:paraId="0850783D" w14:textId="0B84278E" w:rsidR="008F2EC9" w:rsidRDefault="008F2EC9" w:rsidP="00D62DF2">
            <w:pPr>
              <w:spacing w:after="0" w:line="480" w:lineRule="auto"/>
              <w:ind w:left="0" w:firstLine="0"/>
              <w:jc w:val="center"/>
              <w:rPr>
                <w:rFonts w:ascii="Times New Roman" w:hAnsi="Times New Roman" w:cs="Times New Roman"/>
                <w:sz w:val="22"/>
              </w:rPr>
            </w:pPr>
            <w:r>
              <w:rPr>
                <w:rFonts w:ascii="Times New Roman" w:hAnsi="Times New Roman" w:cs="Times New Roman"/>
                <w:sz w:val="22"/>
              </w:rPr>
              <w:t>Johannesburg Securities Exchange Sector Breakdown</w:t>
            </w:r>
          </w:p>
        </w:tc>
        <w:tc>
          <w:tcPr>
            <w:tcW w:w="1601" w:type="dxa"/>
            <w:tcBorders>
              <w:top w:val="single" w:sz="4" w:space="0" w:color="000000"/>
              <w:left w:val="single" w:sz="4" w:space="0" w:color="000000"/>
              <w:bottom w:val="single" w:sz="4" w:space="0" w:color="000000"/>
              <w:right w:val="single" w:sz="4" w:space="0" w:color="000000"/>
            </w:tcBorders>
          </w:tcPr>
          <w:p w14:paraId="54EF25A5" w14:textId="77777777" w:rsidR="008F2EC9" w:rsidRDefault="008F2EC9" w:rsidP="00536234">
            <w:pPr>
              <w:spacing w:after="0" w:line="480" w:lineRule="auto"/>
              <w:ind w:left="0" w:firstLine="0"/>
              <w:jc w:val="center"/>
              <w:rPr>
                <w:rFonts w:ascii="Times New Roman" w:hAnsi="Times New Roman" w:cs="Times New Roman"/>
                <w:sz w:val="22"/>
              </w:rPr>
            </w:pPr>
          </w:p>
          <w:p w14:paraId="122166DF" w14:textId="75841A0F" w:rsidR="008F2EC9"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51</w:t>
            </w:r>
          </w:p>
        </w:tc>
      </w:tr>
      <w:tr w:rsidR="00AC6C2E" w:rsidRPr="003A1203" w14:paraId="7E3EDEA1" w14:textId="77777777" w:rsidTr="00F94EED">
        <w:trPr>
          <w:trHeight w:val="378"/>
        </w:trPr>
        <w:tc>
          <w:tcPr>
            <w:tcW w:w="1128" w:type="dxa"/>
            <w:tcBorders>
              <w:top w:val="single" w:sz="4" w:space="0" w:color="000000"/>
              <w:left w:val="single" w:sz="4" w:space="0" w:color="000000"/>
              <w:bottom w:val="single" w:sz="4" w:space="0" w:color="000000"/>
              <w:right w:val="single" w:sz="4" w:space="0" w:color="000000"/>
            </w:tcBorders>
            <w:vAlign w:val="center"/>
          </w:tcPr>
          <w:p w14:paraId="001EDCD7"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3</w:t>
            </w:r>
          </w:p>
        </w:tc>
        <w:tc>
          <w:tcPr>
            <w:tcW w:w="6672" w:type="dxa"/>
            <w:tcBorders>
              <w:top w:val="single" w:sz="4" w:space="0" w:color="000000"/>
              <w:left w:val="single" w:sz="4" w:space="0" w:color="000000"/>
              <w:bottom w:val="single" w:sz="4" w:space="0" w:color="000000"/>
              <w:right w:val="single" w:sz="4" w:space="0" w:color="000000"/>
            </w:tcBorders>
            <w:vAlign w:val="center"/>
          </w:tcPr>
          <w:p w14:paraId="3B0AD0EA" w14:textId="77777777" w:rsidR="00AC6C2E" w:rsidRPr="003A1203" w:rsidRDefault="00AC6C2E" w:rsidP="00D62DF2">
            <w:pPr>
              <w:spacing w:after="0" w:line="480" w:lineRule="auto"/>
              <w:ind w:left="0" w:firstLine="0"/>
              <w:jc w:val="center"/>
              <w:rPr>
                <w:rFonts w:ascii="Times New Roman" w:hAnsi="Times New Roman" w:cs="Times New Roman"/>
                <w:sz w:val="22"/>
              </w:rPr>
            </w:pPr>
            <w:r>
              <w:rPr>
                <w:rFonts w:ascii="Times New Roman" w:hAnsi="Times New Roman" w:cs="Times New Roman"/>
                <w:sz w:val="22"/>
              </w:rPr>
              <w:t xml:space="preserve">Descriptive Statistics </w:t>
            </w:r>
            <w:r w:rsidR="00D62DF2">
              <w:rPr>
                <w:rFonts w:ascii="Times New Roman" w:hAnsi="Times New Roman" w:cs="Times New Roman"/>
                <w:sz w:val="22"/>
              </w:rPr>
              <w:t>R</w:t>
            </w:r>
            <w:r>
              <w:rPr>
                <w:rFonts w:ascii="Times New Roman" w:hAnsi="Times New Roman" w:cs="Times New Roman"/>
                <w:sz w:val="22"/>
              </w:rPr>
              <w:t>elating to the Control Group</w:t>
            </w:r>
          </w:p>
        </w:tc>
        <w:tc>
          <w:tcPr>
            <w:tcW w:w="1601" w:type="dxa"/>
            <w:tcBorders>
              <w:top w:val="single" w:sz="4" w:space="0" w:color="000000"/>
              <w:left w:val="single" w:sz="4" w:space="0" w:color="000000"/>
              <w:bottom w:val="single" w:sz="4" w:space="0" w:color="000000"/>
              <w:right w:val="single" w:sz="4" w:space="0" w:color="000000"/>
            </w:tcBorders>
          </w:tcPr>
          <w:p w14:paraId="28FD6C50" w14:textId="77777777" w:rsidR="00D431C5" w:rsidRDefault="00D431C5" w:rsidP="00536234">
            <w:pPr>
              <w:spacing w:after="0" w:line="480" w:lineRule="auto"/>
              <w:ind w:left="0" w:firstLine="0"/>
              <w:jc w:val="center"/>
              <w:rPr>
                <w:rFonts w:ascii="Times New Roman" w:hAnsi="Times New Roman" w:cs="Times New Roman"/>
                <w:sz w:val="22"/>
              </w:rPr>
            </w:pPr>
          </w:p>
          <w:p w14:paraId="1D310FFB" w14:textId="4A8A41ED" w:rsidR="00AC6C2E" w:rsidRDefault="008F2EC9" w:rsidP="0041328D">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52</w:t>
            </w:r>
          </w:p>
        </w:tc>
      </w:tr>
      <w:tr w:rsidR="00AC6C2E" w:rsidRPr="003A1203" w14:paraId="116BEB30"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4CEFCD82"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4</w:t>
            </w:r>
          </w:p>
        </w:tc>
        <w:tc>
          <w:tcPr>
            <w:tcW w:w="6672" w:type="dxa"/>
            <w:tcBorders>
              <w:top w:val="single" w:sz="4" w:space="0" w:color="000000"/>
              <w:left w:val="single" w:sz="4" w:space="0" w:color="000000"/>
              <w:bottom w:val="single" w:sz="4" w:space="0" w:color="000000"/>
              <w:right w:val="single" w:sz="4" w:space="0" w:color="000000"/>
            </w:tcBorders>
            <w:vAlign w:val="center"/>
          </w:tcPr>
          <w:p w14:paraId="26ABDA5B" w14:textId="77777777" w:rsidR="00AC6C2E" w:rsidRPr="003A1203" w:rsidRDefault="00AC6C2E"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Descriptive Statistics relating to the Treatment Group</w:t>
            </w:r>
          </w:p>
        </w:tc>
        <w:tc>
          <w:tcPr>
            <w:tcW w:w="1601" w:type="dxa"/>
            <w:tcBorders>
              <w:top w:val="single" w:sz="4" w:space="0" w:color="000000"/>
              <w:left w:val="single" w:sz="4" w:space="0" w:color="000000"/>
              <w:bottom w:val="single" w:sz="4" w:space="0" w:color="000000"/>
              <w:right w:val="single" w:sz="4" w:space="0" w:color="000000"/>
            </w:tcBorders>
          </w:tcPr>
          <w:p w14:paraId="29E49EA4" w14:textId="77777777" w:rsidR="00D431C5" w:rsidRDefault="00D431C5" w:rsidP="00536234">
            <w:pPr>
              <w:spacing w:after="0" w:line="480" w:lineRule="auto"/>
              <w:ind w:left="0" w:firstLine="0"/>
              <w:jc w:val="center"/>
              <w:rPr>
                <w:rFonts w:ascii="Times New Roman" w:hAnsi="Times New Roman" w:cs="Times New Roman"/>
                <w:sz w:val="22"/>
              </w:rPr>
            </w:pPr>
          </w:p>
          <w:p w14:paraId="42A6BB4A" w14:textId="35100F9E" w:rsidR="00AC6C2E"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52</w:t>
            </w:r>
          </w:p>
        </w:tc>
      </w:tr>
      <w:tr w:rsidR="00AC6C2E" w:rsidRPr="003A1203" w14:paraId="60EEBFE4" w14:textId="77777777" w:rsidTr="00F94EED">
        <w:trPr>
          <w:trHeight w:val="382"/>
        </w:trPr>
        <w:tc>
          <w:tcPr>
            <w:tcW w:w="1128" w:type="dxa"/>
            <w:tcBorders>
              <w:top w:val="single" w:sz="4" w:space="0" w:color="000000"/>
              <w:left w:val="single" w:sz="4" w:space="0" w:color="000000"/>
              <w:bottom w:val="single" w:sz="4" w:space="0" w:color="000000"/>
              <w:right w:val="single" w:sz="4" w:space="0" w:color="000000"/>
            </w:tcBorders>
            <w:vAlign w:val="center"/>
          </w:tcPr>
          <w:p w14:paraId="742A5A17"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w:t>
            </w:r>
          </w:p>
        </w:tc>
        <w:tc>
          <w:tcPr>
            <w:tcW w:w="6672" w:type="dxa"/>
            <w:tcBorders>
              <w:top w:val="single" w:sz="4" w:space="0" w:color="000000"/>
              <w:left w:val="single" w:sz="4" w:space="0" w:color="000000"/>
              <w:bottom w:val="single" w:sz="4" w:space="0" w:color="000000"/>
              <w:right w:val="single" w:sz="4" w:space="0" w:color="000000"/>
            </w:tcBorders>
            <w:vAlign w:val="center"/>
          </w:tcPr>
          <w:p w14:paraId="17CF1367" w14:textId="77777777" w:rsidR="00AC6C2E" w:rsidRPr="003A1203" w:rsidRDefault="00AC6C2E" w:rsidP="00536234">
            <w:pPr>
              <w:spacing w:after="0" w:line="480" w:lineRule="auto"/>
              <w:ind w:left="0" w:firstLine="0"/>
              <w:jc w:val="center"/>
              <w:rPr>
                <w:rFonts w:ascii="Times New Roman" w:hAnsi="Times New Roman" w:cs="Times New Roman"/>
                <w:sz w:val="22"/>
              </w:rPr>
            </w:pPr>
            <w:r w:rsidRPr="006E1FC1">
              <w:rPr>
                <w:rFonts w:ascii="Times New Roman" w:hAnsi="Times New Roman" w:cs="Times New Roman"/>
                <w:sz w:val="22"/>
              </w:rPr>
              <w:t>P</w:t>
            </w:r>
            <w:r w:rsidR="00D62DF2">
              <w:rPr>
                <w:rFonts w:ascii="Times New Roman" w:hAnsi="Times New Roman" w:cs="Times New Roman"/>
                <w:sz w:val="22"/>
              </w:rPr>
              <w:t>ercentage JSE Sector Companies Forming P</w:t>
            </w:r>
            <w:r w:rsidRPr="006E1FC1">
              <w:rPr>
                <w:rFonts w:ascii="Times New Roman" w:hAnsi="Times New Roman" w:cs="Times New Roman"/>
                <w:sz w:val="22"/>
              </w:rPr>
              <w:t>art of the Control Group</w:t>
            </w:r>
          </w:p>
        </w:tc>
        <w:tc>
          <w:tcPr>
            <w:tcW w:w="1601" w:type="dxa"/>
            <w:tcBorders>
              <w:top w:val="single" w:sz="4" w:space="0" w:color="000000"/>
              <w:left w:val="single" w:sz="4" w:space="0" w:color="000000"/>
              <w:bottom w:val="single" w:sz="4" w:space="0" w:color="000000"/>
              <w:right w:val="single" w:sz="4" w:space="0" w:color="000000"/>
            </w:tcBorders>
          </w:tcPr>
          <w:p w14:paraId="7E281162" w14:textId="77777777" w:rsidR="00D431C5" w:rsidRDefault="00D431C5" w:rsidP="00536234">
            <w:pPr>
              <w:spacing w:after="0" w:line="480" w:lineRule="auto"/>
              <w:ind w:left="0" w:firstLine="0"/>
              <w:jc w:val="center"/>
              <w:rPr>
                <w:rFonts w:ascii="Times New Roman" w:hAnsi="Times New Roman" w:cs="Times New Roman"/>
                <w:sz w:val="22"/>
              </w:rPr>
            </w:pPr>
          </w:p>
          <w:p w14:paraId="622FDAEE" w14:textId="4433F72A" w:rsidR="00AC6C2E" w:rsidRPr="006E1FC1" w:rsidRDefault="008F2EC9" w:rsidP="0041328D">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54</w:t>
            </w:r>
          </w:p>
        </w:tc>
      </w:tr>
      <w:tr w:rsidR="00AC6C2E" w:rsidRPr="003A1203" w14:paraId="10B2BA51" w14:textId="77777777" w:rsidTr="00F94EED">
        <w:trPr>
          <w:trHeight w:val="379"/>
        </w:trPr>
        <w:tc>
          <w:tcPr>
            <w:tcW w:w="1128" w:type="dxa"/>
            <w:tcBorders>
              <w:top w:val="single" w:sz="4" w:space="0" w:color="000000"/>
              <w:left w:val="single" w:sz="4" w:space="0" w:color="000000"/>
              <w:bottom w:val="single" w:sz="4" w:space="0" w:color="000000"/>
              <w:right w:val="single" w:sz="4" w:space="0" w:color="000000"/>
            </w:tcBorders>
            <w:vAlign w:val="center"/>
          </w:tcPr>
          <w:p w14:paraId="42446917"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6</w:t>
            </w:r>
          </w:p>
        </w:tc>
        <w:tc>
          <w:tcPr>
            <w:tcW w:w="6672" w:type="dxa"/>
            <w:tcBorders>
              <w:top w:val="single" w:sz="4" w:space="0" w:color="000000"/>
              <w:left w:val="single" w:sz="4" w:space="0" w:color="000000"/>
              <w:bottom w:val="single" w:sz="4" w:space="0" w:color="000000"/>
              <w:right w:val="single" w:sz="4" w:space="0" w:color="000000"/>
            </w:tcBorders>
            <w:vAlign w:val="center"/>
          </w:tcPr>
          <w:p w14:paraId="55807A56" w14:textId="77777777" w:rsidR="00AC6C2E" w:rsidRPr="006E1FC1" w:rsidRDefault="00AC6C2E" w:rsidP="00536234">
            <w:pPr>
              <w:spacing w:after="0" w:line="480" w:lineRule="auto"/>
              <w:ind w:left="0" w:firstLine="0"/>
              <w:jc w:val="center"/>
              <w:rPr>
                <w:rFonts w:ascii="Times New Roman" w:hAnsi="Times New Roman" w:cs="Times New Roman"/>
                <w:sz w:val="22"/>
              </w:rPr>
            </w:pPr>
            <w:r w:rsidRPr="006E1FC1">
              <w:rPr>
                <w:rFonts w:ascii="Times New Roman" w:hAnsi="Times New Roman" w:cs="Times New Roman"/>
                <w:sz w:val="22"/>
                <w:szCs w:val="26"/>
              </w:rPr>
              <w:t>Percentag</w:t>
            </w:r>
            <w:r w:rsidR="00D62DF2">
              <w:rPr>
                <w:rFonts w:ascii="Times New Roman" w:hAnsi="Times New Roman" w:cs="Times New Roman"/>
                <w:sz w:val="22"/>
                <w:szCs w:val="26"/>
              </w:rPr>
              <w:t>e JSE Sector Companies Forming P</w:t>
            </w:r>
            <w:r w:rsidRPr="006E1FC1">
              <w:rPr>
                <w:rFonts w:ascii="Times New Roman" w:hAnsi="Times New Roman" w:cs="Times New Roman"/>
                <w:sz w:val="22"/>
                <w:szCs w:val="26"/>
              </w:rPr>
              <w:t xml:space="preserve">art of the </w:t>
            </w:r>
            <w:r>
              <w:rPr>
                <w:rFonts w:ascii="Times New Roman" w:hAnsi="Times New Roman" w:cs="Times New Roman"/>
                <w:sz w:val="22"/>
                <w:szCs w:val="26"/>
              </w:rPr>
              <w:t xml:space="preserve">Treatment </w:t>
            </w:r>
            <w:r w:rsidRPr="006E1FC1">
              <w:rPr>
                <w:rFonts w:ascii="Times New Roman" w:hAnsi="Times New Roman" w:cs="Times New Roman"/>
                <w:sz w:val="22"/>
                <w:szCs w:val="26"/>
              </w:rPr>
              <w:t>Group</w:t>
            </w:r>
          </w:p>
        </w:tc>
        <w:tc>
          <w:tcPr>
            <w:tcW w:w="1601" w:type="dxa"/>
            <w:tcBorders>
              <w:top w:val="single" w:sz="4" w:space="0" w:color="000000"/>
              <w:left w:val="single" w:sz="4" w:space="0" w:color="000000"/>
              <w:bottom w:val="single" w:sz="4" w:space="0" w:color="000000"/>
              <w:right w:val="single" w:sz="4" w:space="0" w:color="000000"/>
            </w:tcBorders>
          </w:tcPr>
          <w:p w14:paraId="3CE20D0F" w14:textId="77777777" w:rsidR="00D431C5" w:rsidRDefault="00D431C5" w:rsidP="00536234">
            <w:pPr>
              <w:spacing w:after="0" w:line="480" w:lineRule="auto"/>
              <w:ind w:left="0" w:firstLine="0"/>
              <w:jc w:val="center"/>
              <w:rPr>
                <w:rFonts w:ascii="Times New Roman" w:hAnsi="Times New Roman" w:cs="Times New Roman"/>
                <w:sz w:val="22"/>
                <w:szCs w:val="26"/>
              </w:rPr>
            </w:pPr>
          </w:p>
          <w:p w14:paraId="471BCDCB" w14:textId="189DED23" w:rsidR="00AC6C2E" w:rsidRPr="006E1FC1" w:rsidRDefault="008F2EC9" w:rsidP="00536234">
            <w:pPr>
              <w:spacing w:after="0" w:line="480" w:lineRule="auto"/>
              <w:ind w:left="0" w:firstLine="0"/>
              <w:jc w:val="center"/>
              <w:rPr>
                <w:rFonts w:ascii="Times New Roman" w:hAnsi="Times New Roman" w:cs="Times New Roman"/>
                <w:sz w:val="22"/>
                <w:szCs w:val="26"/>
              </w:rPr>
            </w:pPr>
            <w:r>
              <w:rPr>
                <w:rFonts w:ascii="Times New Roman" w:hAnsi="Times New Roman" w:cs="Times New Roman"/>
                <w:sz w:val="22"/>
                <w:szCs w:val="26"/>
              </w:rPr>
              <w:t>54</w:t>
            </w:r>
          </w:p>
        </w:tc>
      </w:tr>
      <w:tr w:rsidR="00AC6C2E" w:rsidRPr="003A1203" w14:paraId="17FE8814"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33A27989" w14:textId="77777777" w:rsidR="00AC6C2E" w:rsidRPr="003A1203"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7</w:t>
            </w:r>
          </w:p>
        </w:tc>
        <w:tc>
          <w:tcPr>
            <w:tcW w:w="6672" w:type="dxa"/>
            <w:tcBorders>
              <w:top w:val="single" w:sz="4" w:space="0" w:color="000000"/>
              <w:left w:val="single" w:sz="4" w:space="0" w:color="000000"/>
              <w:bottom w:val="single" w:sz="4" w:space="0" w:color="000000"/>
              <w:right w:val="single" w:sz="4" w:space="0" w:color="000000"/>
            </w:tcBorders>
            <w:vAlign w:val="center"/>
          </w:tcPr>
          <w:p w14:paraId="7B1D5AE0" w14:textId="77777777" w:rsidR="00AC6C2E" w:rsidRPr="003A1203" w:rsidRDefault="00AC6C2E" w:rsidP="00536234">
            <w:pPr>
              <w:spacing w:after="0" w:line="480" w:lineRule="auto"/>
              <w:ind w:left="0" w:firstLine="0"/>
              <w:jc w:val="center"/>
              <w:rPr>
                <w:rFonts w:ascii="Times New Roman" w:hAnsi="Times New Roman" w:cs="Times New Roman"/>
                <w:sz w:val="22"/>
              </w:rPr>
            </w:pPr>
            <w:r w:rsidRPr="006E1FC1">
              <w:rPr>
                <w:rFonts w:ascii="Times New Roman" w:hAnsi="Times New Roman" w:cs="Times New Roman"/>
                <w:sz w:val="22"/>
              </w:rPr>
              <w:t>Overall Annual Percentage of Total Companies Party to a BBBEE Deal</w:t>
            </w:r>
          </w:p>
        </w:tc>
        <w:tc>
          <w:tcPr>
            <w:tcW w:w="1601" w:type="dxa"/>
            <w:tcBorders>
              <w:top w:val="single" w:sz="4" w:space="0" w:color="000000"/>
              <w:left w:val="single" w:sz="4" w:space="0" w:color="000000"/>
              <w:bottom w:val="single" w:sz="4" w:space="0" w:color="000000"/>
              <w:right w:val="single" w:sz="4" w:space="0" w:color="000000"/>
            </w:tcBorders>
          </w:tcPr>
          <w:p w14:paraId="303448F9" w14:textId="77777777" w:rsidR="00D431C5" w:rsidRDefault="00D431C5" w:rsidP="00536234">
            <w:pPr>
              <w:spacing w:after="0" w:line="480" w:lineRule="auto"/>
              <w:ind w:left="0" w:firstLine="0"/>
              <w:jc w:val="center"/>
              <w:rPr>
                <w:rFonts w:ascii="Times New Roman" w:hAnsi="Times New Roman" w:cs="Times New Roman"/>
                <w:sz w:val="22"/>
              </w:rPr>
            </w:pPr>
          </w:p>
          <w:p w14:paraId="60E04D33" w14:textId="7D9F1A3F" w:rsidR="00AC6C2E" w:rsidRPr="006E1FC1" w:rsidRDefault="008F2EC9" w:rsidP="0041328D">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55</w:t>
            </w:r>
          </w:p>
        </w:tc>
      </w:tr>
      <w:tr w:rsidR="00AC6C2E" w:rsidRPr="003A1203" w14:paraId="49F62FCD"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1AB725FC" w14:textId="77777777" w:rsidR="00AC6C2E"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8</w:t>
            </w:r>
          </w:p>
        </w:tc>
        <w:tc>
          <w:tcPr>
            <w:tcW w:w="6672" w:type="dxa"/>
            <w:tcBorders>
              <w:top w:val="single" w:sz="4" w:space="0" w:color="000000"/>
              <w:left w:val="single" w:sz="4" w:space="0" w:color="000000"/>
              <w:bottom w:val="single" w:sz="4" w:space="0" w:color="000000"/>
              <w:right w:val="single" w:sz="4" w:space="0" w:color="000000"/>
            </w:tcBorders>
            <w:vAlign w:val="center"/>
          </w:tcPr>
          <w:p w14:paraId="7F38E94B" w14:textId="77777777" w:rsidR="00AC6C2E" w:rsidRDefault="00AC6C2E" w:rsidP="00536234">
            <w:pPr>
              <w:spacing w:after="0" w:line="480" w:lineRule="auto"/>
              <w:ind w:left="0" w:firstLine="0"/>
              <w:jc w:val="center"/>
              <w:rPr>
                <w:rFonts w:ascii="Times New Roman" w:hAnsi="Times New Roman" w:cs="Times New Roman"/>
                <w:sz w:val="22"/>
              </w:rPr>
            </w:pPr>
            <w:r w:rsidRPr="001C30A6">
              <w:rPr>
                <w:rFonts w:ascii="Times New Roman" w:hAnsi="Times New Roman" w:cs="Times New Roman"/>
                <w:sz w:val="22"/>
              </w:rPr>
              <w:t>Overall Average Annual Dividend Pay-out Ratio thr</w:t>
            </w:r>
            <w:r>
              <w:rPr>
                <w:rFonts w:ascii="Times New Roman" w:hAnsi="Times New Roman" w:cs="Times New Roman"/>
                <w:sz w:val="22"/>
              </w:rPr>
              <w:t>oughout the entire Study Period</w:t>
            </w:r>
          </w:p>
        </w:tc>
        <w:tc>
          <w:tcPr>
            <w:tcW w:w="1601" w:type="dxa"/>
            <w:tcBorders>
              <w:top w:val="single" w:sz="4" w:space="0" w:color="000000"/>
              <w:left w:val="single" w:sz="4" w:space="0" w:color="000000"/>
              <w:bottom w:val="single" w:sz="4" w:space="0" w:color="000000"/>
              <w:right w:val="single" w:sz="4" w:space="0" w:color="000000"/>
            </w:tcBorders>
          </w:tcPr>
          <w:p w14:paraId="5DC8DA61" w14:textId="77777777" w:rsidR="008F2EC9" w:rsidRDefault="008F2EC9" w:rsidP="00536234">
            <w:pPr>
              <w:spacing w:after="0" w:line="480" w:lineRule="auto"/>
              <w:ind w:left="0" w:firstLine="0"/>
              <w:jc w:val="center"/>
              <w:rPr>
                <w:rFonts w:ascii="Times New Roman" w:hAnsi="Times New Roman" w:cs="Times New Roman"/>
                <w:sz w:val="22"/>
              </w:rPr>
            </w:pPr>
          </w:p>
          <w:p w14:paraId="455ADDA7" w14:textId="5BBEEE7A" w:rsidR="00AC6C2E" w:rsidRPr="001C30A6"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55</w:t>
            </w:r>
          </w:p>
        </w:tc>
      </w:tr>
      <w:tr w:rsidR="00AC6C2E" w:rsidRPr="003A1203" w14:paraId="5B062AD3"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0494A70A" w14:textId="77777777" w:rsidR="00AC6C2E"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9</w:t>
            </w:r>
          </w:p>
        </w:tc>
        <w:tc>
          <w:tcPr>
            <w:tcW w:w="6672" w:type="dxa"/>
            <w:tcBorders>
              <w:top w:val="single" w:sz="4" w:space="0" w:color="000000"/>
              <w:left w:val="single" w:sz="4" w:space="0" w:color="000000"/>
              <w:bottom w:val="single" w:sz="4" w:space="0" w:color="000000"/>
              <w:right w:val="single" w:sz="4" w:space="0" w:color="000000"/>
            </w:tcBorders>
            <w:vAlign w:val="center"/>
          </w:tcPr>
          <w:p w14:paraId="55D8DCC2" w14:textId="77777777" w:rsidR="00AC6C2E" w:rsidRDefault="00D431C5" w:rsidP="00D431C5">
            <w:pPr>
              <w:spacing w:after="0" w:line="480" w:lineRule="auto"/>
              <w:ind w:left="0" w:firstLine="0"/>
              <w:jc w:val="center"/>
              <w:rPr>
                <w:rFonts w:ascii="Times New Roman" w:hAnsi="Times New Roman" w:cs="Times New Roman"/>
                <w:sz w:val="22"/>
              </w:rPr>
            </w:pPr>
            <w:r>
              <w:rPr>
                <w:rFonts w:ascii="Times New Roman" w:hAnsi="Times New Roman" w:cs="Times New Roman"/>
                <w:sz w:val="22"/>
              </w:rPr>
              <w:t>Average Annual Dividend Pay-O</w:t>
            </w:r>
            <w:r w:rsidR="00AC6C2E" w:rsidRPr="001C30A6">
              <w:rPr>
                <w:rFonts w:ascii="Times New Roman" w:hAnsi="Times New Roman" w:cs="Times New Roman"/>
                <w:sz w:val="22"/>
              </w:rPr>
              <w:t xml:space="preserve">ut Ratio for the Treatment Group </w:t>
            </w:r>
            <w:r>
              <w:rPr>
                <w:rFonts w:ascii="Times New Roman" w:hAnsi="Times New Roman" w:cs="Times New Roman"/>
                <w:sz w:val="22"/>
              </w:rPr>
              <w:t>O</w:t>
            </w:r>
            <w:r w:rsidR="00AC6C2E" w:rsidRPr="001C30A6">
              <w:rPr>
                <w:rFonts w:ascii="Times New Roman" w:hAnsi="Times New Roman" w:cs="Times New Roman"/>
                <w:sz w:val="22"/>
              </w:rPr>
              <w:t>ver the Entire Study Period</w:t>
            </w:r>
          </w:p>
        </w:tc>
        <w:tc>
          <w:tcPr>
            <w:tcW w:w="1601" w:type="dxa"/>
            <w:tcBorders>
              <w:top w:val="single" w:sz="4" w:space="0" w:color="000000"/>
              <w:left w:val="single" w:sz="4" w:space="0" w:color="000000"/>
              <w:bottom w:val="single" w:sz="4" w:space="0" w:color="000000"/>
              <w:right w:val="single" w:sz="4" w:space="0" w:color="000000"/>
            </w:tcBorders>
          </w:tcPr>
          <w:p w14:paraId="18DDD4F9" w14:textId="77777777" w:rsidR="008F2EC9" w:rsidRDefault="008F2EC9" w:rsidP="0041328D">
            <w:pPr>
              <w:spacing w:after="0" w:line="480" w:lineRule="auto"/>
              <w:ind w:left="0" w:firstLine="0"/>
              <w:jc w:val="center"/>
              <w:rPr>
                <w:rFonts w:ascii="Times New Roman" w:hAnsi="Times New Roman" w:cs="Times New Roman"/>
                <w:sz w:val="22"/>
              </w:rPr>
            </w:pPr>
          </w:p>
          <w:p w14:paraId="7B99EC2B" w14:textId="46CFA772" w:rsidR="00AC6C2E" w:rsidRPr="001C30A6" w:rsidRDefault="008F2EC9" w:rsidP="0041328D">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56</w:t>
            </w:r>
          </w:p>
        </w:tc>
      </w:tr>
      <w:tr w:rsidR="00AC6C2E" w:rsidRPr="003A1203" w14:paraId="52DA467A"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16A5CE93" w14:textId="77777777" w:rsidR="00AC6C2E"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10</w:t>
            </w:r>
          </w:p>
        </w:tc>
        <w:tc>
          <w:tcPr>
            <w:tcW w:w="6672" w:type="dxa"/>
            <w:tcBorders>
              <w:top w:val="single" w:sz="4" w:space="0" w:color="000000"/>
              <w:left w:val="single" w:sz="4" w:space="0" w:color="000000"/>
              <w:bottom w:val="single" w:sz="4" w:space="0" w:color="000000"/>
              <w:right w:val="single" w:sz="4" w:space="0" w:color="000000"/>
            </w:tcBorders>
            <w:vAlign w:val="center"/>
          </w:tcPr>
          <w:p w14:paraId="71F2A2C9" w14:textId="77777777" w:rsidR="00AC6C2E" w:rsidRPr="006E1FC1" w:rsidRDefault="00D431C5"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Average Annual Dividend Pay-O</w:t>
            </w:r>
            <w:r w:rsidR="00AC6C2E" w:rsidRPr="001C30A6">
              <w:rPr>
                <w:rFonts w:ascii="Times New Roman" w:hAnsi="Times New Roman" w:cs="Times New Roman"/>
                <w:sz w:val="22"/>
              </w:rPr>
              <w:t xml:space="preserve">ut Ratio for the </w:t>
            </w:r>
            <w:r w:rsidR="00AC6C2E">
              <w:rPr>
                <w:rFonts w:ascii="Times New Roman" w:hAnsi="Times New Roman" w:cs="Times New Roman"/>
                <w:sz w:val="22"/>
              </w:rPr>
              <w:t>Control</w:t>
            </w:r>
            <w:r>
              <w:rPr>
                <w:rFonts w:ascii="Times New Roman" w:hAnsi="Times New Roman" w:cs="Times New Roman"/>
                <w:sz w:val="22"/>
              </w:rPr>
              <w:t xml:space="preserve"> Group O</w:t>
            </w:r>
            <w:r w:rsidR="00AC6C2E" w:rsidRPr="001C30A6">
              <w:rPr>
                <w:rFonts w:ascii="Times New Roman" w:hAnsi="Times New Roman" w:cs="Times New Roman"/>
                <w:sz w:val="22"/>
              </w:rPr>
              <w:t>ver the Entire Study Period</w:t>
            </w:r>
          </w:p>
        </w:tc>
        <w:tc>
          <w:tcPr>
            <w:tcW w:w="1601" w:type="dxa"/>
            <w:tcBorders>
              <w:top w:val="single" w:sz="4" w:space="0" w:color="000000"/>
              <w:left w:val="single" w:sz="4" w:space="0" w:color="000000"/>
              <w:bottom w:val="single" w:sz="4" w:space="0" w:color="000000"/>
              <w:right w:val="single" w:sz="4" w:space="0" w:color="000000"/>
            </w:tcBorders>
          </w:tcPr>
          <w:p w14:paraId="6015B226" w14:textId="77777777" w:rsidR="008F2EC9" w:rsidRDefault="008F2EC9" w:rsidP="00536234">
            <w:pPr>
              <w:spacing w:after="0" w:line="480" w:lineRule="auto"/>
              <w:ind w:left="0" w:firstLine="0"/>
              <w:jc w:val="center"/>
              <w:rPr>
                <w:rFonts w:ascii="Times New Roman" w:hAnsi="Times New Roman" w:cs="Times New Roman"/>
                <w:sz w:val="22"/>
              </w:rPr>
            </w:pPr>
          </w:p>
          <w:p w14:paraId="045BDA81" w14:textId="27579430" w:rsidR="00AC6C2E" w:rsidRPr="001C30A6" w:rsidRDefault="008F2EC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56</w:t>
            </w:r>
          </w:p>
        </w:tc>
      </w:tr>
      <w:tr w:rsidR="00AC6C2E" w:rsidRPr="003A1203" w14:paraId="621F3A81" w14:textId="77777777" w:rsidTr="00F94EED">
        <w:trPr>
          <w:trHeight w:val="384"/>
        </w:trPr>
        <w:tc>
          <w:tcPr>
            <w:tcW w:w="1128" w:type="dxa"/>
            <w:tcBorders>
              <w:top w:val="single" w:sz="4" w:space="0" w:color="000000"/>
              <w:left w:val="single" w:sz="4" w:space="0" w:color="000000"/>
              <w:bottom w:val="single" w:sz="4" w:space="0" w:color="000000"/>
              <w:right w:val="single" w:sz="4" w:space="0" w:color="000000"/>
            </w:tcBorders>
            <w:vAlign w:val="center"/>
          </w:tcPr>
          <w:p w14:paraId="1ACE9854" w14:textId="77777777" w:rsidR="00AC6C2E" w:rsidRDefault="00D62DF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11</w:t>
            </w:r>
          </w:p>
        </w:tc>
        <w:tc>
          <w:tcPr>
            <w:tcW w:w="6672" w:type="dxa"/>
            <w:tcBorders>
              <w:top w:val="single" w:sz="4" w:space="0" w:color="000000"/>
              <w:left w:val="single" w:sz="4" w:space="0" w:color="000000"/>
              <w:bottom w:val="single" w:sz="4" w:space="0" w:color="000000"/>
              <w:right w:val="single" w:sz="4" w:space="0" w:color="000000"/>
            </w:tcBorders>
            <w:vAlign w:val="center"/>
          </w:tcPr>
          <w:p w14:paraId="02B69879" w14:textId="77777777" w:rsidR="00AC6C2E" w:rsidRDefault="00AC6C2E"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Weighted Least Squares Regression Model prepared using a Balanced Panel</w:t>
            </w:r>
          </w:p>
        </w:tc>
        <w:tc>
          <w:tcPr>
            <w:tcW w:w="1601" w:type="dxa"/>
            <w:tcBorders>
              <w:top w:val="single" w:sz="4" w:space="0" w:color="000000"/>
              <w:left w:val="single" w:sz="4" w:space="0" w:color="000000"/>
              <w:bottom w:val="single" w:sz="4" w:space="0" w:color="000000"/>
              <w:right w:val="single" w:sz="4" w:space="0" w:color="000000"/>
            </w:tcBorders>
          </w:tcPr>
          <w:p w14:paraId="79E1D3F7" w14:textId="77777777" w:rsidR="008F2EC9" w:rsidRDefault="008F2EC9" w:rsidP="0041328D">
            <w:pPr>
              <w:spacing w:after="0" w:line="480" w:lineRule="auto"/>
              <w:ind w:left="0" w:firstLine="0"/>
              <w:jc w:val="center"/>
              <w:rPr>
                <w:rFonts w:ascii="Times New Roman" w:hAnsi="Times New Roman" w:cs="Times New Roman"/>
                <w:sz w:val="22"/>
              </w:rPr>
            </w:pPr>
          </w:p>
          <w:p w14:paraId="32041826" w14:textId="65DCABC2" w:rsidR="00AC6C2E" w:rsidRDefault="008F2EC9" w:rsidP="0041328D">
            <w:pPr>
              <w:spacing w:after="0" w:line="480" w:lineRule="auto"/>
              <w:ind w:left="0" w:firstLine="0"/>
              <w:jc w:val="center"/>
              <w:rPr>
                <w:rFonts w:ascii="Times New Roman" w:hAnsi="Times New Roman" w:cs="Times New Roman"/>
                <w:sz w:val="22"/>
              </w:rPr>
            </w:pPr>
            <w:r>
              <w:rPr>
                <w:rFonts w:ascii="Times New Roman" w:hAnsi="Times New Roman" w:cs="Times New Roman"/>
                <w:sz w:val="22"/>
              </w:rPr>
              <w:t>62</w:t>
            </w:r>
          </w:p>
        </w:tc>
      </w:tr>
    </w:tbl>
    <w:p w14:paraId="63144964" w14:textId="77777777" w:rsidR="006B7584" w:rsidRDefault="006B7584" w:rsidP="00536234">
      <w:pPr>
        <w:spacing w:line="480" w:lineRule="auto"/>
        <w:ind w:left="0"/>
        <w:jc w:val="left"/>
        <w:rPr>
          <w:rFonts w:ascii="Times New Roman" w:hAnsi="Times New Roman" w:cs="Times New Roman"/>
          <w:sz w:val="20"/>
        </w:rPr>
      </w:pPr>
    </w:p>
    <w:p w14:paraId="56B43985" w14:textId="77777777" w:rsidR="006B7584" w:rsidRPr="00095351" w:rsidRDefault="006B7584" w:rsidP="00536234">
      <w:pPr>
        <w:pStyle w:val="Heading1"/>
        <w:ind w:left="0"/>
        <w:jc w:val="center"/>
        <w:rPr>
          <w:rFonts w:ascii="Times New Roman" w:hAnsi="Times New Roman" w:cs="Times New Roman"/>
          <w:b/>
          <w:color w:val="auto"/>
          <w:sz w:val="28"/>
          <w:u w:val="single"/>
        </w:rPr>
      </w:pPr>
      <w:bookmarkStart w:id="4" w:name="_Toc506717750"/>
      <w:r w:rsidRPr="00095351">
        <w:rPr>
          <w:rFonts w:ascii="Times New Roman" w:hAnsi="Times New Roman" w:cs="Times New Roman"/>
          <w:b/>
          <w:color w:val="auto"/>
          <w:sz w:val="28"/>
          <w:u w:val="single"/>
        </w:rPr>
        <w:lastRenderedPageBreak/>
        <w:t>CHAPTER 1 - INTRODUCTION</w:t>
      </w:r>
      <w:bookmarkEnd w:id="4"/>
    </w:p>
    <w:p w14:paraId="5B0F76A3" w14:textId="77777777" w:rsidR="006B7584" w:rsidRPr="00095351" w:rsidRDefault="006B7584" w:rsidP="00536234">
      <w:pPr>
        <w:pStyle w:val="Heading2"/>
        <w:numPr>
          <w:ilvl w:val="1"/>
          <w:numId w:val="5"/>
        </w:numPr>
        <w:ind w:left="0"/>
        <w:rPr>
          <w:rFonts w:ascii="Times New Roman" w:hAnsi="Times New Roman" w:cs="Times New Roman"/>
          <w:b/>
          <w:color w:val="auto"/>
          <w:sz w:val="24"/>
        </w:rPr>
      </w:pPr>
      <w:bookmarkStart w:id="5" w:name="_Toc506717751"/>
      <w:r w:rsidRPr="00095351">
        <w:rPr>
          <w:rFonts w:ascii="Times New Roman" w:hAnsi="Times New Roman" w:cs="Times New Roman"/>
          <w:b/>
          <w:color w:val="auto"/>
          <w:sz w:val="24"/>
        </w:rPr>
        <w:t>Broad-Based Black Economic Empowerment Deals</w:t>
      </w:r>
      <w:bookmarkEnd w:id="5"/>
    </w:p>
    <w:p w14:paraId="7B472473" w14:textId="77777777" w:rsidR="008643FF" w:rsidRPr="003A1203" w:rsidRDefault="008643F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Evidence </w:t>
      </w:r>
      <w:r w:rsidR="006132CF" w:rsidRPr="003A1203">
        <w:rPr>
          <w:rFonts w:ascii="Times New Roman" w:hAnsi="Times New Roman" w:cs="Times New Roman"/>
          <w:sz w:val="22"/>
        </w:rPr>
        <w:t>has, for a considerably long time, shown</w:t>
      </w:r>
      <w:r w:rsidRPr="003A1203">
        <w:rPr>
          <w:rFonts w:ascii="Times New Roman" w:hAnsi="Times New Roman" w:cs="Times New Roman"/>
          <w:sz w:val="22"/>
        </w:rPr>
        <w:t xml:space="preserve"> an increased level of </w:t>
      </w:r>
      <w:r w:rsidR="003825AF" w:rsidRPr="003A1203">
        <w:rPr>
          <w:rFonts w:ascii="Times New Roman" w:hAnsi="Times New Roman" w:cs="Times New Roman"/>
          <w:sz w:val="22"/>
        </w:rPr>
        <w:t xml:space="preserve">participation in </w:t>
      </w:r>
      <w:r w:rsidRPr="003A1203">
        <w:rPr>
          <w:rFonts w:ascii="Times New Roman" w:hAnsi="Times New Roman" w:cs="Times New Roman"/>
          <w:sz w:val="22"/>
        </w:rPr>
        <w:t>Corporate Social Resp</w:t>
      </w:r>
      <w:r w:rsidR="0069559F">
        <w:rPr>
          <w:rFonts w:ascii="Times New Roman" w:hAnsi="Times New Roman" w:cs="Times New Roman"/>
          <w:sz w:val="22"/>
        </w:rPr>
        <w:t>onsibility (CSR) practices by</w:t>
      </w:r>
      <w:r w:rsidRPr="003A1203">
        <w:rPr>
          <w:rFonts w:ascii="Times New Roman" w:hAnsi="Times New Roman" w:cs="Times New Roman"/>
          <w:sz w:val="22"/>
        </w:rPr>
        <w:t xml:space="preserve"> major South African companies</w:t>
      </w:r>
      <w:r w:rsidR="00727340">
        <w:rPr>
          <w:rFonts w:ascii="Times New Roman" w:hAnsi="Times New Roman" w:cs="Times New Roman"/>
          <w:sz w:val="22"/>
        </w:rPr>
        <w:t xml:space="preserve"> </w:t>
      </w:r>
      <w:r w:rsidR="00727340" w:rsidRPr="00727340">
        <w:rPr>
          <w:rFonts w:ascii="Times New Roman" w:hAnsi="Times New Roman" w:cs="Times New Roman"/>
          <w:sz w:val="22"/>
        </w:rPr>
        <w:t>(Dawkins &amp; Ngunjiri, 2008)</w:t>
      </w:r>
      <w:r w:rsidRPr="003A1203">
        <w:rPr>
          <w:rFonts w:ascii="Times New Roman" w:hAnsi="Times New Roman" w:cs="Times New Roman"/>
          <w:sz w:val="22"/>
        </w:rPr>
        <w:t xml:space="preserve">. This level of </w:t>
      </w:r>
      <w:r w:rsidR="003825AF" w:rsidRPr="003A1203">
        <w:rPr>
          <w:rFonts w:ascii="Times New Roman" w:hAnsi="Times New Roman" w:cs="Times New Roman"/>
          <w:sz w:val="22"/>
        </w:rPr>
        <w:t>participation</w:t>
      </w:r>
      <w:r w:rsidRPr="003A1203">
        <w:rPr>
          <w:rFonts w:ascii="Times New Roman" w:hAnsi="Times New Roman" w:cs="Times New Roman"/>
          <w:sz w:val="22"/>
        </w:rPr>
        <w:t xml:space="preserve"> has</w:t>
      </w:r>
      <w:r w:rsidR="00BD39A6" w:rsidRPr="003A1203">
        <w:rPr>
          <w:rFonts w:ascii="Times New Roman" w:hAnsi="Times New Roman" w:cs="Times New Roman"/>
          <w:sz w:val="22"/>
        </w:rPr>
        <w:t xml:space="preserve"> </w:t>
      </w:r>
      <w:r w:rsidR="0069559F">
        <w:rPr>
          <w:rFonts w:ascii="Times New Roman" w:hAnsi="Times New Roman" w:cs="Times New Roman"/>
          <w:sz w:val="22"/>
        </w:rPr>
        <w:t>grown extensively</w:t>
      </w:r>
      <w:r w:rsidRPr="003A1203">
        <w:rPr>
          <w:rFonts w:ascii="Times New Roman" w:hAnsi="Times New Roman" w:cs="Times New Roman"/>
          <w:sz w:val="22"/>
        </w:rPr>
        <w:t xml:space="preserve"> to the extent that it </w:t>
      </w:r>
      <w:r w:rsidR="0069559F">
        <w:rPr>
          <w:rFonts w:ascii="Times New Roman" w:hAnsi="Times New Roman" w:cs="Times New Roman"/>
          <w:sz w:val="22"/>
        </w:rPr>
        <w:t xml:space="preserve">is currently </w:t>
      </w:r>
      <w:r w:rsidRPr="003A1203">
        <w:rPr>
          <w:rFonts w:ascii="Times New Roman" w:hAnsi="Times New Roman" w:cs="Times New Roman"/>
          <w:sz w:val="22"/>
        </w:rPr>
        <w:t xml:space="preserve">recognised that CSR practices amongst the Top 100 South </w:t>
      </w:r>
      <w:r w:rsidR="00146ABA" w:rsidRPr="003A1203">
        <w:rPr>
          <w:rFonts w:ascii="Times New Roman" w:hAnsi="Times New Roman" w:cs="Times New Roman"/>
          <w:sz w:val="22"/>
        </w:rPr>
        <w:t>African listed companies exceed</w:t>
      </w:r>
      <w:r w:rsidRPr="003A1203">
        <w:rPr>
          <w:rFonts w:ascii="Times New Roman" w:hAnsi="Times New Roman" w:cs="Times New Roman"/>
          <w:sz w:val="22"/>
        </w:rPr>
        <w:t xml:space="preserve"> that </w:t>
      </w:r>
      <w:r w:rsidR="00D52254" w:rsidRPr="003A1203">
        <w:rPr>
          <w:rFonts w:ascii="Times New Roman" w:hAnsi="Times New Roman" w:cs="Times New Roman"/>
          <w:sz w:val="22"/>
        </w:rPr>
        <w:t>of</w:t>
      </w:r>
      <w:r w:rsidRPr="003A1203">
        <w:rPr>
          <w:rFonts w:ascii="Times New Roman" w:hAnsi="Times New Roman" w:cs="Times New Roman"/>
          <w:sz w:val="22"/>
        </w:rPr>
        <w:t xml:space="preserve"> </w:t>
      </w:r>
      <w:r w:rsidR="00146ABA" w:rsidRPr="003A1203">
        <w:rPr>
          <w:rFonts w:ascii="Times New Roman" w:hAnsi="Times New Roman" w:cs="Times New Roman"/>
          <w:sz w:val="22"/>
        </w:rPr>
        <w:t xml:space="preserve">major </w:t>
      </w:r>
      <w:r w:rsidRPr="003A1203">
        <w:rPr>
          <w:rFonts w:ascii="Times New Roman" w:hAnsi="Times New Roman" w:cs="Times New Roman"/>
          <w:sz w:val="22"/>
        </w:rPr>
        <w:t xml:space="preserve">blue chip companies </w:t>
      </w:r>
      <w:r w:rsidR="00D52254" w:rsidRPr="003A1203">
        <w:rPr>
          <w:rFonts w:ascii="Times New Roman" w:hAnsi="Times New Roman" w:cs="Times New Roman"/>
          <w:sz w:val="22"/>
        </w:rPr>
        <w:t>found in other</w:t>
      </w:r>
      <w:r w:rsidRPr="003A1203">
        <w:rPr>
          <w:rFonts w:ascii="Times New Roman" w:hAnsi="Times New Roman" w:cs="Times New Roman"/>
          <w:sz w:val="22"/>
        </w:rPr>
        <w:t xml:space="preserve"> leading developed economies (Dawkins &amp; Ngunjiri, 2008). </w:t>
      </w:r>
      <w:r w:rsidR="00D52254" w:rsidRPr="003A1203">
        <w:rPr>
          <w:rFonts w:ascii="Times New Roman" w:hAnsi="Times New Roman" w:cs="Times New Roman"/>
          <w:sz w:val="22"/>
        </w:rPr>
        <w:t>A significant reason for this high level of</w:t>
      </w:r>
      <w:r w:rsidRPr="003A1203">
        <w:rPr>
          <w:rFonts w:ascii="Times New Roman" w:hAnsi="Times New Roman" w:cs="Times New Roman"/>
          <w:sz w:val="22"/>
        </w:rPr>
        <w:t xml:space="preserve"> success </w:t>
      </w:r>
      <w:r w:rsidR="0069559F">
        <w:rPr>
          <w:rFonts w:ascii="Times New Roman" w:hAnsi="Times New Roman" w:cs="Times New Roman"/>
          <w:sz w:val="22"/>
        </w:rPr>
        <w:t>has been due to the efforts placed by these companies in</w:t>
      </w:r>
      <w:r w:rsidR="00D52254" w:rsidRPr="003A1203">
        <w:rPr>
          <w:rFonts w:ascii="Times New Roman" w:hAnsi="Times New Roman" w:cs="Times New Roman"/>
          <w:sz w:val="22"/>
        </w:rPr>
        <w:t xml:space="preserve"> addressing</w:t>
      </w:r>
      <w:r w:rsidR="004E3F08" w:rsidRPr="003A1203">
        <w:rPr>
          <w:rFonts w:ascii="Times New Roman" w:hAnsi="Times New Roman" w:cs="Times New Roman"/>
          <w:sz w:val="22"/>
        </w:rPr>
        <w:t xml:space="preserve"> the</w:t>
      </w:r>
      <w:r w:rsidR="00D52254" w:rsidRPr="003A1203">
        <w:rPr>
          <w:rFonts w:ascii="Times New Roman" w:hAnsi="Times New Roman" w:cs="Times New Roman"/>
          <w:sz w:val="22"/>
        </w:rPr>
        <w:t xml:space="preserve"> sustainability concerns of</w:t>
      </w:r>
      <w:r w:rsidR="0069559F">
        <w:rPr>
          <w:rFonts w:ascii="Times New Roman" w:hAnsi="Times New Roman" w:cs="Times New Roman"/>
          <w:sz w:val="22"/>
        </w:rPr>
        <w:t xml:space="preserve"> their</w:t>
      </w:r>
      <w:r w:rsidR="00D52254" w:rsidRPr="003A1203">
        <w:rPr>
          <w:rFonts w:ascii="Times New Roman" w:hAnsi="Times New Roman" w:cs="Times New Roman"/>
          <w:sz w:val="22"/>
        </w:rPr>
        <w:t xml:space="preserve"> stakeholders.</w:t>
      </w:r>
      <w:r w:rsidRPr="003A1203">
        <w:rPr>
          <w:rFonts w:ascii="Times New Roman" w:hAnsi="Times New Roman" w:cs="Times New Roman"/>
          <w:sz w:val="22"/>
        </w:rPr>
        <w:t xml:space="preserve"> </w:t>
      </w:r>
      <w:r w:rsidR="00146ABA" w:rsidRPr="003A1203">
        <w:rPr>
          <w:rFonts w:ascii="Times New Roman" w:hAnsi="Times New Roman" w:cs="Times New Roman"/>
          <w:sz w:val="22"/>
        </w:rPr>
        <w:t>This,</w:t>
      </w:r>
      <w:r w:rsidR="00D52254" w:rsidRPr="003A1203">
        <w:rPr>
          <w:rFonts w:ascii="Times New Roman" w:hAnsi="Times New Roman" w:cs="Times New Roman"/>
          <w:sz w:val="22"/>
        </w:rPr>
        <w:t xml:space="preserve"> together</w:t>
      </w:r>
      <w:r w:rsidRPr="003A1203">
        <w:rPr>
          <w:rFonts w:ascii="Times New Roman" w:hAnsi="Times New Roman" w:cs="Times New Roman"/>
          <w:sz w:val="22"/>
        </w:rPr>
        <w:t xml:space="preserve"> with various other regulations </w:t>
      </w:r>
      <w:r w:rsidR="0069559F">
        <w:rPr>
          <w:rFonts w:ascii="Times New Roman" w:hAnsi="Times New Roman" w:cs="Times New Roman"/>
          <w:sz w:val="22"/>
        </w:rPr>
        <w:t>enacted over time</w:t>
      </w:r>
      <w:r w:rsidR="003A1203">
        <w:rPr>
          <w:rFonts w:ascii="Times New Roman" w:hAnsi="Times New Roman" w:cs="Times New Roman"/>
          <w:sz w:val="22"/>
        </w:rPr>
        <w:t>,</w:t>
      </w:r>
      <w:r w:rsidR="004E3F08" w:rsidRPr="003A1203">
        <w:rPr>
          <w:rFonts w:ascii="Times New Roman" w:hAnsi="Times New Roman" w:cs="Times New Roman"/>
          <w:sz w:val="22"/>
        </w:rPr>
        <w:t xml:space="preserve"> have</w:t>
      </w:r>
      <w:r w:rsidR="005654E3">
        <w:rPr>
          <w:rFonts w:ascii="Times New Roman" w:hAnsi="Times New Roman" w:cs="Times New Roman"/>
          <w:sz w:val="22"/>
        </w:rPr>
        <w:t xml:space="preserve"> further aided in promoting</w:t>
      </w:r>
      <w:r w:rsidR="004E3F08" w:rsidRPr="003A1203">
        <w:rPr>
          <w:rFonts w:ascii="Times New Roman" w:hAnsi="Times New Roman" w:cs="Times New Roman"/>
          <w:sz w:val="22"/>
        </w:rPr>
        <w:t xml:space="preserve"> this progressive mind-set</w:t>
      </w:r>
      <w:r w:rsidR="00727340">
        <w:rPr>
          <w:rFonts w:ascii="Times New Roman" w:hAnsi="Times New Roman" w:cs="Times New Roman"/>
          <w:sz w:val="22"/>
        </w:rPr>
        <w:t xml:space="preserve"> (IoDSA King III Report, 2009)</w:t>
      </w:r>
      <w:r w:rsidRPr="003A1203">
        <w:rPr>
          <w:rFonts w:ascii="Times New Roman" w:hAnsi="Times New Roman" w:cs="Times New Roman"/>
          <w:sz w:val="22"/>
        </w:rPr>
        <w:t xml:space="preserve">.  </w:t>
      </w:r>
    </w:p>
    <w:p w14:paraId="734E5CCA" w14:textId="607DE9AD" w:rsidR="008643FF" w:rsidRPr="003A1203" w:rsidRDefault="008643F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CSR requires companies to go beyond </w:t>
      </w:r>
      <w:r w:rsidR="00D52254" w:rsidRPr="003A1203">
        <w:rPr>
          <w:rFonts w:ascii="Times New Roman" w:hAnsi="Times New Roman" w:cs="Times New Roman"/>
          <w:sz w:val="22"/>
        </w:rPr>
        <w:t xml:space="preserve">their normal practices and consider the impact of their operations </w:t>
      </w:r>
      <w:r w:rsidR="00146ABA" w:rsidRPr="003A1203">
        <w:rPr>
          <w:rFonts w:ascii="Times New Roman" w:hAnsi="Times New Roman" w:cs="Times New Roman"/>
          <w:sz w:val="22"/>
        </w:rPr>
        <w:t>in the broader context</w:t>
      </w:r>
      <w:r w:rsidR="00D52254" w:rsidRPr="003A1203">
        <w:rPr>
          <w:rFonts w:ascii="Times New Roman" w:hAnsi="Times New Roman" w:cs="Times New Roman"/>
          <w:sz w:val="22"/>
        </w:rPr>
        <w:t xml:space="preserve"> (Siegel &amp;</w:t>
      </w:r>
      <w:r w:rsidRPr="003A1203">
        <w:rPr>
          <w:rFonts w:ascii="Times New Roman" w:hAnsi="Times New Roman" w:cs="Times New Roman"/>
          <w:sz w:val="22"/>
        </w:rPr>
        <w:t xml:space="preserve"> Vitaliano, 2007). It is believed that CSR</w:t>
      </w:r>
      <w:r w:rsidR="00D52254" w:rsidRPr="003A1203">
        <w:rPr>
          <w:rFonts w:ascii="Times New Roman" w:hAnsi="Times New Roman" w:cs="Times New Roman"/>
          <w:sz w:val="22"/>
        </w:rPr>
        <w:t xml:space="preserve"> can best be achieved by instilling a complete change in the thought processes of companies (Wolmarans &amp;</w:t>
      </w:r>
      <w:r w:rsidRPr="003A1203">
        <w:rPr>
          <w:rFonts w:ascii="Times New Roman" w:hAnsi="Times New Roman" w:cs="Times New Roman"/>
          <w:sz w:val="22"/>
        </w:rPr>
        <w:t xml:space="preserve"> Satorius, 2009). This means that a shift needs to be made in</w:t>
      </w:r>
      <w:r w:rsidR="00D52254" w:rsidRPr="003A1203">
        <w:rPr>
          <w:rFonts w:ascii="Times New Roman" w:hAnsi="Times New Roman" w:cs="Times New Roman"/>
          <w:sz w:val="22"/>
        </w:rPr>
        <w:t xml:space="preserve"> directing companies to becoming aware of social and other problems caused by their</w:t>
      </w:r>
      <w:r w:rsidR="0069559F">
        <w:rPr>
          <w:rFonts w:ascii="Times New Roman" w:hAnsi="Times New Roman" w:cs="Times New Roman"/>
          <w:sz w:val="22"/>
        </w:rPr>
        <w:t xml:space="preserve"> current</w:t>
      </w:r>
      <w:r w:rsidR="00D52254" w:rsidRPr="003A1203">
        <w:rPr>
          <w:rFonts w:ascii="Times New Roman" w:hAnsi="Times New Roman" w:cs="Times New Roman"/>
          <w:sz w:val="22"/>
        </w:rPr>
        <w:t xml:space="preserve"> operations</w:t>
      </w:r>
      <w:r w:rsidRPr="003A1203">
        <w:rPr>
          <w:rFonts w:ascii="Times New Roman" w:hAnsi="Times New Roman" w:cs="Times New Roman"/>
          <w:sz w:val="22"/>
        </w:rPr>
        <w:t xml:space="preserve"> (</w:t>
      </w:r>
      <w:r w:rsidR="006860E7">
        <w:rPr>
          <w:rFonts w:ascii="Times New Roman" w:hAnsi="Times New Roman" w:cs="Times New Roman"/>
          <w:sz w:val="22"/>
        </w:rPr>
        <w:t>F</w:t>
      </w:r>
      <w:r w:rsidR="00CE0046">
        <w:rPr>
          <w:rFonts w:ascii="Times New Roman" w:hAnsi="Times New Roman" w:cs="Times New Roman"/>
          <w:sz w:val="22"/>
        </w:rPr>
        <w:t xml:space="preserve">.G.A </w:t>
      </w:r>
      <w:r w:rsidR="00727340">
        <w:rPr>
          <w:rFonts w:ascii="Times New Roman" w:hAnsi="Times New Roman" w:cs="Times New Roman"/>
          <w:sz w:val="22"/>
        </w:rPr>
        <w:t>De Bakker</w:t>
      </w:r>
      <w:r w:rsidR="00431999">
        <w:rPr>
          <w:rFonts w:ascii="Times New Roman" w:hAnsi="Times New Roman" w:cs="Times New Roman"/>
          <w:sz w:val="22"/>
        </w:rPr>
        <w:t>,</w:t>
      </w:r>
      <w:r w:rsidR="00727340">
        <w:rPr>
          <w:rFonts w:ascii="Times New Roman" w:hAnsi="Times New Roman" w:cs="Times New Roman"/>
          <w:sz w:val="22"/>
        </w:rPr>
        <w:t xml:space="preserve"> Groenewegen</w:t>
      </w:r>
      <w:r w:rsidR="00431999">
        <w:rPr>
          <w:rFonts w:ascii="Times New Roman" w:hAnsi="Times New Roman" w:cs="Times New Roman"/>
          <w:sz w:val="22"/>
        </w:rPr>
        <w:t>,</w:t>
      </w:r>
      <w:r w:rsidR="00727340">
        <w:rPr>
          <w:rFonts w:ascii="Times New Roman" w:hAnsi="Times New Roman" w:cs="Times New Roman"/>
          <w:sz w:val="22"/>
        </w:rPr>
        <w:t xml:space="preserve"> &amp; </w:t>
      </w:r>
      <w:r w:rsidR="00727340" w:rsidRPr="00727340">
        <w:rPr>
          <w:rFonts w:ascii="Times New Roman" w:hAnsi="Times New Roman" w:cs="Times New Roman"/>
          <w:sz w:val="22"/>
        </w:rPr>
        <w:t>Denhond, 2005</w:t>
      </w:r>
      <w:r w:rsidRPr="003A1203">
        <w:rPr>
          <w:rFonts w:ascii="Times New Roman" w:hAnsi="Times New Roman" w:cs="Times New Roman"/>
          <w:sz w:val="22"/>
        </w:rPr>
        <w:t xml:space="preserve">). </w:t>
      </w:r>
      <w:r w:rsidR="00146ABA" w:rsidRPr="003A1203">
        <w:rPr>
          <w:rFonts w:ascii="Times New Roman" w:hAnsi="Times New Roman" w:cs="Times New Roman"/>
          <w:sz w:val="22"/>
        </w:rPr>
        <w:t>In doing so</w:t>
      </w:r>
      <w:r w:rsidR="00BD39A6" w:rsidRPr="003A1203">
        <w:rPr>
          <w:rFonts w:ascii="Times New Roman" w:hAnsi="Times New Roman" w:cs="Times New Roman"/>
          <w:sz w:val="22"/>
        </w:rPr>
        <w:t>,</w:t>
      </w:r>
      <w:r w:rsidR="00146ABA" w:rsidRPr="003A1203">
        <w:rPr>
          <w:rFonts w:ascii="Times New Roman" w:hAnsi="Times New Roman" w:cs="Times New Roman"/>
          <w:sz w:val="22"/>
        </w:rPr>
        <w:t xml:space="preserve"> companies should also not see these additional commitments as a burden</w:t>
      </w:r>
      <w:r w:rsidR="0069559F">
        <w:rPr>
          <w:rFonts w:ascii="Times New Roman" w:hAnsi="Times New Roman" w:cs="Times New Roman"/>
          <w:sz w:val="22"/>
        </w:rPr>
        <w:t>,</w:t>
      </w:r>
      <w:r w:rsidR="00146ABA" w:rsidRPr="003A1203">
        <w:rPr>
          <w:rFonts w:ascii="Times New Roman" w:hAnsi="Times New Roman" w:cs="Times New Roman"/>
          <w:sz w:val="22"/>
        </w:rPr>
        <w:t xml:space="preserve"> but should </w:t>
      </w:r>
      <w:r w:rsidR="0069559F">
        <w:rPr>
          <w:rFonts w:ascii="Times New Roman" w:hAnsi="Times New Roman" w:cs="Times New Roman"/>
          <w:sz w:val="22"/>
        </w:rPr>
        <w:t xml:space="preserve">rather </w:t>
      </w:r>
      <w:r w:rsidR="00146ABA" w:rsidRPr="003A1203">
        <w:rPr>
          <w:rFonts w:ascii="Times New Roman" w:hAnsi="Times New Roman" w:cs="Times New Roman"/>
          <w:sz w:val="22"/>
        </w:rPr>
        <w:t>adopt a positive attitude and understand that they have the capacity to achieve change. Companies should also bear in mind that stakeholders pay p</w:t>
      </w:r>
      <w:r w:rsidR="00DC6A6A">
        <w:rPr>
          <w:rFonts w:ascii="Times New Roman" w:hAnsi="Times New Roman" w:cs="Times New Roman"/>
          <w:sz w:val="22"/>
        </w:rPr>
        <w:t>articular attention</w:t>
      </w:r>
      <w:r w:rsidR="00146ABA" w:rsidRPr="003A1203">
        <w:rPr>
          <w:rFonts w:ascii="Times New Roman" w:hAnsi="Times New Roman" w:cs="Times New Roman"/>
          <w:sz w:val="22"/>
        </w:rPr>
        <w:t xml:space="preserve"> to CSR commitments and will react negatively towards companies not committed to this way of thinking.</w:t>
      </w:r>
      <w:r w:rsidRPr="003A1203">
        <w:rPr>
          <w:rFonts w:ascii="Times New Roman" w:hAnsi="Times New Roman" w:cs="Times New Roman"/>
          <w:sz w:val="22"/>
        </w:rPr>
        <w:t xml:space="preserve"> </w:t>
      </w:r>
      <w:r w:rsidR="00146ABA" w:rsidRPr="003A1203">
        <w:rPr>
          <w:rFonts w:ascii="Times New Roman" w:hAnsi="Times New Roman" w:cs="Times New Roman"/>
          <w:sz w:val="22"/>
        </w:rPr>
        <w:t>In saying such, it can be said that CSR does indeed form an</w:t>
      </w:r>
      <w:r w:rsidRPr="003A1203">
        <w:rPr>
          <w:rFonts w:ascii="Times New Roman" w:hAnsi="Times New Roman" w:cs="Times New Roman"/>
          <w:sz w:val="22"/>
        </w:rPr>
        <w:t xml:space="preserve"> integral part </w:t>
      </w:r>
      <w:r w:rsidR="00146ABA" w:rsidRPr="003A1203">
        <w:rPr>
          <w:rFonts w:ascii="Times New Roman" w:hAnsi="Times New Roman" w:cs="Times New Roman"/>
          <w:sz w:val="22"/>
        </w:rPr>
        <w:t>of the concept known as</w:t>
      </w:r>
      <w:r w:rsidR="00D52254" w:rsidRPr="003A1203">
        <w:rPr>
          <w:rFonts w:ascii="Times New Roman" w:hAnsi="Times New Roman" w:cs="Times New Roman"/>
          <w:sz w:val="22"/>
        </w:rPr>
        <w:t xml:space="preserve"> stakeholder theory (Munilla &amp;</w:t>
      </w:r>
      <w:r w:rsidRPr="003A1203">
        <w:rPr>
          <w:rFonts w:ascii="Times New Roman" w:hAnsi="Times New Roman" w:cs="Times New Roman"/>
          <w:sz w:val="22"/>
        </w:rPr>
        <w:t xml:space="preserve"> Miles, 2005).  </w:t>
      </w:r>
    </w:p>
    <w:p w14:paraId="204AABE5" w14:textId="77777777" w:rsidR="0016568F" w:rsidRDefault="00146ABA"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The direction that CSR generally takes with </w:t>
      </w:r>
      <w:r w:rsidR="005654E3">
        <w:rPr>
          <w:rFonts w:ascii="Times New Roman" w:hAnsi="Times New Roman" w:cs="Times New Roman"/>
          <w:sz w:val="22"/>
        </w:rPr>
        <w:t>specific reference to a particular</w:t>
      </w:r>
      <w:r w:rsidRPr="003A1203">
        <w:rPr>
          <w:rFonts w:ascii="Times New Roman" w:hAnsi="Times New Roman" w:cs="Times New Roman"/>
          <w:sz w:val="22"/>
        </w:rPr>
        <w:t xml:space="preserve"> company</w:t>
      </w:r>
      <w:r w:rsidR="008643FF" w:rsidRPr="003A1203">
        <w:rPr>
          <w:rFonts w:ascii="Times New Roman" w:hAnsi="Times New Roman" w:cs="Times New Roman"/>
          <w:sz w:val="22"/>
        </w:rPr>
        <w:t xml:space="preserve"> is </w:t>
      </w:r>
      <w:r w:rsidR="006132CF" w:rsidRPr="003A1203">
        <w:rPr>
          <w:rFonts w:ascii="Times New Roman" w:hAnsi="Times New Roman" w:cs="Times New Roman"/>
          <w:sz w:val="22"/>
        </w:rPr>
        <w:t>primarily</w:t>
      </w:r>
      <w:r w:rsidR="008643FF" w:rsidRPr="003A1203">
        <w:rPr>
          <w:rFonts w:ascii="Times New Roman" w:hAnsi="Times New Roman" w:cs="Times New Roman"/>
          <w:sz w:val="22"/>
        </w:rPr>
        <w:t xml:space="preserve"> driven by </w:t>
      </w:r>
      <w:r w:rsidR="005654E3">
        <w:rPr>
          <w:rFonts w:ascii="Times New Roman" w:hAnsi="Times New Roman" w:cs="Times New Roman"/>
          <w:sz w:val="22"/>
        </w:rPr>
        <w:t>their</w:t>
      </w:r>
      <w:r w:rsidRPr="003A1203">
        <w:rPr>
          <w:rFonts w:ascii="Times New Roman" w:hAnsi="Times New Roman" w:cs="Times New Roman"/>
          <w:sz w:val="22"/>
        </w:rPr>
        <w:t xml:space="preserve"> interests and immediate business environment</w:t>
      </w:r>
      <w:r w:rsidR="008643FF" w:rsidRPr="003A1203">
        <w:rPr>
          <w:rFonts w:ascii="Times New Roman" w:hAnsi="Times New Roman" w:cs="Times New Roman"/>
          <w:sz w:val="22"/>
        </w:rPr>
        <w:t xml:space="preserve">. </w:t>
      </w:r>
      <w:r w:rsidRPr="003A1203">
        <w:rPr>
          <w:rFonts w:ascii="Times New Roman" w:hAnsi="Times New Roman" w:cs="Times New Roman"/>
          <w:sz w:val="22"/>
        </w:rPr>
        <w:t xml:space="preserve">In South Africa, this is mainly </w:t>
      </w:r>
      <w:r w:rsidR="006132CF" w:rsidRPr="003A1203">
        <w:rPr>
          <w:rFonts w:ascii="Times New Roman" w:hAnsi="Times New Roman" w:cs="Times New Roman"/>
          <w:sz w:val="22"/>
        </w:rPr>
        <w:t>aimed</w:t>
      </w:r>
      <w:r w:rsidRPr="003A1203">
        <w:rPr>
          <w:rFonts w:ascii="Times New Roman" w:hAnsi="Times New Roman" w:cs="Times New Roman"/>
          <w:sz w:val="22"/>
        </w:rPr>
        <w:t xml:space="preserve"> at </w:t>
      </w:r>
      <w:r w:rsidR="006218F1">
        <w:rPr>
          <w:rFonts w:ascii="Times New Roman" w:hAnsi="Times New Roman" w:cs="Times New Roman"/>
          <w:sz w:val="22"/>
        </w:rPr>
        <w:t>addressing</w:t>
      </w:r>
      <w:r w:rsidR="006132CF" w:rsidRPr="003A1203">
        <w:rPr>
          <w:rFonts w:ascii="Times New Roman" w:hAnsi="Times New Roman" w:cs="Times New Roman"/>
          <w:sz w:val="22"/>
        </w:rPr>
        <w:t xml:space="preserve"> the</w:t>
      </w:r>
      <w:r w:rsidRPr="003A1203">
        <w:rPr>
          <w:rFonts w:ascii="Times New Roman" w:hAnsi="Times New Roman" w:cs="Times New Roman"/>
          <w:sz w:val="22"/>
        </w:rPr>
        <w:t xml:space="preserve"> high levels of social inequal</w:t>
      </w:r>
      <w:r w:rsidR="00DC6A6A">
        <w:rPr>
          <w:rFonts w:ascii="Times New Roman" w:hAnsi="Times New Roman" w:cs="Times New Roman"/>
          <w:sz w:val="22"/>
        </w:rPr>
        <w:t>i</w:t>
      </w:r>
      <w:r w:rsidR="0016568F">
        <w:rPr>
          <w:rFonts w:ascii="Times New Roman" w:hAnsi="Times New Roman" w:cs="Times New Roman"/>
          <w:sz w:val="22"/>
        </w:rPr>
        <w:t>ty which currently exist</w:t>
      </w:r>
      <w:r w:rsidR="005654E3">
        <w:rPr>
          <w:rFonts w:ascii="Times New Roman" w:hAnsi="Times New Roman" w:cs="Times New Roman"/>
          <w:sz w:val="22"/>
        </w:rPr>
        <w:t>s</w:t>
      </w:r>
      <w:r w:rsidR="0016568F">
        <w:rPr>
          <w:rFonts w:ascii="Times New Roman" w:hAnsi="Times New Roman" w:cs="Times New Roman"/>
          <w:sz w:val="22"/>
        </w:rPr>
        <w:t xml:space="preserve"> in </w:t>
      </w:r>
      <w:r w:rsidR="005654E3">
        <w:rPr>
          <w:rFonts w:ascii="Times New Roman" w:hAnsi="Times New Roman" w:cs="Times New Roman"/>
          <w:sz w:val="22"/>
        </w:rPr>
        <w:t>most</w:t>
      </w:r>
      <w:r w:rsidRPr="003A1203">
        <w:rPr>
          <w:rFonts w:ascii="Times New Roman" w:hAnsi="Times New Roman" w:cs="Times New Roman"/>
          <w:sz w:val="22"/>
        </w:rPr>
        <w:t xml:space="preserve"> business communit</w:t>
      </w:r>
      <w:r w:rsidR="00DC6A6A">
        <w:rPr>
          <w:rFonts w:ascii="Times New Roman" w:hAnsi="Times New Roman" w:cs="Times New Roman"/>
          <w:sz w:val="22"/>
        </w:rPr>
        <w:t>ies</w:t>
      </w:r>
      <w:r w:rsidR="0016568F">
        <w:rPr>
          <w:rFonts w:ascii="Times New Roman" w:hAnsi="Times New Roman" w:cs="Times New Roman"/>
          <w:sz w:val="22"/>
        </w:rPr>
        <w:t>. There is also a</w:t>
      </w:r>
      <w:r w:rsidRPr="003A1203">
        <w:rPr>
          <w:rFonts w:ascii="Times New Roman" w:hAnsi="Times New Roman" w:cs="Times New Roman"/>
          <w:sz w:val="22"/>
        </w:rPr>
        <w:t xml:space="preserve"> pattern of seeing these social issues overlapping with economic ones </w:t>
      </w:r>
      <w:r w:rsidR="0069559F">
        <w:rPr>
          <w:rFonts w:ascii="Times New Roman" w:hAnsi="Times New Roman" w:cs="Times New Roman"/>
          <w:sz w:val="22"/>
        </w:rPr>
        <w:t>for the reason that there currently exists a</w:t>
      </w:r>
      <w:r w:rsidRPr="003A1203">
        <w:rPr>
          <w:rFonts w:ascii="Times New Roman" w:hAnsi="Times New Roman" w:cs="Times New Roman"/>
          <w:sz w:val="22"/>
        </w:rPr>
        <w:t xml:space="preserve"> lack of economic resources </w:t>
      </w:r>
      <w:r w:rsidR="0069559F">
        <w:rPr>
          <w:rFonts w:ascii="Times New Roman" w:hAnsi="Times New Roman" w:cs="Times New Roman"/>
          <w:sz w:val="22"/>
        </w:rPr>
        <w:t>within</w:t>
      </w:r>
      <w:r w:rsidR="006132CF" w:rsidRPr="003A1203">
        <w:rPr>
          <w:rFonts w:ascii="Times New Roman" w:hAnsi="Times New Roman" w:cs="Times New Roman"/>
          <w:sz w:val="22"/>
        </w:rPr>
        <w:t xml:space="preserve"> </w:t>
      </w:r>
      <w:r w:rsidRPr="003A1203">
        <w:rPr>
          <w:rFonts w:ascii="Times New Roman" w:hAnsi="Times New Roman" w:cs="Times New Roman"/>
          <w:sz w:val="22"/>
        </w:rPr>
        <w:t>these</w:t>
      </w:r>
      <w:r w:rsidR="0016568F">
        <w:rPr>
          <w:rFonts w:ascii="Times New Roman" w:hAnsi="Times New Roman" w:cs="Times New Roman"/>
          <w:sz w:val="22"/>
        </w:rPr>
        <w:t xml:space="preserve"> aforementioned</w:t>
      </w:r>
      <w:r w:rsidRPr="003A1203">
        <w:rPr>
          <w:rFonts w:ascii="Times New Roman" w:hAnsi="Times New Roman" w:cs="Times New Roman"/>
          <w:sz w:val="22"/>
        </w:rPr>
        <w:t xml:space="preserve"> communities</w:t>
      </w:r>
      <w:r w:rsidR="008643FF" w:rsidRPr="003A1203">
        <w:rPr>
          <w:rFonts w:ascii="Times New Roman" w:hAnsi="Times New Roman" w:cs="Times New Roman"/>
          <w:sz w:val="22"/>
        </w:rPr>
        <w:t xml:space="preserve"> (Galan, 2006). </w:t>
      </w:r>
    </w:p>
    <w:p w14:paraId="6BB12311" w14:textId="77777777" w:rsidR="00A60490" w:rsidRPr="003A1203" w:rsidRDefault="0016568F" w:rsidP="00536234">
      <w:pPr>
        <w:spacing w:line="480" w:lineRule="auto"/>
        <w:ind w:left="0" w:firstLine="0"/>
        <w:rPr>
          <w:rFonts w:ascii="Times New Roman" w:hAnsi="Times New Roman" w:cs="Times New Roman"/>
          <w:sz w:val="22"/>
        </w:rPr>
      </w:pPr>
      <w:r>
        <w:rPr>
          <w:rFonts w:ascii="Times New Roman" w:hAnsi="Times New Roman" w:cs="Times New Roman"/>
          <w:sz w:val="22"/>
        </w:rPr>
        <w:lastRenderedPageBreak/>
        <w:t>The cause of these</w:t>
      </w:r>
      <w:r w:rsidR="006132CF" w:rsidRPr="003A1203">
        <w:rPr>
          <w:rFonts w:ascii="Times New Roman" w:hAnsi="Times New Roman" w:cs="Times New Roman"/>
          <w:sz w:val="22"/>
        </w:rPr>
        <w:t xml:space="preserve"> high level</w:t>
      </w:r>
      <w:r>
        <w:rPr>
          <w:rFonts w:ascii="Times New Roman" w:hAnsi="Times New Roman" w:cs="Times New Roman"/>
          <w:sz w:val="22"/>
        </w:rPr>
        <w:t>s</w:t>
      </w:r>
      <w:r w:rsidR="006132CF" w:rsidRPr="003A1203">
        <w:rPr>
          <w:rFonts w:ascii="Times New Roman" w:hAnsi="Times New Roman" w:cs="Times New Roman"/>
          <w:sz w:val="22"/>
        </w:rPr>
        <w:t xml:space="preserve"> of inequality is a part of the history of the country and dates back to the earliest of days of the country’s development. However, it only reached its peak during the period of Apartheid. Corporate Social Responsibility </w:t>
      </w:r>
      <w:r w:rsidR="00A60490" w:rsidRPr="003A1203">
        <w:rPr>
          <w:rFonts w:ascii="Times New Roman" w:hAnsi="Times New Roman" w:cs="Times New Roman"/>
          <w:sz w:val="22"/>
        </w:rPr>
        <w:t xml:space="preserve">has, over the past two decades, played an important </w:t>
      </w:r>
      <w:r w:rsidR="006132CF" w:rsidRPr="003A1203">
        <w:rPr>
          <w:rFonts w:ascii="Times New Roman" w:hAnsi="Times New Roman" w:cs="Times New Roman"/>
          <w:sz w:val="22"/>
        </w:rPr>
        <w:t>role in correcting the extreme levels of inequality created under the Apartheid regime</w:t>
      </w:r>
      <w:r w:rsidR="00A60490" w:rsidRPr="003A1203">
        <w:rPr>
          <w:rFonts w:ascii="Times New Roman" w:hAnsi="Times New Roman" w:cs="Times New Roman"/>
          <w:sz w:val="22"/>
        </w:rPr>
        <w:t xml:space="preserve"> (Wolmarans &amp;</w:t>
      </w:r>
      <w:r w:rsidR="008643FF" w:rsidRPr="003A1203">
        <w:rPr>
          <w:rFonts w:ascii="Times New Roman" w:hAnsi="Times New Roman" w:cs="Times New Roman"/>
          <w:sz w:val="22"/>
        </w:rPr>
        <w:t xml:space="preserve"> Satorius, 2009). </w:t>
      </w:r>
      <w:r w:rsidR="00A60490" w:rsidRPr="003A1203">
        <w:rPr>
          <w:rFonts w:ascii="Times New Roman" w:hAnsi="Times New Roman" w:cs="Times New Roman"/>
          <w:sz w:val="22"/>
        </w:rPr>
        <w:t>Broad-Based Black Economic Empowerment (BBBEE)</w:t>
      </w:r>
      <w:r w:rsidR="0069559F">
        <w:rPr>
          <w:rFonts w:ascii="Times New Roman" w:hAnsi="Times New Roman" w:cs="Times New Roman"/>
          <w:sz w:val="22"/>
        </w:rPr>
        <w:t xml:space="preserve"> can be viewed as a CSR attempt</w:t>
      </w:r>
      <w:r w:rsidR="00A60490" w:rsidRPr="003A1203">
        <w:rPr>
          <w:rFonts w:ascii="Times New Roman" w:hAnsi="Times New Roman" w:cs="Times New Roman"/>
          <w:sz w:val="22"/>
        </w:rPr>
        <w:t xml:space="preserve"> at rectifying th</w:t>
      </w:r>
      <w:r w:rsidR="005654E3">
        <w:rPr>
          <w:rFonts w:ascii="Times New Roman" w:hAnsi="Times New Roman" w:cs="Times New Roman"/>
          <w:sz w:val="22"/>
        </w:rPr>
        <w:t>ose</w:t>
      </w:r>
      <w:r w:rsidR="00A60490" w:rsidRPr="003A1203">
        <w:rPr>
          <w:rFonts w:ascii="Times New Roman" w:hAnsi="Times New Roman" w:cs="Times New Roman"/>
          <w:sz w:val="22"/>
        </w:rPr>
        <w:t xml:space="preserve"> injustices of the past which </w:t>
      </w:r>
      <w:r w:rsidR="005654E3">
        <w:rPr>
          <w:rFonts w:ascii="Times New Roman" w:hAnsi="Times New Roman" w:cs="Times New Roman"/>
          <w:sz w:val="22"/>
        </w:rPr>
        <w:t>caused the high levels of inequality still being seen in</w:t>
      </w:r>
      <w:r>
        <w:rPr>
          <w:rFonts w:ascii="Times New Roman" w:hAnsi="Times New Roman" w:cs="Times New Roman"/>
          <w:sz w:val="22"/>
        </w:rPr>
        <w:t xml:space="preserve"> </w:t>
      </w:r>
      <w:r w:rsidR="005654E3">
        <w:rPr>
          <w:rFonts w:ascii="Times New Roman" w:hAnsi="Times New Roman" w:cs="Times New Roman"/>
          <w:sz w:val="22"/>
        </w:rPr>
        <w:t>the South African economy</w:t>
      </w:r>
      <w:r w:rsidR="00A60490" w:rsidRPr="003A1203">
        <w:rPr>
          <w:rFonts w:ascii="Times New Roman" w:hAnsi="Times New Roman" w:cs="Times New Roman"/>
          <w:sz w:val="22"/>
        </w:rPr>
        <w:t xml:space="preserve"> </w:t>
      </w:r>
      <w:r w:rsidR="005654E3">
        <w:rPr>
          <w:rFonts w:ascii="Times New Roman" w:hAnsi="Times New Roman" w:cs="Times New Roman"/>
          <w:sz w:val="22"/>
        </w:rPr>
        <w:t xml:space="preserve">today </w:t>
      </w:r>
      <w:r w:rsidR="00A60490" w:rsidRPr="003A1203">
        <w:rPr>
          <w:rFonts w:ascii="Times New Roman" w:hAnsi="Times New Roman" w:cs="Times New Roman"/>
          <w:sz w:val="22"/>
        </w:rPr>
        <w:t>(Van der Merwe &amp;</w:t>
      </w:r>
      <w:r w:rsidR="008643FF" w:rsidRPr="003A1203">
        <w:rPr>
          <w:rFonts w:ascii="Times New Roman" w:hAnsi="Times New Roman" w:cs="Times New Roman"/>
          <w:sz w:val="22"/>
        </w:rPr>
        <w:t xml:space="preserve"> Ferreira, 2014). </w:t>
      </w:r>
    </w:p>
    <w:p w14:paraId="059B29D5" w14:textId="77777777" w:rsidR="006B7584" w:rsidRPr="00095351" w:rsidRDefault="009A04FC" w:rsidP="00536234">
      <w:pPr>
        <w:pStyle w:val="Heading3"/>
        <w:ind w:left="0"/>
        <w:rPr>
          <w:rFonts w:ascii="Times New Roman" w:hAnsi="Times New Roman" w:cs="Times New Roman"/>
          <w:i/>
        </w:rPr>
      </w:pPr>
      <w:bookmarkStart w:id="6" w:name="_Toc506717752"/>
      <w:r>
        <w:rPr>
          <w:rFonts w:ascii="Times New Roman" w:hAnsi="Times New Roman" w:cs="Times New Roman"/>
          <w:i/>
          <w:color w:val="auto"/>
          <w:sz w:val="22"/>
        </w:rPr>
        <w:t>1.1.1</w:t>
      </w:r>
      <w:r>
        <w:rPr>
          <w:rFonts w:ascii="Times New Roman" w:hAnsi="Times New Roman" w:cs="Times New Roman"/>
          <w:i/>
          <w:color w:val="auto"/>
          <w:sz w:val="22"/>
        </w:rPr>
        <w:tab/>
      </w:r>
      <w:r w:rsidR="006B7584" w:rsidRPr="00095351">
        <w:rPr>
          <w:rFonts w:ascii="Times New Roman" w:hAnsi="Times New Roman" w:cs="Times New Roman"/>
          <w:i/>
          <w:color w:val="auto"/>
          <w:sz w:val="22"/>
        </w:rPr>
        <w:t>Reasons for Broad-Based Black Economic Empowerment</w:t>
      </w:r>
      <w:bookmarkEnd w:id="6"/>
    </w:p>
    <w:p w14:paraId="2CA07E29" w14:textId="2C1E22A2" w:rsidR="009228CF" w:rsidRPr="003A1203" w:rsidRDefault="005654E3" w:rsidP="00536234">
      <w:pPr>
        <w:spacing w:line="480" w:lineRule="auto"/>
        <w:ind w:left="0"/>
        <w:rPr>
          <w:rFonts w:ascii="Times New Roman" w:hAnsi="Times New Roman" w:cs="Times New Roman"/>
          <w:sz w:val="22"/>
        </w:rPr>
      </w:pPr>
      <w:r>
        <w:rPr>
          <w:rFonts w:ascii="Times New Roman" w:hAnsi="Times New Roman" w:cs="Times New Roman"/>
          <w:sz w:val="22"/>
        </w:rPr>
        <w:t xml:space="preserve">As has been mentioned, </w:t>
      </w:r>
      <w:r w:rsidR="00381B66" w:rsidRPr="003A1203">
        <w:rPr>
          <w:rFonts w:ascii="Times New Roman" w:hAnsi="Times New Roman" w:cs="Times New Roman"/>
          <w:sz w:val="22"/>
        </w:rPr>
        <w:t>Broad-Based Black Economic Empowerment is a policy which has been developed</w:t>
      </w:r>
      <w:r w:rsidR="000712D9">
        <w:rPr>
          <w:rFonts w:ascii="Times New Roman" w:hAnsi="Times New Roman" w:cs="Times New Roman"/>
          <w:sz w:val="22"/>
        </w:rPr>
        <w:t xml:space="preserve"> as a CSR initiative</w:t>
      </w:r>
      <w:r w:rsidR="00381B66" w:rsidRPr="003A1203">
        <w:rPr>
          <w:rFonts w:ascii="Times New Roman" w:hAnsi="Times New Roman" w:cs="Times New Roman"/>
          <w:sz w:val="22"/>
        </w:rPr>
        <w:t xml:space="preserve"> with the aim of targeting inequality from an economic point of view. Since its introduction, and even before </w:t>
      </w:r>
      <w:r w:rsidR="004E3F08" w:rsidRPr="003A1203">
        <w:rPr>
          <w:rFonts w:ascii="Times New Roman" w:hAnsi="Times New Roman" w:cs="Times New Roman"/>
          <w:sz w:val="22"/>
        </w:rPr>
        <w:t>first implementation</w:t>
      </w:r>
      <w:r w:rsidR="00381B66" w:rsidRPr="003A1203">
        <w:rPr>
          <w:rFonts w:ascii="Times New Roman" w:hAnsi="Times New Roman" w:cs="Times New Roman"/>
          <w:sz w:val="22"/>
        </w:rPr>
        <w:t xml:space="preserve"> as regulation</w:t>
      </w:r>
      <w:r w:rsidR="0016568F">
        <w:rPr>
          <w:rFonts w:ascii="Times New Roman" w:hAnsi="Times New Roman" w:cs="Times New Roman"/>
          <w:sz w:val="22"/>
        </w:rPr>
        <w:t xml:space="preserve"> in 2003</w:t>
      </w:r>
      <w:r w:rsidR="00381B66" w:rsidRPr="003A1203">
        <w:rPr>
          <w:rFonts w:ascii="Times New Roman" w:hAnsi="Times New Roman" w:cs="Times New Roman"/>
          <w:sz w:val="22"/>
        </w:rPr>
        <w:t xml:space="preserve">, </w:t>
      </w:r>
      <w:r w:rsidR="00C81E31">
        <w:rPr>
          <w:rFonts w:ascii="Times New Roman" w:hAnsi="Times New Roman" w:cs="Times New Roman"/>
          <w:sz w:val="22"/>
        </w:rPr>
        <w:t>its principles have always</w:t>
      </w:r>
      <w:r w:rsidR="006B7584" w:rsidRPr="003A1203">
        <w:rPr>
          <w:rFonts w:ascii="Times New Roman" w:hAnsi="Times New Roman" w:cs="Times New Roman"/>
          <w:sz w:val="22"/>
        </w:rPr>
        <w:t xml:space="preserve"> been</w:t>
      </w:r>
      <w:r w:rsidR="00381B66" w:rsidRPr="003A1203">
        <w:rPr>
          <w:rFonts w:ascii="Times New Roman" w:hAnsi="Times New Roman" w:cs="Times New Roman"/>
          <w:sz w:val="22"/>
        </w:rPr>
        <w:t xml:space="preserve"> used as</w:t>
      </w:r>
      <w:r w:rsidR="006B7584" w:rsidRPr="003A1203">
        <w:rPr>
          <w:rFonts w:ascii="Times New Roman" w:hAnsi="Times New Roman" w:cs="Times New Roman"/>
          <w:sz w:val="22"/>
        </w:rPr>
        <w:t xml:space="preserve"> the key policy tool for achieving transformation in South Africa</w:t>
      </w:r>
      <w:r w:rsidR="000712D9">
        <w:rPr>
          <w:rFonts w:ascii="Times New Roman" w:hAnsi="Times New Roman" w:cs="Times New Roman"/>
          <w:sz w:val="22"/>
        </w:rPr>
        <w:t xml:space="preserve"> </w:t>
      </w:r>
      <w:r w:rsidR="000712D9" w:rsidRPr="000712D9">
        <w:rPr>
          <w:rFonts w:ascii="Times New Roman" w:hAnsi="Times New Roman" w:cs="Times New Roman"/>
          <w:sz w:val="22"/>
        </w:rPr>
        <w:t>(</w:t>
      </w:r>
      <w:r w:rsidR="00CE0046">
        <w:rPr>
          <w:rFonts w:ascii="Times New Roman" w:hAnsi="Times New Roman" w:cs="Times New Roman"/>
          <w:sz w:val="22"/>
        </w:rPr>
        <w:t xml:space="preserve">B. </w:t>
      </w:r>
      <w:r w:rsidR="000712D9" w:rsidRPr="000712D9">
        <w:rPr>
          <w:rFonts w:ascii="Times New Roman" w:hAnsi="Times New Roman" w:cs="Times New Roman"/>
          <w:sz w:val="22"/>
        </w:rPr>
        <w:t>S</w:t>
      </w:r>
      <w:r w:rsidR="000712D9">
        <w:rPr>
          <w:rFonts w:ascii="Times New Roman" w:hAnsi="Times New Roman" w:cs="Times New Roman"/>
          <w:sz w:val="22"/>
        </w:rPr>
        <w:t>trydom</w:t>
      </w:r>
      <w:r w:rsidR="00363591">
        <w:rPr>
          <w:rFonts w:ascii="Times New Roman" w:hAnsi="Times New Roman" w:cs="Times New Roman"/>
          <w:sz w:val="22"/>
        </w:rPr>
        <w:t>,</w:t>
      </w:r>
      <w:r w:rsidR="000712D9">
        <w:rPr>
          <w:rFonts w:ascii="Times New Roman" w:hAnsi="Times New Roman" w:cs="Times New Roman"/>
          <w:sz w:val="22"/>
        </w:rPr>
        <w:t xml:space="preserve"> Christison</w:t>
      </w:r>
      <w:r w:rsidR="00363591">
        <w:rPr>
          <w:rFonts w:ascii="Times New Roman" w:hAnsi="Times New Roman" w:cs="Times New Roman"/>
          <w:sz w:val="22"/>
        </w:rPr>
        <w:t>,</w:t>
      </w:r>
      <w:r w:rsidR="000712D9">
        <w:rPr>
          <w:rFonts w:ascii="Times New Roman" w:hAnsi="Times New Roman" w:cs="Times New Roman"/>
          <w:sz w:val="22"/>
        </w:rPr>
        <w:t xml:space="preserve"> &amp;</w:t>
      </w:r>
      <w:r w:rsidR="000712D9" w:rsidRPr="000712D9">
        <w:rPr>
          <w:rFonts w:ascii="Times New Roman" w:hAnsi="Times New Roman" w:cs="Times New Roman"/>
          <w:sz w:val="22"/>
        </w:rPr>
        <w:t xml:space="preserve"> Matias, 2009)</w:t>
      </w:r>
      <w:r w:rsidR="00AB6321" w:rsidRPr="003A1203">
        <w:rPr>
          <w:rFonts w:ascii="Times New Roman" w:hAnsi="Times New Roman" w:cs="Times New Roman"/>
          <w:sz w:val="22"/>
        </w:rPr>
        <w:t xml:space="preserve">. </w:t>
      </w:r>
      <w:r w:rsidR="009228CF" w:rsidRPr="003A1203">
        <w:rPr>
          <w:rFonts w:ascii="Times New Roman" w:hAnsi="Times New Roman" w:cs="Times New Roman"/>
          <w:sz w:val="22"/>
        </w:rPr>
        <w:t>While BBBEE has made major progress in reducing levels of inequality, it is still evident that plenty of work still needs to be done in getting the economy to a stage that ensures</w:t>
      </w:r>
      <w:r w:rsidR="0016568F">
        <w:rPr>
          <w:rFonts w:ascii="Times New Roman" w:hAnsi="Times New Roman" w:cs="Times New Roman"/>
          <w:sz w:val="22"/>
        </w:rPr>
        <w:t xml:space="preserve"> proper equality </w:t>
      </w:r>
      <w:r>
        <w:rPr>
          <w:rFonts w:ascii="Times New Roman" w:hAnsi="Times New Roman" w:cs="Times New Roman"/>
          <w:sz w:val="22"/>
        </w:rPr>
        <w:t>between</w:t>
      </w:r>
      <w:r w:rsidR="009228CF" w:rsidRPr="003A1203">
        <w:rPr>
          <w:rFonts w:ascii="Times New Roman" w:hAnsi="Times New Roman" w:cs="Times New Roman"/>
          <w:sz w:val="22"/>
        </w:rPr>
        <w:t xml:space="preserve"> all participants. </w:t>
      </w:r>
      <w:r w:rsidR="004E3F08" w:rsidRPr="003A1203">
        <w:rPr>
          <w:rFonts w:ascii="Times New Roman" w:hAnsi="Times New Roman" w:cs="Times New Roman"/>
          <w:sz w:val="22"/>
        </w:rPr>
        <w:t>This has</w:t>
      </w:r>
      <w:r w:rsidR="000712D9">
        <w:rPr>
          <w:rFonts w:ascii="Times New Roman" w:hAnsi="Times New Roman" w:cs="Times New Roman"/>
          <w:sz w:val="22"/>
        </w:rPr>
        <w:t xml:space="preserve"> also</w:t>
      </w:r>
      <w:r w:rsidR="004E3F08" w:rsidRPr="003A1203">
        <w:rPr>
          <w:rFonts w:ascii="Times New Roman" w:hAnsi="Times New Roman" w:cs="Times New Roman"/>
          <w:sz w:val="22"/>
        </w:rPr>
        <w:t xml:space="preserve"> been recognised by legislators who have </w:t>
      </w:r>
      <w:r>
        <w:rPr>
          <w:rFonts w:ascii="Times New Roman" w:hAnsi="Times New Roman" w:cs="Times New Roman"/>
          <w:sz w:val="22"/>
        </w:rPr>
        <w:t>consistently</w:t>
      </w:r>
      <w:r w:rsidR="004E3F08" w:rsidRPr="003A1203">
        <w:rPr>
          <w:rFonts w:ascii="Times New Roman" w:hAnsi="Times New Roman" w:cs="Times New Roman"/>
          <w:sz w:val="22"/>
        </w:rPr>
        <w:t xml:space="preserve"> made adjustments to BBBEE re</w:t>
      </w:r>
      <w:r w:rsidR="00CA63C2" w:rsidRPr="003A1203">
        <w:rPr>
          <w:rFonts w:ascii="Times New Roman" w:hAnsi="Times New Roman" w:cs="Times New Roman"/>
          <w:sz w:val="22"/>
        </w:rPr>
        <w:t>gulation so as to ensure effective</w:t>
      </w:r>
      <w:r w:rsidR="000712D9">
        <w:rPr>
          <w:rFonts w:ascii="Times New Roman" w:hAnsi="Times New Roman" w:cs="Times New Roman"/>
          <w:sz w:val="22"/>
        </w:rPr>
        <w:t xml:space="preserve"> transformation</w:t>
      </w:r>
      <w:r w:rsidR="0069559F">
        <w:rPr>
          <w:rFonts w:ascii="Times New Roman" w:hAnsi="Times New Roman" w:cs="Times New Roman"/>
          <w:sz w:val="22"/>
        </w:rPr>
        <w:t xml:space="preserve"> is taking place </w:t>
      </w:r>
      <w:r>
        <w:rPr>
          <w:rFonts w:ascii="Times New Roman" w:hAnsi="Times New Roman" w:cs="Times New Roman"/>
          <w:sz w:val="22"/>
        </w:rPr>
        <w:t>on a continuous basis</w:t>
      </w:r>
      <w:r w:rsidR="00CA63C2" w:rsidRPr="003A1203">
        <w:rPr>
          <w:rFonts w:ascii="Times New Roman" w:hAnsi="Times New Roman" w:cs="Times New Roman"/>
          <w:sz w:val="22"/>
        </w:rPr>
        <w:t>.</w:t>
      </w:r>
    </w:p>
    <w:p w14:paraId="2414C410" w14:textId="3860A9EB" w:rsidR="006B7584" w:rsidRPr="003A1203" w:rsidRDefault="00CA63C2" w:rsidP="00536234">
      <w:pPr>
        <w:spacing w:line="480" w:lineRule="auto"/>
        <w:ind w:left="0"/>
        <w:rPr>
          <w:rFonts w:ascii="Times New Roman" w:hAnsi="Times New Roman" w:cs="Times New Roman"/>
          <w:sz w:val="22"/>
        </w:rPr>
      </w:pPr>
      <w:r w:rsidRPr="003A1203">
        <w:rPr>
          <w:rFonts w:ascii="Times New Roman" w:hAnsi="Times New Roman" w:cs="Times New Roman"/>
          <w:sz w:val="22"/>
        </w:rPr>
        <w:t>An example of what BBBEE</w:t>
      </w:r>
      <w:r w:rsidR="00DC6A6A">
        <w:rPr>
          <w:rFonts w:ascii="Times New Roman" w:hAnsi="Times New Roman" w:cs="Times New Roman"/>
          <w:sz w:val="22"/>
        </w:rPr>
        <w:t xml:space="preserve"> still</w:t>
      </w:r>
      <w:r w:rsidRPr="003A1203">
        <w:rPr>
          <w:rFonts w:ascii="Times New Roman" w:hAnsi="Times New Roman" w:cs="Times New Roman"/>
          <w:sz w:val="22"/>
        </w:rPr>
        <w:t xml:space="preserve"> </w:t>
      </w:r>
      <w:r w:rsidR="0069559F">
        <w:rPr>
          <w:rFonts w:ascii="Times New Roman" w:hAnsi="Times New Roman" w:cs="Times New Roman"/>
          <w:sz w:val="22"/>
        </w:rPr>
        <w:t xml:space="preserve">remains committed to </w:t>
      </w:r>
      <w:r w:rsidRPr="003A1203">
        <w:rPr>
          <w:rFonts w:ascii="Times New Roman" w:hAnsi="Times New Roman" w:cs="Times New Roman"/>
          <w:sz w:val="22"/>
        </w:rPr>
        <w:t>correcting is</w:t>
      </w:r>
      <w:r w:rsidR="003825AF" w:rsidRPr="003A1203">
        <w:rPr>
          <w:rFonts w:ascii="Times New Roman" w:hAnsi="Times New Roman" w:cs="Times New Roman"/>
          <w:sz w:val="22"/>
        </w:rPr>
        <w:t xml:space="preserve"> seen in the fact that the total B</w:t>
      </w:r>
      <w:r w:rsidR="009228CF" w:rsidRPr="003A1203">
        <w:rPr>
          <w:rFonts w:ascii="Times New Roman" w:hAnsi="Times New Roman" w:cs="Times New Roman"/>
          <w:sz w:val="22"/>
        </w:rPr>
        <w:t>lack</w:t>
      </w:r>
      <w:r w:rsidR="006B7584" w:rsidRPr="003A1203">
        <w:rPr>
          <w:rFonts w:ascii="Times New Roman" w:hAnsi="Times New Roman" w:cs="Times New Roman"/>
          <w:sz w:val="22"/>
        </w:rPr>
        <w:t xml:space="preserve"> ownership of shares traded on the Johannesburg Securities Exchange (JSE) </w:t>
      </w:r>
      <w:r w:rsidR="003825AF" w:rsidRPr="003A1203">
        <w:rPr>
          <w:rFonts w:ascii="Times New Roman" w:hAnsi="Times New Roman" w:cs="Times New Roman"/>
          <w:sz w:val="22"/>
        </w:rPr>
        <w:t>ha</w:t>
      </w:r>
      <w:r w:rsidR="0069559F">
        <w:rPr>
          <w:rFonts w:ascii="Times New Roman" w:hAnsi="Times New Roman" w:cs="Times New Roman"/>
          <w:sz w:val="22"/>
        </w:rPr>
        <w:t>ve</w:t>
      </w:r>
      <w:r w:rsidR="003825AF" w:rsidRPr="003A1203">
        <w:rPr>
          <w:rFonts w:ascii="Times New Roman" w:hAnsi="Times New Roman" w:cs="Times New Roman"/>
          <w:sz w:val="22"/>
        </w:rPr>
        <w:t xml:space="preserve"> been shown to </w:t>
      </w:r>
      <w:r w:rsidR="0056278E">
        <w:rPr>
          <w:rFonts w:ascii="Times New Roman" w:hAnsi="Times New Roman" w:cs="Times New Roman"/>
          <w:sz w:val="22"/>
        </w:rPr>
        <w:t xml:space="preserve">amount </w:t>
      </w:r>
      <w:r w:rsidR="009228CF" w:rsidRPr="003A1203">
        <w:rPr>
          <w:rFonts w:ascii="Times New Roman" w:hAnsi="Times New Roman" w:cs="Times New Roman"/>
          <w:sz w:val="22"/>
        </w:rPr>
        <w:t>to</w:t>
      </w:r>
      <w:r w:rsidR="0056278E">
        <w:rPr>
          <w:rFonts w:ascii="Times New Roman" w:hAnsi="Times New Roman" w:cs="Times New Roman"/>
          <w:sz w:val="22"/>
        </w:rPr>
        <w:t xml:space="preserve"> only 23%</w:t>
      </w:r>
      <w:r w:rsidR="006B7584" w:rsidRPr="003A1203">
        <w:rPr>
          <w:rFonts w:ascii="Times New Roman" w:hAnsi="Times New Roman" w:cs="Times New Roman"/>
          <w:sz w:val="22"/>
        </w:rPr>
        <w:t xml:space="preserve"> in 2013</w:t>
      </w:r>
      <w:r w:rsidR="009228CF" w:rsidRPr="003A1203">
        <w:rPr>
          <w:rFonts w:ascii="Times New Roman" w:hAnsi="Times New Roman" w:cs="Times New Roman"/>
          <w:sz w:val="22"/>
        </w:rPr>
        <w:t>. This is</w:t>
      </w:r>
      <w:r w:rsidR="006B7584" w:rsidRPr="003A1203">
        <w:rPr>
          <w:rFonts w:ascii="Times New Roman" w:hAnsi="Times New Roman" w:cs="Times New Roman"/>
          <w:sz w:val="22"/>
        </w:rPr>
        <w:t xml:space="preserve"> despite</w:t>
      </w:r>
      <w:r w:rsidR="009228CF" w:rsidRPr="003A1203">
        <w:rPr>
          <w:rFonts w:ascii="Times New Roman" w:hAnsi="Times New Roman" w:cs="Times New Roman"/>
          <w:sz w:val="22"/>
        </w:rPr>
        <w:t xml:space="preserve"> the fact that Black Africans</w:t>
      </w:r>
      <w:r w:rsidR="006B7584" w:rsidRPr="003A1203">
        <w:rPr>
          <w:rFonts w:ascii="Times New Roman" w:hAnsi="Times New Roman" w:cs="Times New Roman"/>
          <w:sz w:val="22"/>
        </w:rPr>
        <w:t xml:space="preserve"> </w:t>
      </w:r>
      <w:r w:rsidR="009228CF" w:rsidRPr="003A1203">
        <w:rPr>
          <w:rFonts w:ascii="Times New Roman" w:hAnsi="Times New Roman" w:cs="Times New Roman"/>
          <w:sz w:val="22"/>
        </w:rPr>
        <w:t>make up</w:t>
      </w:r>
      <w:r w:rsidR="006B7584" w:rsidRPr="003A1203">
        <w:rPr>
          <w:rFonts w:ascii="Times New Roman" w:hAnsi="Times New Roman" w:cs="Times New Roman"/>
          <w:sz w:val="22"/>
        </w:rPr>
        <w:t xml:space="preserve"> over 90% of the</w:t>
      </w:r>
      <w:r w:rsidR="009228CF" w:rsidRPr="003A1203">
        <w:rPr>
          <w:rFonts w:ascii="Times New Roman" w:hAnsi="Times New Roman" w:cs="Times New Roman"/>
          <w:sz w:val="22"/>
        </w:rPr>
        <w:t xml:space="preserve"> South African</w:t>
      </w:r>
      <w:r w:rsidR="006B7584" w:rsidRPr="003A1203">
        <w:rPr>
          <w:rFonts w:ascii="Times New Roman" w:hAnsi="Times New Roman" w:cs="Times New Roman"/>
          <w:sz w:val="22"/>
        </w:rPr>
        <w:t xml:space="preserve"> population (Atherfold, 2015). </w:t>
      </w:r>
      <w:r w:rsidR="00B42CE5">
        <w:rPr>
          <w:rFonts w:ascii="Times New Roman" w:hAnsi="Times New Roman" w:cs="Times New Roman"/>
          <w:sz w:val="22"/>
        </w:rPr>
        <w:t>While much has already been done through initiatives that will be discussed later on</w:t>
      </w:r>
      <w:r w:rsidR="0016568F">
        <w:rPr>
          <w:rFonts w:ascii="Times New Roman" w:hAnsi="Times New Roman" w:cs="Times New Roman"/>
          <w:sz w:val="22"/>
        </w:rPr>
        <w:t xml:space="preserve"> in this section</w:t>
      </w:r>
      <w:r w:rsidR="00B42CE5">
        <w:rPr>
          <w:rFonts w:ascii="Times New Roman" w:hAnsi="Times New Roman" w:cs="Times New Roman"/>
          <w:sz w:val="22"/>
        </w:rPr>
        <w:t>, this figure still</w:t>
      </w:r>
      <w:r w:rsidR="006B7584" w:rsidRPr="003A1203">
        <w:rPr>
          <w:rFonts w:ascii="Times New Roman" w:hAnsi="Times New Roman" w:cs="Times New Roman"/>
          <w:sz w:val="22"/>
        </w:rPr>
        <w:t xml:space="preserve"> highlights the need for continued transformation within the South African economy</w:t>
      </w:r>
      <w:r w:rsidR="009228CF" w:rsidRPr="003A1203">
        <w:rPr>
          <w:rFonts w:ascii="Times New Roman" w:hAnsi="Times New Roman" w:cs="Times New Roman"/>
          <w:sz w:val="22"/>
        </w:rPr>
        <w:t>, particularly from the angle of improving transformation at ownership level</w:t>
      </w:r>
      <w:r w:rsidR="006B7584" w:rsidRPr="003A1203">
        <w:rPr>
          <w:rFonts w:ascii="Times New Roman" w:hAnsi="Times New Roman" w:cs="Times New Roman"/>
          <w:sz w:val="22"/>
        </w:rPr>
        <w:t>.</w:t>
      </w:r>
      <w:r w:rsidRPr="003A1203">
        <w:rPr>
          <w:rFonts w:ascii="Times New Roman" w:hAnsi="Times New Roman" w:cs="Times New Roman"/>
          <w:sz w:val="22"/>
        </w:rPr>
        <w:t xml:space="preserve"> It also further justifies the continuous change</w:t>
      </w:r>
      <w:r w:rsidR="00C81E31">
        <w:rPr>
          <w:rFonts w:ascii="Times New Roman" w:hAnsi="Times New Roman" w:cs="Times New Roman"/>
          <w:sz w:val="22"/>
        </w:rPr>
        <w:t>s</w:t>
      </w:r>
      <w:r w:rsidRPr="003A1203">
        <w:rPr>
          <w:rFonts w:ascii="Times New Roman" w:hAnsi="Times New Roman" w:cs="Times New Roman"/>
          <w:sz w:val="22"/>
        </w:rPr>
        <w:t xml:space="preserve"> </w:t>
      </w:r>
      <w:r w:rsidR="0069559F">
        <w:rPr>
          <w:rFonts w:ascii="Times New Roman" w:hAnsi="Times New Roman" w:cs="Times New Roman"/>
          <w:sz w:val="22"/>
        </w:rPr>
        <w:t>being made to regulation so as</w:t>
      </w:r>
      <w:r w:rsidR="0056278E">
        <w:rPr>
          <w:rFonts w:ascii="Times New Roman" w:hAnsi="Times New Roman" w:cs="Times New Roman"/>
          <w:sz w:val="22"/>
        </w:rPr>
        <w:t xml:space="preserve"> to ensure</w:t>
      </w:r>
      <w:r w:rsidRPr="003A1203">
        <w:rPr>
          <w:rFonts w:ascii="Times New Roman" w:hAnsi="Times New Roman" w:cs="Times New Roman"/>
          <w:sz w:val="22"/>
        </w:rPr>
        <w:t xml:space="preserve"> fair and progressive change </w:t>
      </w:r>
      <w:r w:rsidR="009E2CC7">
        <w:rPr>
          <w:rFonts w:ascii="Times New Roman" w:hAnsi="Times New Roman" w:cs="Times New Roman"/>
          <w:sz w:val="22"/>
        </w:rPr>
        <w:t>(</w:t>
      </w:r>
      <w:r w:rsidR="00A53B61">
        <w:rPr>
          <w:rFonts w:ascii="Times New Roman" w:hAnsi="Times New Roman" w:cs="Times New Roman"/>
          <w:sz w:val="22"/>
        </w:rPr>
        <w:t>Amended Act</w:t>
      </w:r>
      <w:r w:rsidR="00363591">
        <w:rPr>
          <w:rFonts w:ascii="Times New Roman" w:hAnsi="Times New Roman" w:cs="Times New Roman"/>
          <w:sz w:val="22"/>
        </w:rPr>
        <w:t>,</w:t>
      </w:r>
      <w:r w:rsidR="009E2CC7" w:rsidRPr="009E2CC7">
        <w:rPr>
          <w:rFonts w:ascii="Times New Roman" w:hAnsi="Times New Roman" w:cs="Times New Roman"/>
          <w:sz w:val="22"/>
        </w:rPr>
        <w:t xml:space="preserve"> 2013</w:t>
      </w:r>
      <w:r w:rsidR="009E2CC7">
        <w:rPr>
          <w:rFonts w:ascii="Times New Roman" w:hAnsi="Times New Roman" w:cs="Times New Roman"/>
          <w:sz w:val="22"/>
        </w:rPr>
        <w:t>)</w:t>
      </w:r>
      <w:r w:rsidRPr="003A1203">
        <w:rPr>
          <w:rFonts w:ascii="Times New Roman" w:hAnsi="Times New Roman" w:cs="Times New Roman"/>
          <w:sz w:val="22"/>
        </w:rPr>
        <w:t>.</w:t>
      </w:r>
      <w:r w:rsidR="006B7584" w:rsidRPr="003A1203">
        <w:rPr>
          <w:rFonts w:ascii="Times New Roman" w:hAnsi="Times New Roman" w:cs="Times New Roman"/>
          <w:sz w:val="22"/>
        </w:rPr>
        <w:t xml:space="preserve"> </w:t>
      </w:r>
    </w:p>
    <w:p w14:paraId="4BB25322" w14:textId="77777777" w:rsidR="006B7584" w:rsidRPr="00095351" w:rsidRDefault="009A04FC" w:rsidP="00536234">
      <w:pPr>
        <w:pStyle w:val="Heading3"/>
        <w:ind w:left="0"/>
        <w:rPr>
          <w:rFonts w:ascii="Times New Roman" w:hAnsi="Times New Roman" w:cs="Times New Roman"/>
          <w:i/>
          <w:color w:val="auto"/>
          <w:sz w:val="22"/>
        </w:rPr>
      </w:pPr>
      <w:bookmarkStart w:id="7" w:name="_Toc506717753"/>
      <w:r>
        <w:rPr>
          <w:rFonts w:ascii="Times New Roman" w:hAnsi="Times New Roman" w:cs="Times New Roman"/>
          <w:i/>
          <w:color w:val="auto"/>
          <w:sz w:val="22"/>
        </w:rPr>
        <w:lastRenderedPageBreak/>
        <w:t>1.1.2</w:t>
      </w:r>
      <w:r>
        <w:rPr>
          <w:rFonts w:ascii="Times New Roman" w:hAnsi="Times New Roman" w:cs="Times New Roman"/>
          <w:i/>
          <w:color w:val="auto"/>
          <w:sz w:val="22"/>
        </w:rPr>
        <w:tab/>
      </w:r>
      <w:r w:rsidR="006B7584" w:rsidRPr="00095351">
        <w:rPr>
          <w:rFonts w:ascii="Times New Roman" w:hAnsi="Times New Roman" w:cs="Times New Roman"/>
          <w:i/>
          <w:color w:val="auto"/>
          <w:sz w:val="22"/>
        </w:rPr>
        <w:t>Broad-Based Black Economic Empowerment</w:t>
      </w:r>
      <w:r w:rsidR="009228CF" w:rsidRPr="00095351">
        <w:rPr>
          <w:rFonts w:ascii="Times New Roman" w:hAnsi="Times New Roman" w:cs="Times New Roman"/>
          <w:i/>
          <w:color w:val="auto"/>
          <w:sz w:val="22"/>
        </w:rPr>
        <w:t xml:space="preserve"> throughout the Years</w:t>
      </w:r>
      <w:bookmarkEnd w:id="7"/>
    </w:p>
    <w:p w14:paraId="132C1778" w14:textId="77777777" w:rsidR="00CA63C2"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initial introduction of BBBEE</w:t>
      </w:r>
      <w:r w:rsidR="00B42CE5">
        <w:rPr>
          <w:rFonts w:ascii="Times New Roman" w:hAnsi="Times New Roman" w:cs="Times New Roman"/>
          <w:sz w:val="22"/>
        </w:rPr>
        <w:t xml:space="preserve"> post the end of the Apartheid era</w:t>
      </w:r>
      <w:r w:rsidRPr="003A1203">
        <w:rPr>
          <w:rFonts w:ascii="Times New Roman" w:hAnsi="Times New Roman" w:cs="Times New Roman"/>
          <w:sz w:val="22"/>
        </w:rPr>
        <w:t>, even though not yet legislated at this time, had an immediate impact on the way companies conducted their business.</w:t>
      </w:r>
      <w:r w:rsidR="00CA63C2" w:rsidRPr="003A1203">
        <w:rPr>
          <w:rFonts w:ascii="Times New Roman" w:hAnsi="Times New Roman" w:cs="Times New Roman"/>
          <w:sz w:val="22"/>
        </w:rPr>
        <w:t xml:space="preserve"> Companies were eager to make the change</w:t>
      </w:r>
      <w:r w:rsidR="0056278E">
        <w:rPr>
          <w:rFonts w:ascii="Times New Roman" w:hAnsi="Times New Roman" w:cs="Times New Roman"/>
          <w:sz w:val="22"/>
        </w:rPr>
        <w:t xml:space="preserve"> to an inclusive economy,</w:t>
      </w:r>
      <w:r w:rsidR="00CA63C2" w:rsidRPr="003A1203">
        <w:rPr>
          <w:rFonts w:ascii="Times New Roman" w:hAnsi="Times New Roman" w:cs="Times New Roman"/>
          <w:sz w:val="22"/>
        </w:rPr>
        <w:t xml:space="preserve"> as they recognised its goals and supported its objectives. This is d</w:t>
      </w:r>
      <w:r w:rsidRPr="003A1203">
        <w:rPr>
          <w:rFonts w:ascii="Times New Roman" w:hAnsi="Times New Roman" w:cs="Times New Roman"/>
          <w:sz w:val="22"/>
        </w:rPr>
        <w:t>espite the fact that it</w:t>
      </w:r>
      <w:r w:rsidR="00EB0989">
        <w:rPr>
          <w:rFonts w:ascii="Times New Roman" w:hAnsi="Times New Roman" w:cs="Times New Roman"/>
          <w:sz w:val="22"/>
        </w:rPr>
        <w:t xml:space="preserve"> </w:t>
      </w:r>
      <w:r w:rsidRPr="003A1203">
        <w:rPr>
          <w:rFonts w:ascii="Times New Roman" w:hAnsi="Times New Roman" w:cs="Times New Roman"/>
          <w:sz w:val="22"/>
        </w:rPr>
        <w:t>was only voluntary at this time</w:t>
      </w:r>
      <w:r w:rsidR="00CA63C2" w:rsidRPr="003A1203">
        <w:rPr>
          <w:rFonts w:ascii="Times New Roman" w:hAnsi="Times New Roman" w:cs="Times New Roman"/>
          <w:sz w:val="22"/>
        </w:rPr>
        <w:t>, which sho</w:t>
      </w:r>
      <w:r w:rsidR="00EB0989">
        <w:rPr>
          <w:rFonts w:ascii="Times New Roman" w:hAnsi="Times New Roman" w:cs="Times New Roman"/>
          <w:sz w:val="22"/>
        </w:rPr>
        <w:t>wed</w:t>
      </w:r>
      <w:r w:rsidR="00477558" w:rsidRPr="003A1203">
        <w:rPr>
          <w:rFonts w:ascii="Times New Roman" w:hAnsi="Times New Roman" w:cs="Times New Roman"/>
          <w:sz w:val="22"/>
        </w:rPr>
        <w:t xml:space="preserve"> the high level of support coming from those companies affected by </w:t>
      </w:r>
      <w:r w:rsidR="0056278E">
        <w:rPr>
          <w:rFonts w:ascii="Times New Roman" w:hAnsi="Times New Roman" w:cs="Times New Roman"/>
          <w:sz w:val="22"/>
        </w:rPr>
        <w:t xml:space="preserve">what would, in 2003, </w:t>
      </w:r>
      <w:r w:rsidR="00EB0989">
        <w:rPr>
          <w:rFonts w:ascii="Times New Roman" w:hAnsi="Times New Roman" w:cs="Times New Roman"/>
          <w:sz w:val="22"/>
        </w:rPr>
        <w:t>become a regulatory change</w:t>
      </w:r>
      <w:r w:rsidR="00CA63C2" w:rsidRPr="003A1203">
        <w:rPr>
          <w:rFonts w:ascii="Times New Roman" w:hAnsi="Times New Roman" w:cs="Times New Roman"/>
          <w:sz w:val="22"/>
        </w:rPr>
        <w:t xml:space="preserve">. </w:t>
      </w:r>
    </w:p>
    <w:p w14:paraId="1D8D2173" w14:textId="77777777" w:rsidR="00321BE5"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 </w:t>
      </w:r>
      <w:r w:rsidR="00CA63C2" w:rsidRPr="003A1203">
        <w:rPr>
          <w:rFonts w:ascii="Times New Roman" w:hAnsi="Times New Roman" w:cs="Times New Roman"/>
          <w:sz w:val="22"/>
        </w:rPr>
        <w:t xml:space="preserve">Upon reading this early </w:t>
      </w:r>
      <w:r w:rsidR="00EB0989">
        <w:rPr>
          <w:rFonts w:ascii="Times New Roman" w:hAnsi="Times New Roman" w:cs="Times New Roman"/>
          <w:sz w:val="22"/>
        </w:rPr>
        <w:t>directive</w:t>
      </w:r>
      <w:r w:rsidR="0016568F">
        <w:rPr>
          <w:rFonts w:ascii="Times New Roman" w:hAnsi="Times New Roman" w:cs="Times New Roman"/>
          <w:sz w:val="22"/>
        </w:rPr>
        <w:t>, and mentioned before,</w:t>
      </w:r>
      <w:r w:rsidR="00EB0989" w:rsidRPr="003A1203">
        <w:rPr>
          <w:rFonts w:ascii="Times New Roman" w:hAnsi="Times New Roman" w:cs="Times New Roman"/>
          <w:sz w:val="22"/>
        </w:rPr>
        <w:t xml:space="preserve"> </w:t>
      </w:r>
      <w:r w:rsidR="00CA63C2" w:rsidRPr="003A1203">
        <w:rPr>
          <w:rFonts w:ascii="Times New Roman" w:hAnsi="Times New Roman" w:cs="Times New Roman"/>
          <w:sz w:val="22"/>
        </w:rPr>
        <w:t>it</w:t>
      </w:r>
      <w:r w:rsidR="00321BE5" w:rsidRPr="003A1203">
        <w:rPr>
          <w:rFonts w:ascii="Times New Roman" w:hAnsi="Times New Roman" w:cs="Times New Roman"/>
          <w:sz w:val="22"/>
        </w:rPr>
        <w:t xml:space="preserve"> can</w:t>
      </w:r>
      <w:r w:rsidR="00CA63C2" w:rsidRPr="003A1203">
        <w:rPr>
          <w:rFonts w:ascii="Times New Roman" w:hAnsi="Times New Roman" w:cs="Times New Roman"/>
          <w:sz w:val="22"/>
        </w:rPr>
        <w:t xml:space="preserve"> be seen that regulators believed that th</w:t>
      </w:r>
      <w:r w:rsidR="00321BE5" w:rsidRPr="003A1203">
        <w:rPr>
          <w:rFonts w:ascii="Times New Roman" w:hAnsi="Times New Roman" w:cs="Times New Roman"/>
          <w:sz w:val="22"/>
        </w:rPr>
        <w:t>e most effective way of enacting</w:t>
      </w:r>
      <w:r w:rsidR="00CA63C2" w:rsidRPr="003A1203">
        <w:rPr>
          <w:rFonts w:ascii="Times New Roman" w:hAnsi="Times New Roman" w:cs="Times New Roman"/>
          <w:sz w:val="22"/>
        </w:rPr>
        <w:t xml:space="preserve"> change would be through</w:t>
      </w:r>
      <w:r w:rsidR="00EB0989">
        <w:rPr>
          <w:rFonts w:ascii="Times New Roman" w:hAnsi="Times New Roman" w:cs="Times New Roman"/>
          <w:sz w:val="22"/>
        </w:rPr>
        <w:t xml:space="preserve"> achieving</w:t>
      </w:r>
      <w:r w:rsidR="00321BE5" w:rsidRPr="003A1203">
        <w:rPr>
          <w:rFonts w:ascii="Times New Roman" w:hAnsi="Times New Roman" w:cs="Times New Roman"/>
          <w:sz w:val="22"/>
        </w:rPr>
        <w:t xml:space="preserve"> an</w:t>
      </w:r>
      <w:r w:rsidR="00CA63C2" w:rsidRPr="003A1203">
        <w:rPr>
          <w:rFonts w:ascii="Times New Roman" w:hAnsi="Times New Roman" w:cs="Times New Roman"/>
          <w:sz w:val="22"/>
        </w:rPr>
        <w:t xml:space="preserve"> </w:t>
      </w:r>
      <w:r w:rsidR="00321BE5" w:rsidRPr="003A1203">
        <w:rPr>
          <w:rFonts w:ascii="Times New Roman" w:hAnsi="Times New Roman" w:cs="Times New Roman"/>
          <w:sz w:val="22"/>
        </w:rPr>
        <w:t>increase in the</w:t>
      </w:r>
      <w:r w:rsidR="003825AF" w:rsidRPr="003A1203">
        <w:rPr>
          <w:rFonts w:ascii="Times New Roman" w:hAnsi="Times New Roman" w:cs="Times New Roman"/>
          <w:sz w:val="22"/>
        </w:rPr>
        <w:t xml:space="preserve"> B</w:t>
      </w:r>
      <w:r w:rsidRPr="003A1203">
        <w:rPr>
          <w:rFonts w:ascii="Times New Roman" w:hAnsi="Times New Roman" w:cs="Times New Roman"/>
          <w:sz w:val="22"/>
        </w:rPr>
        <w:t>lack ownership</w:t>
      </w:r>
      <w:r w:rsidR="00321BE5" w:rsidRPr="003A1203">
        <w:rPr>
          <w:rFonts w:ascii="Times New Roman" w:hAnsi="Times New Roman" w:cs="Times New Roman"/>
          <w:sz w:val="22"/>
        </w:rPr>
        <w:t xml:space="preserve"> levels</w:t>
      </w:r>
      <w:r w:rsidRPr="003A1203">
        <w:rPr>
          <w:rFonts w:ascii="Times New Roman" w:hAnsi="Times New Roman" w:cs="Times New Roman"/>
          <w:sz w:val="22"/>
        </w:rPr>
        <w:t xml:space="preserve"> of companies</w:t>
      </w:r>
      <w:r w:rsidR="00321BE5" w:rsidRPr="003A1203">
        <w:rPr>
          <w:rFonts w:ascii="Times New Roman" w:hAnsi="Times New Roman" w:cs="Times New Roman"/>
          <w:sz w:val="22"/>
        </w:rPr>
        <w:t xml:space="preserve"> (Engdahl &amp;</w:t>
      </w:r>
      <w:r w:rsidRPr="003A1203">
        <w:rPr>
          <w:rFonts w:ascii="Times New Roman" w:hAnsi="Times New Roman" w:cs="Times New Roman"/>
          <w:sz w:val="22"/>
        </w:rPr>
        <w:t xml:space="preserve"> Hauki, 2001).</w:t>
      </w:r>
      <w:r w:rsidR="00321BE5" w:rsidRPr="003A1203">
        <w:rPr>
          <w:rFonts w:ascii="Times New Roman" w:hAnsi="Times New Roman" w:cs="Times New Roman"/>
          <w:sz w:val="22"/>
        </w:rPr>
        <w:t xml:space="preserve"> As such,</w:t>
      </w:r>
      <w:r w:rsidRPr="003A1203">
        <w:rPr>
          <w:rFonts w:ascii="Times New Roman" w:hAnsi="Times New Roman" w:cs="Times New Roman"/>
          <w:sz w:val="22"/>
        </w:rPr>
        <w:t xml:space="preserve"> BBBEE deals </w:t>
      </w:r>
      <w:r w:rsidR="00321BE5" w:rsidRPr="003A1203">
        <w:rPr>
          <w:rFonts w:ascii="Times New Roman" w:hAnsi="Times New Roman" w:cs="Times New Roman"/>
          <w:sz w:val="22"/>
        </w:rPr>
        <w:t>were identified as a way of achieving this</w:t>
      </w:r>
      <w:r w:rsidRPr="003A1203">
        <w:rPr>
          <w:rFonts w:ascii="Times New Roman" w:hAnsi="Times New Roman" w:cs="Times New Roman"/>
          <w:sz w:val="22"/>
        </w:rPr>
        <w:t xml:space="preserve"> </w:t>
      </w:r>
      <w:r w:rsidR="0056278E">
        <w:rPr>
          <w:rFonts w:ascii="Times New Roman" w:hAnsi="Times New Roman" w:cs="Times New Roman"/>
          <w:sz w:val="22"/>
        </w:rPr>
        <w:t xml:space="preserve">change </w:t>
      </w:r>
      <w:r w:rsidRPr="003A1203">
        <w:rPr>
          <w:rFonts w:ascii="Times New Roman" w:hAnsi="Times New Roman" w:cs="Times New Roman"/>
          <w:sz w:val="22"/>
        </w:rPr>
        <w:t>(Wolmarans</w:t>
      </w:r>
      <w:r w:rsidR="00321BE5" w:rsidRPr="003A1203">
        <w:rPr>
          <w:rFonts w:ascii="Times New Roman" w:hAnsi="Times New Roman" w:cs="Times New Roman"/>
          <w:sz w:val="22"/>
        </w:rPr>
        <w:t xml:space="preserve"> &amp;</w:t>
      </w:r>
      <w:r w:rsidRPr="003A1203">
        <w:rPr>
          <w:rFonts w:ascii="Times New Roman" w:hAnsi="Times New Roman" w:cs="Times New Roman"/>
          <w:sz w:val="22"/>
        </w:rPr>
        <w:t xml:space="preserve"> Satorius, 2009). </w:t>
      </w:r>
      <w:r w:rsidR="00321BE5" w:rsidRPr="003A1203">
        <w:rPr>
          <w:rFonts w:ascii="Times New Roman" w:hAnsi="Times New Roman" w:cs="Times New Roman"/>
          <w:sz w:val="22"/>
        </w:rPr>
        <w:t xml:space="preserve"> BBBEE deals were a tool which directly targeted the main focus of regulators at the time </w:t>
      </w:r>
      <w:r w:rsidR="0016568F">
        <w:rPr>
          <w:rFonts w:ascii="Times New Roman" w:hAnsi="Times New Roman" w:cs="Times New Roman"/>
          <w:sz w:val="22"/>
        </w:rPr>
        <w:t>which was</w:t>
      </w:r>
      <w:r w:rsidR="00EB0989">
        <w:rPr>
          <w:rFonts w:ascii="Times New Roman" w:hAnsi="Times New Roman" w:cs="Times New Roman"/>
          <w:sz w:val="22"/>
        </w:rPr>
        <w:t xml:space="preserve"> to ensure that</w:t>
      </w:r>
      <w:r w:rsidR="0016568F">
        <w:rPr>
          <w:rFonts w:ascii="Times New Roman" w:hAnsi="Times New Roman" w:cs="Times New Roman"/>
          <w:sz w:val="22"/>
        </w:rPr>
        <w:t xml:space="preserve"> Black</w:t>
      </w:r>
      <w:r w:rsidR="00EB0989">
        <w:rPr>
          <w:rFonts w:ascii="Times New Roman" w:hAnsi="Times New Roman" w:cs="Times New Roman"/>
          <w:sz w:val="22"/>
        </w:rPr>
        <w:t xml:space="preserve"> beneficiaries were able to </w:t>
      </w:r>
      <w:r w:rsidR="00321BE5" w:rsidRPr="003A1203">
        <w:rPr>
          <w:rFonts w:ascii="Times New Roman" w:hAnsi="Times New Roman" w:cs="Times New Roman"/>
          <w:sz w:val="22"/>
        </w:rPr>
        <w:t xml:space="preserve">increase their ownership levels </w:t>
      </w:r>
      <w:r w:rsidR="00B42CE5">
        <w:rPr>
          <w:rFonts w:ascii="Times New Roman" w:hAnsi="Times New Roman" w:cs="Times New Roman"/>
          <w:sz w:val="22"/>
        </w:rPr>
        <w:t>in</w:t>
      </w:r>
      <w:r w:rsidR="00321BE5" w:rsidRPr="003A1203">
        <w:rPr>
          <w:rFonts w:ascii="Times New Roman" w:hAnsi="Times New Roman" w:cs="Times New Roman"/>
          <w:sz w:val="22"/>
        </w:rPr>
        <w:t xml:space="preserve"> companies. </w:t>
      </w:r>
    </w:p>
    <w:p w14:paraId="4A48FDDC" w14:textId="0A68650D" w:rsidR="00321BE5" w:rsidRPr="003A1203" w:rsidRDefault="00321BE5"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BBBEE deals </w:t>
      </w:r>
      <w:r w:rsidR="00C81E31">
        <w:rPr>
          <w:rFonts w:ascii="Times New Roman" w:hAnsi="Times New Roman" w:cs="Times New Roman"/>
          <w:sz w:val="22"/>
        </w:rPr>
        <w:t xml:space="preserve">have been </w:t>
      </w:r>
      <w:r w:rsidR="00536234">
        <w:rPr>
          <w:rFonts w:ascii="Times New Roman" w:hAnsi="Times New Roman" w:cs="Times New Roman"/>
          <w:sz w:val="22"/>
        </w:rPr>
        <w:t>highly</w:t>
      </w:r>
      <w:r w:rsidRPr="003A1203">
        <w:rPr>
          <w:rFonts w:ascii="Times New Roman" w:hAnsi="Times New Roman" w:cs="Times New Roman"/>
          <w:sz w:val="22"/>
        </w:rPr>
        <w:t xml:space="preserve"> popular from the beginning and many companies took to teaming up with BBBEE partners so as to enter into a deal of their own.</w:t>
      </w:r>
      <w:r w:rsidR="0021321A">
        <w:rPr>
          <w:rFonts w:ascii="Times New Roman" w:hAnsi="Times New Roman" w:cs="Times New Roman"/>
          <w:sz w:val="22"/>
        </w:rPr>
        <w:t xml:space="preserve"> This popularity is as a result of the fact that </w:t>
      </w:r>
      <w:r w:rsidR="0056278E">
        <w:rPr>
          <w:rFonts w:ascii="Times New Roman" w:hAnsi="Times New Roman" w:cs="Times New Roman"/>
          <w:sz w:val="22"/>
        </w:rPr>
        <w:t>it was recognised as a socially accepted way of</w:t>
      </w:r>
      <w:r w:rsidR="0021321A">
        <w:rPr>
          <w:rFonts w:ascii="Times New Roman" w:hAnsi="Times New Roman" w:cs="Times New Roman"/>
          <w:sz w:val="22"/>
        </w:rPr>
        <w:t xml:space="preserve"> demonstrat</w:t>
      </w:r>
      <w:r w:rsidR="0056278E">
        <w:rPr>
          <w:rFonts w:ascii="Times New Roman" w:hAnsi="Times New Roman" w:cs="Times New Roman"/>
          <w:sz w:val="22"/>
        </w:rPr>
        <w:t>ing</w:t>
      </w:r>
      <w:r w:rsidR="0021321A">
        <w:rPr>
          <w:rFonts w:ascii="Times New Roman" w:hAnsi="Times New Roman" w:cs="Times New Roman"/>
          <w:sz w:val="22"/>
        </w:rPr>
        <w:t xml:space="preserve"> </w:t>
      </w:r>
      <w:r w:rsidR="0056278E">
        <w:rPr>
          <w:rFonts w:ascii="Times New Roman" w:hAnsi="Times New Roman" w:cs="Times New Roman"/>
          <w:sz w:val="22"/>
        </w:rPr>
        <w:t>social</w:t>
      </w:r>
      <w:r w:rsidR="0021321A">
        <w:rPr>
          <w:rFonts w:ascii="Times New Roman" w:hAnsi="Times New Roman" w:cs="Times New Roman"/>
          <w:sz w:val="22"/>
        </w:rPr>
        <w:t xml:space="preserve"> commit</w:t>
      </w:r>
      <w:r w:rsidR="0056278E">
        <w:rPr>
          <w:rFonts w:ascii="Times New Roman" w:hAnsi="Times New Roman" w:cs="Times New Roman"/>
          <w:sz w:val="22"/>
        </w:rPr>
        <w:t>ment</w:t>
      </w:r>
      <w:r w:rsidR="0021321A">
        <w:rPr>
          <w:rFonts w:ascii="Times New Roman" w:hAnsi="Times New Roman" w:cs="Times New Roman"/>
          <w:sz w:val="22"/>
        </w:rPr>
        <w:t xml:space="preserve"> to a new South Africa</w:t>
      </w:r>
      <w:r w:rsidR="003970FC">
        <w:rPr>
          <w:rFonts w:ascii="Times New Roman" w:hAnsi="Times New Roman" w:cs="Times New Roman"/>
          <w:sz w:val="22"/>
        </w:rPr>
        <w:t>,</w:t>
      </w:r>
      <w:r w:rsidR="0021321A">
        <w:rPr>
          <w:rFonts w:ascii="Times New Roman" w:hAnsi="Times New Roman" w:cs="Times New Roman"/>
          <w:sz w:val="22"/>
        </w:rPr>
        <w:t xml:space="preserve"> and this demonstration of commitment was</w:t>
      </w:r>
      <w:r w:rsidR="0056278E">
        <w:rPr>
          <w:rFonts w:ascii="Times New Roman" w:hAnsi="Times New Roman" w:cs="Times New Roman"/>
          <w:sz w:val="22"/>
        </w:rPr>
        <w:t xml:space="preserve"> also</w:t>
      </w:r>
      <w:r w:rsidR="0021321A">
        <w:rPr>
          <w:rFonts w:ascii="Times New Roman" w:hAnsi="Times New Roman" w:cs="Times New Roman"/>
          <w:sz w:val="22"/>
        </w:rPr>
        <w:t xml:space="preserve"> commercially rewarded by various parties </w:t>
      </w:r>
      <w:r w:rsidR="0021321A" w:rsidRPr="0021321A">
        <w:rPr>
          <w:rFonts w:ascii="Times New Roman" w:hAnsi="Times New Roman" w:cs="Times New Roman"/>
          <w:sz w:val="22"/>
        </w:rPr>
        <w:t>(Businessmap Foundation, 2005)</w:t>
      </w:r>
      <w:r w:rsidR="0021321A">
        <w:rPr>
          <w:rFonts w:ascii="Times New Roman" w:hAnsi="Times New Roman" w:cs="Times New Roman"/>
          <w:sz w:val="22"/>
        </w:rPr>
        <w:t>.</w:t>
      </w:r>
      <w:r w:rsidR="0056278E">
        <w:rPr>
          <w:rFonts w:ascii="Times New Roman" w:hAnsi="Times New Roman" w:cs="Times New Roman"/>
          <w:sz w:val="22"/>
        </w:rPr>
        <w:t xml:space="preserve"> The</w:t>
      </w:r>
      <w:r w:rsidR="003970FC">
        <w:rPr>
          <w:rFonts w:ascii="Times New Roman" w:hAnsi="Times New Roman" w:cs="Times New Roman"/>
          <w:sz w:val="22"/>
        </w:rPr>
        <w:t xml:space="preserve"> </w:t>
      </w:r>
      <w:r w:rsidR="0056278E">
        <w:rPr>
          <w:rFonts w:ascii="Times New Roman" w:hAnsi="Times New Roman" w:cs="Times New Roman"/>
          <w:sz w:val="22"/>
        </w:rPr>
        <w:t>evidence of this high</w:t>
      </w:r>
      <w:r w:rsidR="0021321A">
        <w:rPr>
          <w:rFonts w:ascii="Times New Roman" w:hAnsi="Times New Roman" w:cs="Times New Roman"/>
          <w:sz w:val="22"/>
        </w:rPr>
        <w:t xml:space="preserve"> level of popularity </w:t>
      </w:r>
      <w:r w:rsidR="0056278E">
        <w:rPr>
          <w:rFonts w:ascii="Times New Roman" w:hAnsi="Times New Roman" w:cs="Times New Roman"/>
          <w:sz w:val="22"/>
        </w:rPr>
        <w:t>could be</w:t>
      </w:r>
      <w:r w:rsidRPr="003A1203">
        <w:rPr>
          <w:rFonts w:ascii="Times New Roman" w:hAnsi="Times New Roman" w:cs="Times New Roman"/>
          <w:sz w:val="22"/>
        </w:rPr>
        <w:t xml:space="preserve"> seen in the fact that these deals </w:t>
      </w:r>
      <w:r w:rsidR="0056278E">
        <w:rPr>
          <w:rFonts w:ascii="Times New Roman" w:hAnsi="Times New Roman" w:cs="Times New Roman"/>
          <w:sz w:val="22"/>
        </w:rPr>
        <w:t>caused</w:t>
      </w:r>
      <w:r w:rsidRPr="003A1203">
        <w:rPr>
          <w:rFonts w:ascii="Times New Roman" w:hAnsi="Times New Roman" w:cs="Times New Roman"/>
          <w:sz w:val="22"/>
        </w:rPr>
        <w:t xml:space="preserve"> an increase in the overall market capitalisation of compani</w:t>
      </w:r>
      <w:r w:rsidR="00EB0989">
        <w:rPr>
          <w:rFonts w:ascii="Times New Roman" w:hAnsi="Times New Roman" w:cs="Times New Roman"/>
          <w:sz w:val="22"/>
        </w:rPr>
        <w:t>es listed on the JSE, shortly after their implementation</w:t>
      </w:r>
      <w:r w:rsidRPr="003A1203">
        <w:rPr>
          <w:rFonts w:ascii="Times New Roman" w:hAnsi="Times New Roman" w:cs="Times New Roman"/>
          <w:sz w:val="22"/>
        </w:rPr>
        <w:t xml:space="preserve"> (Engdahl &amp; Hauki, 2001). Finally, the popularity of this tool of transformation</w:t>
      </w:r>
      <w:r w:rsidR="0056278E">
        <w:rPr>
          <w:rFonts w:ascii="Times New Roman" w:hAnsi="Times New Roman" w:cs="Times New Roman"/>
          <w:sz w:val="22"/>
        </w:rPr>
        <w:t>,</w:t>
      </w:r>
      <w:r w:rsidRPr="003A1203">
        <w:rPr>
          <w:rFonts w:ascii="Times New Roman" w:hAnsi="Times New Roman" w:cs="Times New Roman"/>
          <w:sz w:val="22"/>
        </w:rPr>
        <w:t xml:space="preserve"> and the</w:t>
      </w:r>
      <w:r w:rsidR="0056278E">
        <w:rPr>
          <w:rFonts w:ascii="Times New Roman" w:hAnsi="Times New Roman" w:cs="Times New Roman"/>
          <w:sz w:val="22"/>
        </w:rPr>
        <w:t xml:space="preserve"> outstanding</w:t>
      </w:r>
      <w:r w:rsidRPr="003A1203">
        <w:rPr>
          <w:rFonts w:ascii="Times New Roman" w:hAnsi="Times New Roman" w:cs="Times New Roman"/>
          <w:sz w:val="22"/>
        </w:rPr>
        <w:t xml:space="preserve"> results which </w:t>
      </w:r>
      <w:r w:rsidR="0056278E">
        <w:rPr>
          <w:rFonts w:ascii="Times New Roman" w:hAnsi="Times New Roman" w:cs="Times New Roman"/>
          <w:sz w:val="22"/>
        </w:rPr>
        <w:t>were</w:t>
      </w:r>
      <w:r w:rsidRPr="003A1203">
        <w:rPr>
          <w:rFonts w:ascii="Times New Roman" w:hAnsi="Times New Roman" w:cs="Times New Roman"/>
          <w:sz w:val="22"/>
        </w:rPr>
        <w:t xml:space="preserve"> achieved</w:t>
      </w:r>
      <w:r w:rsidR="0056278E">
        <w:rPr>
          <w:rFonts w:ascii="Times New Roman" w:hAnsi="Times New Roman" w:cs="Times New Roman"/>
          <w:sz w:val="22"/>
        </w:rPr>
        <w:t>,</w:t>
      </w:r>
      <w:r w:rsidRPr="003A1203">
        <w:rPr>
          <w:rFonts w:ascii="Times New Roman" w:hAnsi="Times New Roman" w:cs="Times New Roman"/>
          <w:sz w:val="22"/>
        </w:rPr>
        <w:t xml:space="preserve"> lead to its official legislation in</w:t>
      </w:r>
      <w:r w:rsidR="006B7584" w:rsidRPr="003A1203">
        <w:rPr>
          <w:rFonts w:ascii="Times New Roman" w:hAnsi="Times New Roman" w:cs="Times New Roman"/>
          <w:sz w:val="22"/>
        </w:rPr>
        <w:t xml:space="preserve"> 2003</w:t>
      </w:r>
      <w:r w:rsidR="0056278E">
        <w:rPr>
          <w:rFonts w:ascii="Times New Roman" w:hAnsi="Times New Roman" w:cs="Times New Roman"/>
          <w:sz w:val="22"/>
        </w:rPr>
        <w:t xml:space="preserve">.  This legislation </w:t>
      </w:r>
      <w:r w:rsidR="002D61C9">
        <w:rPr>
          <w:rFonts w:ascii="Times New Roman" w:hAnsi="Times New Roman" w:cs="Times New Roman"/>
          <w:sz w:val="22"/>
        </w:rPr>
        <w:t>was</w:t>
      </w:r>
      <w:r w:rsidR="0056278E">
        <w:rPr>
          <w:rFonts w:ascii="Times New Roman" w:hAnsi="Times New Roman" w:cs="Times New Roman"/>
          <w:sz w:val="22"/>
        </w:rPr>
        <w:t xml:space="preserve"> known as the </w:t>
      </w:r>
      <w:r w:rsidR="006B7584" w:rsidRPr="003A1203">
        <w:rPr>
          <w:rFonts w:ascii="Times New Roman" w:hAnsi="Times New Roman" w:cs="Times New Roman"/>
          <w:sz w:val="22"/>
        </w:rPr>
        <w:t>Broad-Based Black Economic Empowerment Act No. 53 of 2003</w:t>
      </w:r>
      <w:r w:rsidR="00325CF7">
        <w:rPr>
          <w:rFonts w:ascii="Times New Roman" w:hAnsi="Times New Roman" w:cs="Times New Roman"/>
          <w:sz w:val="22"/>
        </w:rPr>
        <w:t xml:space="preserve"> (</w:t>
      </w:r>
      <w:r w:rsidR="00A53B61">
        <w:rPr>
          <w:rFonts w:ascii="Times New Roman" w:hAnsi="Times New Roman" w:cs="Times New Roman"/>
          <w:sz w:val="22"/>
        </w:rPr>
        <w:t>Act</w:t>
      </w:r>
      <w:r w:rsidR="0056278E">
        <w:rPr>
          <w:rFonts w:ascii="Times New Roman" w:hAnsi="Times New Roman" w:cs="Times New Roman"/>
          <w:sz w:val="22"/>
        </w:rPr>
        <w:t>,</w:t>
      </w:r>
      <w:r w:rsidR="00325CF7">
        <w:rPr>
          <w:rFonts w:ascii="Times New Roman" w:hAnsi="Times New Roman" w:cs="Times New Roman"/>
          <w:sz w:val="22"/>
        </w:rPr>
        <w:t xml:space="preserve"> 2003)</w:t>
      </w:r>
      <w:r w:rsidR="006B7584" w:rsidRPr="003A1203">
        <w:rPr>
          <w:rFonts w:ascii="Times New Roman" w:hAnsi="Times New Roman" w:cs="Times New Roman"/>
          <w:sz w:val="22"/>
        </w:rPr>
        <w:t xml:space="preserve">. </w:t>
      </w:r>
    </w:p>
    <w:p w14:paraId="6D3FCCE4" w14:textId="77777777" w:rsidR="00004840"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implementation of this Act was accompanied by the first Code of Good Practise</w:t>
      </w:r>
      <w:r w:rsidR="00004840" w:rsidRPr="003A1203">
        <w:rPr>
          <w:rFonts w:ascii="Times New Roman" w:hAnsi="Times New Roman" w:cs="Times New Roman"/>
          <w:sz w:val="22"/>
        </w:rPr>
        <w:t xml:space="preserve"> (Codes)</w:t>
      </w:r>
      <w:r w:rsidRPr="003A1203">
        <w:rPr>
          <w:rFonts w:ascii="Times New Roman" w:hAnsi="Times New Roman" w:cs="Times New Roman"/>
          <w:sz w:val="22"/>
        </w:rPr>
        <w:t xml:space="preserve"> which also came into effect during this time (Werksmans Attorneys, 2</w:t>
      </w:r>
      <w:r w:rsidR="00004840" w:rsidRPr="003A1203">
        <w:rPr>
          <w:rFonts w:ascii="Times New Roman" w:hAnsi="Times New Roman" w:cs="Times New Roman"/>
          <w:sz w:val="22"/>
        </w:rPr>
        <w:t>015). The Codes</w:t>
      </w:r>
      <w:r w:rsidR="00EB0989">
        <w:rPr>
          <w:rFonts w:ascii="Times New Roman" w:hAnsi="Times New Roman" w:cs="Times New Roman"/>
          <w:sz w:val="22"/>
        </w:rPr>
        <w:t xml:space="preserve"> </w:t>
      </w:r>
      <w:r w:rsidRPr="003A1203">
        <w:rPr>
          <w:rFonts w:ascii="Times New Roman" w:hAnsi="Times New Roman" w:cs="Times New Roman"/>
          <w:sz w:val="22"/>
        </w:rPr>
        <w:t>set the tone for the introduction of the Generic Scorecard in 2007</w:t>
      </w:r>
      <w:r w:rsidR="00004840" w:rsidRPr="003A1203">
        <w:rPr>
          <w:rFonts w:ascii="Times New Roman" w:hAnsi="Times New Roman" w:cs="Times New Roman"/>
          <w:sz w:val="22"/>
        </w:rPr>
        <w:t>.</w:t>
      </w:r>
      <w:r w:rsidR="00B42CE5">
        <w:rPr>
          <w:rFonts w:ascii="Times New Roman" w:hAnsi="Times New Roman" w:cs="Times New Roman"/>
          <w:sz w:val="22"/>
        </w:rPr>
        <w:t xml:space="preserve"> </w:t>
      </w:r>
      <w:r w:rsidR="00004840" w:rsidRPr="003A1203">
        <w:rPr>
          <w:rFonts w:ascii="Times New Roman" w:hAnsi="Times New Roman" w:cs="Times New Roman"/>
          <w:sz w:val="22"/>
        </w:rPr>
        <w:t xml:space="preserve">The purpose of the Codes </w:t>
      </w:r>
      <w:r w:rsidR="003970FC">
        <w:rPr>
          <w:rFonts w:ascii="Times New Roman" w:hAnsi="Times New Roman" w:cs="Times New Roman"/>
          <w:sz w:val="22"/>
        </w:rPr>
        <w:t>served</w:t>
      </w:r>
      <w:r w:rsidR="00004840" w:rsidRPr="003A1203">
        <w:rPr>
          <w:rFonts w:ascii="Times New Roman" w:hAnsi="Times New Roman" w:cs="Times New Roman"/>
          <w:sz w:val="22"/>
        </w:rPr>
        <w:t xml:space="preserve"> to provi</w:t>
      </w:r>
      <w:r w:rsidR="003970FC">
        <w:rPr>
          <w:rFonts w:ascii="Times New Roman" w:hAnsi="Times New Roman" w:cs="Times New Roman"/>
          <w:sz w:val="22"/>
        </w:rPr>
        <w:t>de guidance on how companies could</w:t>
      </w:r>
      <w:r w:rsidR="00004840" w:rsidRPr="003A1203">
        <w:rPr>
          <w:rFonts w:ascii="Times New Roman" w:hAnsi="Times New Roman" w:cs="Times New Roman"/>
          <w:sz w:val="22"/>
        </w:rPr>
        <w:t xml:space="preserve"> </w:t>
      </w:r>
      <w:r w:rsidR="002D61C9">
        <w:rPr>
          <w:rFonts w:ascii="Times New Roman" w:hAnsi="Times New Roman" w:cs="Times New Roman"/>
          <w:sz w:val="22"/>
        </w:rPr>
        <w:t>structure</w:t>
      </w:r>
      <w:r w:rsidR="00004840" w:rsidRPr="003A1203">
        <w:rPr>
          <w:rFonts w:ascii="Times New Roman" w:hAnsi="Times New Roman" w:cs="Times New Roman"/>
          <w:sz w:val="22"/>
        </w:rPr>
        <w:t xml:space="preserve"> deals so as to be recognised for their efforts in achieving transformation</w:t>
      </w:r>
      <w:r w:rsidR="00EB0989">
        <w:rPr>
          <w:rFonts w:ascii="Times New Roman" w:hAnsi="Times New Roman" w:cs="Times New Roman"/>
          <w:sz w:val="22"/>
        </w:rPr>
        <w:t xml:space="preserve"> </w:t>
      </w:r>
      <w:r w:rsidR="00EB0989">
        <w:rPr>
          <w:rFonts w:ascii="Times New Roman" w:hAnsi="Times New Roman" w:cs="Times New Roman"/>
          <w:sz w:val="22"/>
        </w:rPr>
        <w:lastRenderedPageBreak/>
        <w:t>of this kind</w:t>
      </w:r>
      <w:r w:rsidR="00004840" w:rsidRPr="003A1203">
        <w:rPr>
          <w:rFonts w:ascii="Times New Roman" w:hAnsi="Times New Roman" w:cs="Times New Roman"/>
          <w:sz w:val="22"/>
        </w:rPr>
        <w:t xml:space="preserve">. The Scorecard is the outcome of the Codes </w:t>
      </w:r>
      <w:r w:rsidR="002D61C9">
        <w:rPr>
          <w:rFonts w:ascii="Times New Roman" w:hAnsi="Times New Roman" w:cs="Times New Roman"/>
          <w:sz w:val="22"/>
        </w:rPr>
        <w:t>and</w:t>
      </w:r>
      <w:r w:rsidR="00004840" w:rsidRPr="003A1203">
        <w:rPr>
          <w:rFonts w:ascii="Times New Roman" w:hAnsi="Times New Roman" w:cs="Times New Roman"/>
          <w:sz w:val="22"/>
        </w:rPr>
        <w:t xml:space="preserve"> measures compliance to the Act in accordance with a</w:t>
      </w:r>
      <w:r w:rsidR="003970FC">
        <w:rPr>
          <w:rFonts w:ascii="Times New Roman" w:hAnsi="Times New Roman" w:cs="Times New Roman"/>
          <w:sz w:val="22"/>
        </w:rPr>
        <w:t xml:space="preserve"> predefined</w:t>
      </w:r>
      <w:r w:rsidR="00004840" w:rsidRPr="003A1203">
        <w:rPr>
          <w:rFonts w:ascii="Times New Roman" w:hAnsi="Times New Roman" w:cs="Times New Roman"/>
          <w:sz w:val="22"/>
        </w:rPr>
        <w:t xml:space="preserve"> scoring system. </w:t>
      </w:r>
    </w:p>
    <w:p w14:paraId="43A43D37" w14:textId="77777777" w:rsidR="00760448" w:rsidRPr="003A1203" w:rsidRDefault="00004840"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Scorecard has recently been amended, together with the Codes.</w:t>
      </w:r>
      <w:r w:rsidR="00477558" w:rsidRPr="003A1203">
        <w:rPr>
          <w:sz w:val="22"/>
        </w:rPr>
        <w:t xml:space="preserve"> </w:t>
      </w:r>
      <w:r w:rsidR="00477558" w:rsidRPr="003A1203">
        <w:rPr>
          <w:rFonts w:ascii="Times New Roman" w:hAnsi="Times New Roman" w:cs="Times New Roman"/>
          <w:sz w:val="22"/>
        </w:rPr>
        <w:t xml:space="preserve">The latest amendment became </w:t>
      </w:r>
      <w:r w:rsidR="002D61C9">
        <w:rPr>
          <w:rFonts w:ascii="Times New Roman" w:hAnsi="Times New Roman" w:cs="Times New Roman"/>
          <w:sz w:val="22"/>
        </w:rPr>
        <w:t>effective from</w:t>
      </w:r>
      <w:r w:rsidR="00477558" w:rsidRPr="003A1203">
        <w:rPr>
          <w:rFonts w:ascii="Times New Roman" w:hAnsi="Times New Roman" w:cs="Times New Roman"/>
          <w:sz w:val="22"/>
        </w:rPr>
        <w:t xml:space="preserve"> the 1st of May 2015 (Werksmans Attorneys, 2015). </w:t>
      </w:r>
      <w:r w:rsidRPr="003A1203">
        <w:rPr>
          <w:rFonts w:ascii="Times New Roman" w:hAnsi="Times New Roman" w:cs="Times New Roman"/>
          <w:sz w:val="22"/>
        </w:rPr>
        <w:t xml:space="preserve"> </w:t>
      </w:r>
      <w:r w:rsidR="003970FC">
        <w:rPr>
          <w:rFonts w:ascii="Times New Roman" w:hAnsi="Times New Roman" w:cs="Times New Roman"/>
          <w:sz w:val="22"/>
        </w:rPr>
        <w:t>It</w:t>
      </w:r>
      <w:r w:rsidR="00760448" w:rsidRPr="003A1203">
        <w:rPr>
          <w:rFonts w:ascii="Times New Roman" w:hAnsi="Times New Roman" w:cs="Times New Roman"/>
          <w:sz w:val="22"/>
        </w:rPr>
        <w:t xml:space="preserve"> can be seen through the </w:t>
      </w:r>
      <w:r w:rsidR="008A3513">
        <w:rPr>
          <w:rFonts w:ascii="Times New Roman" w:hAnsi="Times New Roman" w:cs="Times New Roman"/>
          <w:sz w:val="22"/>
        </w:rPr>
        <w:t>weighted</w:t>
      </w:r>
      <w:r w:rsidR="00760448" w:rsidRPr="003A1203">
        <w:rPr>
          <w:rFonts w:ascii="Times New Roman" w:hAnsi="Times New Roman" w:cs="Times New Roman"/>
          <w:sz w:val="22"/>
        </w:rPr>
        <w:t xml:space="preserve"> values provided in the</w:t>
      </w:r>
      <w:r w:rsidR="00B42CE5">
        <w:rPr>
          <w:rFonts w:ascii="Times New Roman" w:hAnsi="Times New Roman" w:cs="Times New Roman"/>
          <w:sz w:val="22"/>
        </w:rPr>
        <w:t xml:space="preserve"> updated</w:t>
      </w:r>
      <w:r w:rsidR="00760448" w:rsidRPr="003A1203">
        <w:rPr>
          <w:rFonts w:ascii="Times New Roman" w:hAnsi="Times New Roman" w:cs="Times New Roman"/>
          <w:sz w:val="22"/>
        </w:rPr>
        <w:t xml:space="preserve"> Scorecard that </w:t>
      </w:r>
      <w:r w:rsidR="007B0BDB" w:rsidRPr="003A1203">
        <w:rPr>
          <w:rFonts w:ascii="Times New Roman" w:hAnsi="Times New Roman" w:cs="Times New Roman"/>
          <w:sz w:val="22"/>
        </w:rPr>
        <w:t>the</w:t>
      </w:r>
      <w:r w:rsidRPr="003A1203">
        <w:rPr>
          <w:rFonts w:ascii="Times New Roman" w:hAnsi="Times New Roman" w:cs="Times New Roman"/>
          <w:sz w:val="22"/>
        </w:rPr>
        <w:t xml:space="preserve"> scoring system</w:t>
      </w:r>
      <w:r w:rsidR="007B0BDB" w:rsidRPr="003A1203">
        <w:rPr>
          <w:rFonts w:ascii="Times New Roman" w:hAnsi="Times New Roman" w:cs="Times New Roman"/>
          <w:sz w:val="22"/>
        </w:rPr>
        <w:t xml:space="preserve"> remains largely the same.</w:t>
      </w:r>
      <w:r w:rsidR="00760448" w:rsidRPr="003A1203">
        <w:rPr>
          <w:rFonts w:ascii="Times New Roman" w:hAnsi="Times New Roman" w:cs="Times New Roman"/>
          <w:sz w:val="22"/>
        </w:rPr>
        <w:t xml:space="preserve"> </w:t>
      </w:r>
      <w:r w:rsidR="007B0BDB" w:rsidRPr="003A1203">
        <w:rPr>
          <w:rFonts w:ascii="Times New Roman" w:hAnsi="Times New Roman" w:cs="Times New Roman"/>
          <w:sz w:val="22"/>
        </w:rPr>
        <w:t xml:space="preserve"> The scoring system developed through the Scorecard</w:t>
      </w:r>
      <w:r w:rsidRPr="003A1203">
        <w:rPr>
          <w:rFonts w:ascii="Times New Roman" w:hAnsi="Times New Roman" w:cs="Times New Roman"/>
          <w:sz w:val="22"/>
        </w:rPr>
        <w:t xml:space="preserve"> is made up of a variety of different categories</w:t>
      </w:r>
      <w:r w:rsidR="008A3513">
        <w:rPr>
          <w:rFonts w:ascii="Times New Roman" w:hAnsi="Times New Roman" w:cs="Times New Roman"/>
          <w:sz w:val="22"/>
        </w:rPr>
        <w:t>, with each category</w:t>
      </w:r>
      <w:r w:rsidR="00760448" w:rsidRPr="003A1203">
        <w:rPr>
          <w:rFonts w:ascii="Times New Roman" w:hAnsi="Times New Roman" w:cs="Times New Roman"/>
          <w:sz w:val="22"/>
        </w:rPr>
        <w:t xml:space="preserve"> weighting expressing the emphasis to be placed on achieving </w:t>
      </w:r>
      <w:r w:rsidR="008A3513">
        <w:rPr>
          <w:rFonts w:ascii="Times New Roman" w:hAnsi="Times New Roman" w:cs="Times New Roman"/>
          <w:sz w:val="22"/>
        </w:rPr>
        <w:t xml:space="preserve">a </w:t>
      </w:r>
      <w:r w:rsidR="00760448" w:rsidRPr="003A1203">
        <w:rPr>
          <w:rFonts w:ascii="Times New Roman" w:hAnsi="Times New Roman" w:cs="Times New Roman"/>
          <w:sz w:val="22"/>
        </w:rPr>
        <w:t>particular area of change in business practise</w:t>
      </w:r>
      <w:r w:rsidRPr="003A1203">
        <w:rPr>
          <w:rFonts w:ascii="Times New Roman" w:hAnsi="Times New Roman" w:cs="Times New Roman"/>
          <w:sz w:val="22"/>
        </w:rPr>
        <w:t xml:space="preserve">. </w:t>
      </w:r>
      <w:r w:rsidR="00760448" w:rsidRPr="003A1203">
        <w:rPr>
          <w:rFonts w:ascii="Times New Roman" w:hAnsi="Times New Roman" w:cs="Times New Roman"/>
          <w:sz w:val="22"/>
        </w:rPr>
        <w:t>The only real difference between the new and old Codes is seen in the way its practices are now being enforced. Under the old Codes, BBBEE implementation followed a more voluntary approach</w:t>
      </w:r>
      <w:r w:rsidR="003B4DA5" w:rsidRPr="003A1203">
        <w:rPr>
          <w:rFonts w:ascii="Times New Roman" w:hAnsi="Times New Roman" w:cs="Times New Roman"/>
          <w:sz w:val="22"/>
        </w:rPr>
        <w:t>,</w:t>
      </w:r>
      <w:r w:rsidR="00760448" w:rsidRPr="003A1203">
        <w:rPr>
          <w:rFonts w:ascii="Times New Roman" w:hAnsi="Times New Roman" w:cs="Times New Roman"/>
          <w:sz w:val="22"/>
        </w:rPr>
        <w:t xml:space="preserve"> whereas the latest amended Codes have become more of a requirement. This is because penalties have now been introduced for poor compliance (Werksmans Attorneys, 2015).</w:t>
      </w:r>
    </w:p>
    <w:p w14:paraId="0ECD4086" w14:textId="77777777" w:rsidR="00BE41EA" w:rsidRPr="003A1203" w:rsidRDefault="008A3513"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One aspect of the Codes that has changed in absolute terms is </w:t>
      </w:r>
      <w:r w:rsidR="00B42CE5">
        <w:rPr>
          <w:rFonts w:ascii="Times New Roman" w:hAnsi="Times New Roman" w:cs="Times New Roman"/>
          <w:sz w:val="22"/>
        </w:rPr>
        <w:t>the</w:t>
      </w:r>
      <w:r>
        <w:rPr>
          <w:rFonts w:ascii="Times New Roman" w:hAnsi="Times New Roman" w:cs="Times New Roman"/>
          <w:sz w:val="22"/>
        </w:rPr>
        <w:t xml:space="preserve"> overall attainable</w:t>
      </w:r>
      <w:r w:rsidR="00BE41EA" w:rsidRPr="003A1203">
        <w:rPr>
          <w:rFonts w:ascii="Times New Roman" w:hAnsi="Times New Roman" w:cs="Times New Roman"/>
          <w:sz w:val="22"/>
        </w:rPr>
        <w:t xml:space="preserve"> score</w:t>
      </w:r>
      <w:r>
        <w:rPr>
          <w:rFonts w:ascii="Times New Roman" w:hAnsi="Times New Roman" w:cs="Times New Roman"/>
          <w:sz w:val="22"/>
        </w:rPr>
        <w:t xml:space="preserve"> which</w:t>
      </w:r>
      <w:r w:rsidR="00BE41EA" w:rsidRPr="003A1203">
        <w:rPr>
          <w:rFonts w:ascii="Times New Roman" w:hAnsi="Times New Roman" w:cs="Times New Roman"/>
          <w:sz w:val="22"/>
        </w:rPr>
        <w:t xml:space="preserve"> increased from </w:t>
      </w:r>
      <w:r>
        <w:rPr>
          <w:rFonts w:ascii="Times New Roman" w:hAnsi="Times New Roman" w:cs="Times New Roman"/>
          <w:sz w:val="22"/>
        </w:rPr>
        <w:t>107 points to 118 points. This</w:t>
      </w:r>
      <w:r w:rsidR="00BE41EA" w:rsidRPr="003A1203">
        <w:rPr>
          <w:rFonts w:ascii="Times New Roman" w:hAnsi="Times New Roman" w:cs="Times New Roman"/>
          <w:sz w:val="22"/>
        </w:rPr>
        <w:t xml:space="preserve"> means that if companies were to maintain their current emphasis towards the implementation of BBBEE</w:t>
      </w:r>
      <w:r>
        <w:rPr>
          <w:rFonts w:ascii="Times New Roman" w:hAnsi="Times New Roman" w:cs="Times New Roman"/>
          <w:sz w:val="22"/>
        </w:rPr>
        <w:t>,</w:t>
      </w:r>
      <w:r w:rsidR="00BE41EA" w:rsidRPr="003A1203">
        <w:rPr>
          <w:rFonts w:ascii="Times New Roman" w:hAnsi="Times New Roman" w:cs="Times New Roman"/>
          <w:sz w:val="22"/>
        </w:rPr>
        <w:t xml:space="preserve"> then there would be a chance </w:t>
      </w:r>
      <w:r w:rsidR="003970FC">
        <w:rPr>
          <w:rFonts w:ascii="Times New Roman" w:hAnsi="Times New Roman" w:cs="Times New Roman"/>
          <w:sz w:val="22"/>
        </w:rPr>
        <w:t>that their existing ratings could</w:t>
      </w:r>
      <w:r w:rsidR="00BE41EA" w:rsidRPr="003A1203">
        <w:rPr>
          <w:rFonts w:ascii="Times New Roman" w:hAnsi="Times New Roman" w:cs="Times New Roman"/>
          <w:sz w:val="22"/>
        </w:rPr>
        <w:t xml:space="preserve"> be downgraded on a contribution recognition level.</w:t>
      </w:r>
      <w:r w:rsidR="00B42CE5">
        <w:rPr>
          <w:rFonts w:ascii="Times New Roman" w:hAnsi="Times New Roman" w:cs="Times New Roman"/>
          <w:sz w:val="22"/>
        </w:rPr>
        <w:t xml:space="preserve"> This is because while still earning the same points as before, companies would suffer from the impact of the change in weighing as a result of the increase in </w:t>
      </w:r>
      <w:r>
        <w:rPr>
          <w:rFonts w:ascii="Times New Roman" w:hAnsi="Times New Roman" w:cs="Times New Roman"/>
          <w:sz w:val="22"/>
        </w:rPr>
        <w:t xml:space="preserve">total </w:t>
      </w:r>
      <w:r w:rsidR="00B42CE5">
        <w:rPr>
          <w:rFonts w:ascii="Times New Roman" w:hAnsi="Times New Roman" w:cs="Times New Roman"/>
          <w:sz w:val="22"/>
        </w:rPr>
        <w:t>available points.</w:t>
      </w:r>
      <w:r w:rsidR="00BE41EA" w:rsidRPr="003A1203">
        <w:rPr>
          <w:rFonts w:ascii="Times New Roman" w:hAnsi="Times New Roman" w:cs="Times New Roman"/>
          <w:sz w:val="22"/>
        </w:rPr>
        <w:t xml:space="preserve"> Therefore</w:t>
      </w:r>
      <w:r>
        <w:rPr>
          <w:rFonts w:ascii="Times New Roman" w:hAnsi="Times New Roman" w:cs="Times New Roman"/>
          <w:sz w:val="22"/>
        </w:rPr>
        <w:t>,</w:t>
      </w:r>
      <w:r w:rsidR="00BE41EA" w:rsidRPr="003A1203">
        <w:rPr>
          <w:rFonts w:ascii="Times New Roman" w:hAnsi="Times New Roman" w:cs="Times New Roman"/>
          <w:sz w:val="22"/>
        </w:rPr>
        <w:t xml:space="preserve"> companies will need to employ additional measures in order to retain a satisfactory compliance</w:t>
      </w:r>
      <w:r w:rsidR="00B42CE5">
        <w:rPr>
          <w:rFonts w:ascii="Times New Roman" w:hAnsi="Times New Roman" w:cs="Times New Roman"/>
          <w:sz w:val="22"/>
        </w:rPr>
        <w:t xml:space="preserve"> and BBBEE </w:t>
      </w:r>
      <w:r w:rsidR="009E2CC7">
        <w:rPr>
          <w:rFonts w:ascii="Times New Roman" w:hAnsi="Times New Roman" w:cs="Times New Roman"/>
          <w:sz w:val="22"/>
        </w:rPr>
        <w:t>contribution</w:t>
      </w:r>
      <w:r w:rsidR="00BE41EA" w:rsidRPr="003A1203">
        <w:rPr>
          <w:rFonts w:ascii="Times New Roman" w:hAnsi="Times New Roman" w:cs="Times New Roman"/>
          <w:sz w:val="22"/>
        </w:rPr>
        <w:t xml:space="preserve"> level.  </w:t>
      </w:r>
    </w:p>
    <w:p w14:paraId="73310A7A" w14:textId="77777777" w:rsidR="00BE41EA" w:rsidRPr="00095351" w:rsidRDefault="009A04FC" w:rsidP="00536234">
      <w:pPr>
        <w:pStyle w:val="Heading3"/>
        <w:ind w:left="0"/>
        <w:rPr>
          <w:rFonts w:ascii="Times New Roman" w:hAnsi="Times New Roman" w:cs="Times New Roman"/>
          <w:i/>
          <w:color w:val="auto"/>
          <w:sz w:val="22"/>
        </w:rPr>
      </w:pPr>
      <w:bookmarkStart w:id="8" w:name="_Toc506717754"/>
      <w:r>
        <w:rPr>
          <w:rFonts w:ascii="Times New Roman" w:hAnsi="Times New Roman" w:cs="Times New Roman"/>
          <w:i/>
          <w:color w:val="auto"/>
          <w:sz w:val="22"/>
        </w:rPr>
        <w:t>1.1.3</w:t>
      </w:r>
      <w:r>
        <w:rPr>
          <w:rFonts w:ascii="Times New Roman" w:hAnsi="Times New Roman" w:cs="Times New Roman"/>
          <w:i/>
          <w:color w:val="auto"/>
          <w:sz w:val="22"/>
        </w:rPr>
        <w:tab/>
      </w:r>
      <w:r w:rsidR="00BE41EA" w:rsidRPr="00095351">
        <w:rPr>
          <w:rFonts w:ascii="Times New Roman" w:hAnsi="Times New Roman" w:cs="Times New Roman"/>
          <w:i/>
          <w:color w:val="auto"/>
          <w:sz w:val="22"/>
        </w:rPr>
        <w:t>The Ownership Scorecard Element</w:t>
      </w:r>
      <w:bookmarkEnd w:id="8"/>
    </w:p>
    <w:p w14:paraId="3B6BD432" w14:textId="77777777" w:rsidR="00BE41EA" w:rsidRPr="003A1203" w:rsidRDefault="00BE41EA"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This can specifically be said to relate to the ownership element of the Scorecard. This is because the latest Scorecard</w:t>
      </w:r>
      <w:r w:rsidR="00B42CE5">
        <w:rPr>
          <w:rFonts w:ascii="Times New Roman" w:hAnsi="Times New Roman" w:cs="Times New Roman"/>
          <w:sz w:val="22"/>
        </w:rPr>
        <w:t xml:space="preserve"> </w:t>
      </w:r>
      <w:r w:rsidR="009E2CC7">
        <w:rPr>
          <w:rFonts w:ascii="Times New Roman" w:hAnsi="Times New Roman" w:cs="Times New Roman"/>
          <w:sz w:val="22"/>
        </w:rPr>
        <w:t>amendment</w:t>
      </w:r>
      <w:r w:rsidRPr="003A1203">
        <w:rPr>
          <w:rFonts w:ascii="Times New Roman" w:hAnsi="Times New Roman" w:cs="Times New Roman"/>
          <w:sz w:val="22"/>
        </w:rPr>
        <w:t xml:space="preserve"> has </w:t>
      </w:r>
      <w:r w:rsidR="008A3513">
        <w:rPr>
          <w:rFonts w:ascii="Times New Roman" w:hAnsi="Times New Roman" w:cs="Times New Roman"/>
          <w:sz w:val="22"/>
        </w:rPr>
        <w:t>seen</w:t>
      </w:r>
      <w:r w:rsidRPr="003A1203">
        <w:rPr>
          <w:rFonts w:ascii="Times New Roman" w:hAnsi="Times New Roman" w:cs="Times New Roman"/>
          <w:sz w:val="22"/>
        </w:rPr>
        <w:t xml:space="preserve"> a</w:t>
      </w:r>
      <w:r w:rsidR="003970FC">
        <w:rPr>
          <w:rFonts w:ascii="Times New Roman" w:hAnsi="Times New Roman" w:cs="Times New Roman"/>
          <w:sz w:val="22"/>
        </w:rPr>
        <w:t xml:space="preserve">n </w:t>
      </w:r>
      <w:r w:rsidRPr="003A1203">
        <w:rPr>
          <w:rFonts w:ascii="Times New Roman" w:hAnsi="Times New Roman" w:cs="Times New Roman"/>
          <w:sz w:val="22"/>
        </w:rPr>
        <w:t>increase in</w:t>
      </w:r>
      <w:r w:rsidR="008A3513">
        <w:rPr>
          <w:rFonts w:ascii="Times New Roman" w:hAnsi="Times New Roman" w:cs="Times New Roman"/>
          <w:sz w:val="22"/>
        </w:rPr>
        <w:t xml:space="preserve"> the amount of maximum</w:t>
      </w:r>
      <w:r w:rsidRPr="003A1203">
        <w:rPr>
          <w:rFonts w:ascii="Times New Roman" w:hAnsi="Times New Roman" w:cs="Times New Roman"/>
          <w:sz w:val="22"/>
        </w:rPr>
        <w:t xml:space="preserve"> </w:t>
      </w:r>
      <w:r w:rsidR="008A3513">
        <w:rPr>
          <w:rFonts w:ascii="Times New Roman" w:hAnsi="Times New Roman" w:cs="Times New Roman"/>
          <w:sz w:val="22"/>
        </w:rPr>
        <w:t xml:space="preserve">available points of the Ownership Scorecard Element </w:t>
      </w:r>
      <w:r w:rsidRPr="003A1203">
        <w:rPr>
          <w:rFonts w:ascii="Times New Roman" w:hAnsi="Times New Roman" w:cs="Times New Roman"/>
          <w:sz w:val="22"/>
        </w:rPr>
        <w:t>from 20</w:t>
      </w:r>
      <w:r w:rsidR="00B42CE5">
        <w:rPr>
          <w:rFonts w:ascii="Times New Roman" w:hAnsi="Times New Roman" w:cs="Times New Roman"/>
          <w:sz w:val="22"/>
        </w:rPr>
        <w:t xml:space="preserve"> points</w:t>
      </w:r>
      <w:r w:rsidRPr="003A1203">
        <w:rPr>
          <w:rFonts w:ascii="Times New Roman" w:hAnsi="Times New Roman" w:cs="Times New Roman"/>
          <w:sz w:val="22"/>
        </w:rPr>
        <w:t xml:space="preserve"> to 25 points. This </w:t>
      </w:r>
      <w:r w:rsidR="008A3513">
        <w:rPr>
          <w:rFonts w:ascii="Times New Roman" w:hAnsi="Times New Roman" w:cs="Times New Roman"/>
          <w:sz w:val="22"/>
        </w:rPr>
        <w:t>means that this is</w:t>
      </w:r>
      <w:r w:rsidR="003970FC">
        <w:rPr>
          <w:rFonts w:ascii="Times New Roman" w:hAnsi="Times New Roman" w:cs="Times New Roman"/>
          <w:sz w:val="22"/>
        </w:rPr>
        <w:t xml:space="preserve"> an area where </w:t>
      </w:r>
      <w:r w:rsidRPr="003A1203">
        <w:rPr>
          <w:rFonts w:ascii="Times New Roman" w:hAnsi="Times New Roman" w:cs="Times New Roman"/>
          <w:sz w:val="22"/>
        </w:rPr>
        <w:t>greater emphasis and consideration will need to be placed by companies</w:t>
      </w:r>
      <w:r w:rsidR="003970FC">
        <w:rPr>
          <w:rFonts w:ascii="Times New Roman" w:hAnsi="Times New Roman" w:cs="Times New Roman"/>
          <w:sz w:val="22"/>
        </w:rPr>
        <w:t xml:space="preserve">, </w:t>
      </w:r>
      <w:r w:rsidR="008A3513">
        <w:rPr>
          <w:rFonts w:ascii="Times New Roman" w:hAnsi="Times New Roman" w:cs="Times New Roman"/>
          <w:sz w:val="22"/>
        </w:rPr>
        <w:t>so as</w:t>
      </w:r>
      <w:r w:rsidR="003970FC">
        <w:rPr>
          <w:rFonts w:ascii="Times New Roman" w:hAnsi="Times New Roman" w:cs="Times New Roman"/>
          <w:sz w:val="22"/>
        </w:rPr>
        <w:t xml:space="preserve"> to</w:t>
      </w:r>
      <w:r w:rsidRPr="003A1203">
        <w:rPr>
          <w:rFonts w:ascii="Times New Roman" w:hAnsi="Times New Roman" w:cs="Times New Roman"/>
          <w:sz w:val="22"/>
        </w:rPr>
        <w:t xml:space="preserve"> further their commitment to</w:t>
      </w:r>
      <w:r w:rsidR="003970FC">
        <w:rPr>
          <w:rFonts w:ascii="Times New Roman" w:hAnsi="Times New Roman" w:cs="Times New Roman"/>
          <w:sz w:val="22"/>
        </w:rPr>
        <w:t>wards</w:t>
      </w:r>
      <w:r w:rsidRPr="003A1203">
        <w:rPr>
          <w:rFonts w:ascii="Times New Roman" w:hAnsi="Times New Roman" w:cs="Times New Roman"/>
          <w:sz w:val="22"/>
        </w:rPr>
        <w:t xml:space="preserve"> promoting Black ownership in the workplace.</w:t>
      </w:r>
      <w:r w:rsidR="00EB0989">
        <w:rPr>
          <w:rFonts w:ascii="Times New Roman" w:hAnsi="Times New Roman" w:cs="Times New Roman"/>
          <w:sz w:val="22"/>
        </w:rPr>
        <w:t xml:space="preserve"> This is despite the fac</w:t>
      </w:r>
      <w:r w:rsidR="003970FC">
        <w:rPr>
          <w:rFonts w:ascii="Times New Roman" w:hAnsi="Times New Roman" w:cs="Times New Roman"/>
          <w:sz w:val="22"/>
        </w:rPr>
        <w:t>t that it has always remained on of the most significant standalone categories</w:t>
      </w:r>
      <w:r w:rsidR="00EB0989">
        <w:rPr>
          <w:rFonts w:ascii="Times New Roman" w:hAnsi="Times New Roman" w:cs="Times New Roman"/>
          <w:sz w:val="22"/>
        </w:rPr>
        <w:t xml:space="preserve"> of the Scorecard.</w:t>
      </w:r>
    </w:p>
    <w:p w14:paraId="32B84EF7" w14:textId="77777777" w:rsidR="008E1209" w:rsidRPr="003A1203" w:rsidRDefault="003970FC" w:rsidP="00536234">
      <w:pPr>
        <w:spacing w:line="480" w:lineRule="auto"/>
        <w:ind w:left="0" w:firstLine="0"/>
        <w:rPr>
          <w:rFonts w:ascii="Times New Roman" w:hAnsi="Times New Roman" w:cs="Times New Roman"/>
          <w:sz w:val="22"/>
        </w:rPr>
      </w:pPr>
      <w:r>
        <w:rPr>
          <w:rFonts w:ascii="Times New Roman" w:hAnsi="Times New Roman" w:cs="Times New Roman"/>
          <w:sz w:val="22"/>
        </w:rPr>
        <w:lastRenderedPageBreak/>
        <w:t>One thing that can</w:t>
      </w:r>
      <w:r w:rsidR="008A3513">
        <w:rPr>
          <w:rFonts w:ascii="Times New Roman" w:hAnsi="Times New Roman" w:cs="Times New Roman"/>
          <w:sz w:val="22"/>
        </w:rPr>
        <w:t xml:space="preserve"> clearly</w:t>
      </w:r>
      <w:r>
        <w:rPr>
          <w:rFonts w:ascii="Times New Roman" w:hAnsi="Times New Roman" w:cs="Times New Roman"/>
          <w:sz w:val="22"/>
        </w:rPr>
        <w:t xml:space="preserve"> be</w:t>
      </w:r>
      <w:r w:rsidR="00EB0989">
        <w:rPr>
          <w:rFonts w:ascii="Times New Roman" w:hAnsi="Times New Roman" w:cs="Times New Roman"/>
          <w:sz w:val="22"/>
        </w:rPr>
        <w:t xml:space="preserve"> interpreted</w:t>
      </w:r>
      <w:r w:rsidR="008E1209" w:rsidRPr="003A1203">
        <w:rPr>
          <w:rFonts w:ascii="Times New Roman" w:hAnsi="Times New Roman" w:cs="Times New Roman"/>
          <w:sz w:val="22"/>
        </w:rPr>
        <w:t xml:space="preserve"> from </w:t>
      </w:r>
      <w:r w:rsidR="00B42CE5">
        <w:rPr>
          <w:rFonts w:ascii="Times New Roman" w:hAnsi="Times New Roman" w:cs="Times New Roman"/>
          <w:sz w:val="22"/>
        </w:rPr>
        <w:t xml:space="preserve">analysing the Ownership </w:t>
      </w:r>
      <w:r w:rsidR="008A3513">
        <w:rPr>
          <w:rFonts w:ascii="Times New Roman" w:hAnsi="Times New Roman" w:cs="Times New Roman"/>
          <w:sz w:val="22"/>
        </w:rPr>
        <w:t>Element of the Scorecard</w:t>
      </w:r>
      <w:r w:rsidR="00B42CE5">
        <w:rPr>
          <w:rFonts w:ascii="Times New Roman" w:hAnsi="Times New Roman" w:cs="Times New Roman"/>
          <w:sz w:val="22"/>
        </w:rPr>
        <w:t xml:space="preserve"> is that</w:t>
      </w:r>
      <w:r w:rsidR="008E1209" w:rsidRPr="003A1203">
        <w:rPr>
          <w:rFonts w:ascii="Times New Roman" w:hAnsi="Times New Roman" w:cs="Times New Roman"/>
          <w:sz w:val="22"/>
        </w:rPr>
        <w:t xml:space="preserve"> </w:t>
      </w:r>
      <w:r w:rsidR="00EB0989">
        <w:rPr>
          <w:rFonts w:ascii="Times New Roman" w:hAnsi="Times New Roman" w:cs="Times New Roman"/>
          <w:sz w:val="22"/>
        </w:rPr>
        <w:t>the m</w:t>
      </w:r>
      <w:r w:rsidR="008A3513">
        <w:rPr>
          <w:rFonts w:ascii="Times New Roman" w:hAnsi="Times New Roman" w:cs="Times New Roman"/>
          <w:sz w:val="22"/>
        </w:rPr>
        <w:t>ost practical way</w:t>
      </w:r>
      <w:r w:rsidR="00EB0989">
        <w:rPr>
          <w:rFonts w:ascii="Times New Roman" w:hAnsi="Times New Roman" w:cs="Times New Roman"/>
          <w:sz w:val="22"/>
        </w:rPr>
        <w:t xml:space="preserve"> of</w:t>
      </w:r>
      <w:r w:rsidR="008E1209" w:rsidRPr="003A1203">
        <w:rPr>
          <w:rFonts w:ascii="Times New Roman" w:hAnsi="Times New Roman" w:cs="Times New Roman"/>
          <w:sz w:val="22"/>
        </w:rPr>
        <w:t xml:space="preserve"> </w:t>
      </w:r>
      <w:r w:rsidR="00EB0989">
        <w:rPr>
          <w:rFonts w:ascii="Times New Roman" w:hAnsi="Times New Roman" w:cs="Times New Roman"/>
          <w:sz w:val="22"/>
        </w:rPr>
        <w:t>achieving</w:t>
      </w:r>
      <w:r w:rsidR="008E1209" w:rsidRPr="003A1203">
        <w:rPr>
          <w:rFonts w:ascii="Times New Roman" w:hAnsi="Times New Roman" w:cs="Times New Roman"/>
          <w:sz w:val="22"/>
        </w:rPr>
        <w:t xml:space="preserve"> compliance under this element is </w:t>
      </w:r>
      <w:r w:rsidR="008A3513">
        <w:rPr>
          <w:rFonts w:ascii="Times New Roman" w:hAnsi="Times New Roman" w:cs="Times New Roman"/>
          <w:sz w:val="22"/>
        </w:rPr>
        <w:t>by</w:t>
      </w:r>
      <w:r w:rsidR="008E1209" w:rsidRPr="003A1203">
        <w:rPr>
          <w:rFonts w:ascii="Times New Roman" w:hAnsi="Times New Roman" w:cs="Times New Roman"/>
          <w:sz w:val="22"/>
        </w:rPr>
        <w:t xml:space="preserve"> enter</w:t>
      </w:r>
      <w:r w:rsidR="008A3513">
        <w:rPr>
          <w:rFonts w:ascii="Times New Roman" w:hAnsi="Times New Roman" w:cs="Times New Roman"/>
          <w:sz w:val="22"/>
        </w:rPr>
        <w:t xml:space="preserve">ing </w:t>
      </w:r>
      <w:r w:rsidR="008E1209" w:rsidRPr="003A1203">
        <w:rPr>
          <w:rFonts w:ascii="Times New Roman" w:hAnsi="Times New Roman" w:cs="Times New Roman"/>
          <w:sz w:val="22"/>
        </w:rPr>
        <w:t xml:space="preserve">into deals which transfer </w:t>
      </w:r>
      <w:r w:rsidR="008D39D1" w:rsidRPr="003A1203">
        <w:rPr>
          <w:rFonts w:ascii="Times New Roman" w:hAnsi="Times New Roman" w:cs="Times New Roman"/>
          <w:sz w:val="22"/>
        </w:rPr>
        <w:t xml:space="preserve">ownership to Black individuals. </w:t>
      </w:r>
      <w:r w:rsidR="008E1209" w:rsidRPr="003A1203">
        <w:rPr>
          <w:rFonts w:ascii="Times New Roman" w:hAnsi="Times New Roman" w:cs="Times New Roman"/>
          <w:sz w:val="22"/>
        </w:rPr>
        <w:t xml:space="preserve"> </w:t>
      </w:r>
      <w:r w:rsidR="008D39D1" w:rsidRPr="003A1203">
        <w:rPr>
          <w:rFonts w:ascii="Times New Roman" w:hAnsi="Times New Roman" w:cs="Times New Roman"/>
          <w:sz w:val="22"/>
        </w:rPr>
        <w:t>Th</w:t>
      </w:r>
      <w:r w:rsidR="00EB0989">
        <w:rPr>
          <w:rFonts w:ascii="Times New Roman" w:hAnsi="Times New Roman" w:cs="Times New Roman"/>
          <w:sz w:val="22"/>
        </w:rPr>
        <w:t>is is because the</w:t>
      </w:r>
      <w:r w:rsidR="008D39D1" w:rsidRPr="003A1203">
        <w:rPr>
          <w:rFonts w:ascii="Times New Roman" w:hAnsi="Times New Roman" w:cs="Times New Roman"/>
          <w:sz w:val="22"/>
        </w:rPr>
        <w:t xml:space="preserve"> majority of the </w:t>
      </w:r>
      <w:r w:rsidR="008A3513">
        <w:rPr>
          <w:rFonts w:ascii="Times New Roman" w:hAnsi="Times New Roman" w:cs="Times New Roman"/>
          <w:sz w:val="22"/>
        </w:rPr>
        <w:t>points allocated</w:t>
      </w:r>
      <w:r w:rsidR="008D39D1" w:rsidRPr="003A1203">
        <w:rPr>
          <w:rFonts w:ascii="Times New Roman" w:hAnsi="Times New Roman" w:cs="Times New Roman"/>
          <w:sz w:val="22"/>
        </w:rPr>
        <w:t xml:space="preserve"> under this element come</w:t>
      </w:r>
      <w:r w:rsidR="002E523D">
        <w:rPr>
          <w:rFonts w:ascii="Times New Roman" w:hAnsi="Times New Roman" w:cs="Times New Roman"/>
          <w:sz w:val="22"/>
        </w:rPr>
        <w:t>s</w:t>
      </w:r>
      <w:r w:rsidR="008D39D1" w:rsidRPr="003A1203">
        <w:rPr>
          <w:rFonts w:ascii="Times New Roman" w:hAnsi="Times New Roman" w:cs="Times New Roman"/>
          <w:sz w:val="22"/>
        </w:rPr>
        <w:t xml:space="preserve"> from the transfer of voting rights or economic interest to Black individuals, with a slight preference towards Black females. </w:t>
      </w:r>
      <w:r>
        <w:rPr>
          <w:rFonts w:ascii="Times New Roman" w:hAnsi="Times New Roman" w:cs="Times New Roman"/>
          <w:sz w:val="22"/>
        </w:rPr>
        <w:t xml:space="preserve">It is therefore understandable why the majority of efforts placed by companies to achieving transformation has been by entering into </w:t>
      </w:r>
      <w:r w:rsidR="008A3513">
        <w:rPr>
          <w:rFonts w:ascii="Times New Roman" w:hAnsi="Times New Roman" w:cs="Times New Roman"/>
          <w:sz w:val="22"/>
        </w:rPr>
        <w:t>BBBEE deals with selected beneficiaries</w:t>
      </w:r>
      <w:r w:rsidR="008D39D1" w:rsidRPr="003A1203">
        <w:rPr>
          <w:rFonts w:ascii="Times New Roman" w:hAnsi="Times New Roman" w:cs="Times New Roman"/>
          <w:sz w:val="22"/>
        </w:rPr>
        <w:t>.</w:t>
      </w:r>
      <w:r w:rsidR="00D27B8F">
        <w:rPr>
          <w:rFonts w:ascii="Times New Roman" w:hAnsi="Times New Roman" w:cs="Times New Roman"/>
          <w:sz w:val="22"/>
        </w:rPr>
        <w:t xml:space="preserve"> This is because these deals are one of the easiest ways in which companies can achieve a significant amount of points, while focusing only on a singular fulfilment criteria of the Scorecard.</w:t>
      </w:r>
      <w:r w:rsidR="008D39D1" w:rsidRPr="003A1203">
        <w:rPr>
          <w:rFonts w:ascii="Times New Roman" w:hAnsi="Times New Roman" w:cs="Times New Roman"/>
          <w:sz w:val="22"/>
        </w:rPr>
        <w:t xml:space="preserve"> </w:t>
      </w:r>
      <w:r>
        <w:rPr>
          <w:rFonts w:ascii="Times New Roman" w:hAnsi="Times New Roman" w:cs="Times New Roman"/>
          <w:sz w:val="22"/>
        </w:rPr>
        <w:t>It is also</w:t>
      </w:r>
      <w:r w:rsidR="00EB0989">
        <w:rPr>
          <w:rFonts w:ascii="Times New Roman" w:hAnsi="Times New Roman" w:cs="Times New Roman"/>
          <w:sz w:val="22"/>
        </w:rPr>
        <w:t xml:space="preserve"> the consideration of these BBBEE deals that will</w:t>
      </w:r>
      <w:r>
        <w:rPr>
          <w:rFonts w:ascii="Times New Roman" w:hAnsi="Times New Roman" w:cs="Times New Roman"/>
          <w:sz w:val="22"/>
        </w:rPr>
        <w:t xml:space="preserve"> now</w:t>
      </w:r>
      <w:r w:rsidR="00EB0989">
        <w:rPr>
          <w:rFonts w:ascii="Times New Roman" w:hAnsi="Times New Roman" w:cs="Times New Roman"/>
          <w:sz w:val="22"/>
        </w:rPr>
        <w:t xml:space="preserve"> form the basis of this research. </w:t>
      </w:r>
      <w:r>
        <w:rPr>
          <w:rFonts w:ascii="Times New Roman" w:hAnsi="Times New Roman" w:cs="Times New Roman"/>
          <w:sz w:val="22"/>
        </w:rPr>
        <w:t>More specifically, it is the</w:t>
      </w:r>
      <w:r w:rsidR="00EB0989">
        <w:rPr>
          <w:rFonts w:ascii="Times New Roman" w:hAnsi="Times New Roman" w:cs="Times New Roman"/>
          <w:sz w:val="22"/>
        </w:rPr>
        <w:t xml:space="preserve"> </w:t>
      </w:r>
      <w:r>
        <w:rPr>
          <w:rFonts w:ascii="Times New Roman" w:hAnsi="Times New Roman" w:cs="Times New Roman"/>
          <w:sz w:val="22"/>
        </w:rPr>
        <w:t>structure by which these deals are funded that will be form primary consideration of this paper</w:t>
      </w:r>
      <w:r w:rsidR="008D39D1" w:rsidRPr="003A1203">
        <w:rPr>
          <w:rFonts w:ascii="Times New Roman" w:hAnsi="Times New Roman" w:cs="Times New Roman"/>
          <w:sz w:val="22"/>
        </w:rPr>
        <w:t>.</w:t>
      </w:r>
    </w:p>
    <w:p w14:paraId="63BA3A89" w14:textId="7B32AA76" w:rsidR="006B7584" w:rsidRPr="00095351" w:rsidRDefault="009A04FC" w:rsidP="00536234">
      <w:pPr>
        <w:pStyle w:val="Heading3"/>
        <w:ind w:left="0"/>
        <w:rPr>
          <w:rFonts w:ascii="Times New Roman" w:hAnsi="Times New Roman" w:cs="Times New Roman"/>
          <w:i/>
          <w:color w:val="auto"/>
          <w:sz w:val="22"/>
        </w:rPr>
      </w:pPr>
      <w:bookmarkStart w:id="9" w:name="_Toc506717755"/>
      <w:r>
        <w:rPr>
          <w:rFonts w:ascii="Times New Roman" w:hAnsi="Times New Roman" w:cs="Times New Roman"/>
          <w:i/>
          <w:color w:val="auto"/>
          <w:sz w:val="22"/>
        </w:rPr>
        <w:t>1.1.4</w:t>
      </w:r>
      <w:r>
        <w:rPr>
          <w:rFonts w:ascii="Times New Roman" w:hAnsi="Times New Roman" w:cs="Times New Roman"/>
          <w:i/>
          <w:color w:val="auto"/>
          <w:sz w:val="22"/>
        </w:rPr>
        <w:tab/>
        <w:t>S</w:t>
      </w:r>
      <w:r w:rsidR="008D39D1" w:rsidRPr="00095351">
        <w:rPr>
          <w:rFonts w:ascii="Times New Roman" w:hAnsi="Times New Roman" w:cs="Times New Roman"/>
          <w:i/>
          <w:color w:val="auto"/>
          <w:sz w:val="22"/>
        </w:rPr>
        <w:t>tructure of Broad-Based Black Economic Empowerment</w:t>
      </w:r>
      <w:r w:rsidR="006B7584" w:rsidRPr="00095351">
        <w:rPr>
          <w:rFonts w:ascii="Times New Roman" w:hAnsi="Times New Roman" w:cs="Times New Roman"/>
          <w:i/>
          <w:color w:val="auto"/>
          <w:sz w:val="22"/>
        </w:rPr>
        <w:t xml:space="preserve"> Deals</w:t>
      </w:r>
      <w:bookmarkEnd w:id="9"/>
    </w:p>
    <w:p w14:paraId="7A648DAE" w14:textId="77777777" w:rsidR="00C22699" w:rsidRPr="003A1203" w:rsidRDefault="003B5832" w:rsidP="00536234">
      <w:pPr>
        <w:spacing w:line="480" w:lineRule="auto"/>
        <w:ind w:left="0"/>
        <w:rPr>
          <w:rFonts w:ascii="Times New Roman" w:hAnsi="Times New Roman" w:cs="Times New Roman"/>
          <w:sz w:val="22"/>
        </w:rPr>
      </w:pPr>
      <w:r>
        <w:rPr>
          <w:rFonts w:ascii="Times New Roman" w:hAnsi="Times New Roman" w:cs="Times New Roman"/>
          <w:sz w:val="22"/>
        </w:rPr>
        <w:t xml:space="preserve">The general structure of BBBEE deals </w:t>
      </w:r>
      <w:r w:rsidR="00D27B8F">
        <w:rPr>
          <w:rFonts w:ascii="Times New Roman" w:hAnsi="Times New Roman" w:cs="Times New Roman"/>
          <w:sz w:val="22"/>
        </w:rPr>
        <w:t>begin first</w:t>
      </w:r>
      <w:r w:rsidR="00A41C96">
        <w:rPr>
          <w:rFonts w:ascii="Times New Roman" w:hAnsi="Times New Roman" w:cs="Times New Roman"/>
          <w:sz w:val="22"/>
        </w:rPr>
        <w:t xml:space="preserve"> with</w:t>
      </w:r>
      <w:r w:rsidR="008D39D1" w:rsidRPr="003A1203">
        <w:rPr>
          <w:rFonts w:ascii="Times New Roman" w:hAnsi="Times New Roman" w:cs="Times New Roman"/>
          <w:sz w:val="22"/>
        </w:rPr>
        <w:t xml:space="preserve"> </w:t>
      </w:r>
      <w:r w:rsidR="006B7584" w:rsidRPr="003A1203">
        <w:rPr>
          <w:rFonts w:ascii="Times New Roman" w:hAnsi="Times New Roman" w:cs="Times New Roman"/>
          <w:sz w:val="22"/>
        </w:rPr>
        <w:t>a</w:t>
      </w:r>
      <w:r w:rsidR="008D39D1" w:rsidRPr="003A1203">
        <w:rPr>
          <w:rFonts w:ascii="Times New Roman" w:hAnsi="Times New Roman" w:cs="Times New Roman"/>
          <w:sz w:val="22"/>
        </w:rPr>
        <w:t xml:space="preserve"> specified</w:t>
      </w:r>
      <w:r>
        <w:rPr>
          <w:rFonts w:ascii="Times New Roman" w:hAnsi="Times New Roman" w:cs="Times New Roman"/>
          <w:sz w:val="22"/>
        </w:rPr>
        <w:t xml:space="preserve"> percentage</w:t>
      </w:r>
      <w:r w:rsidR="006B7584" w:rsidRPr="003A1203">
        <w:rPr>
          <w:rFonts w:ascii="Times New Roman" w:hAnsi="Times New Roman" w:cs="Times New Roman"/>
          <w:sz w:val="22"/>
        </w:rPr>
        <w:t xml:space="preserve"> of shares </w:t>
      </w:r>
      <w:r>
        <w:rPr>
          <w:rFonts w:ascii="Times New Roman" w:hAnsi="Times New Roman" w:cs="Times New Roman"/>
          <w:sz w:val="22"/>
        </w:rPr>
        <w:t xml:space="preserve">issued by the issuing company and </w:t>
      </w:r>
      <w:r w:rsidR="006B7584" w:rsidRPr="003A1203">
        <w:rPr>
          <w:rFonts w:ascii="Times New Roman" w:hAnsi="Times New Roman" w:cs="Times New Roman"/>
          <w:sz w:val="22"/>
        </w:rPr>
        <w:t>in the name of</w:t>
      </w:r>
      <w:r>
        <w:rPr>
          <w:rFonts w:ascii="Times New Roman" w:hAnsi="Times New Roman" w:cs="Times New Roman"/>
          <w:sz w:val="22"/>
        </w:rPr>
        <w:t xml:space="preserve"> </w:t>
      </w:r>
      <w:r w:rsidR="00D27B8F">
        <w:rPr>
          <w:rFonts w:ascii="Times New Roman" w:hAnsi="Times New Roman" w:cs="Times New Roman"/>
          <w:sz w:val="22"/>
        </w:rPr>
        <w:t xml:space="preserve">a chosen beneficiary </w:t>
      </w:r>
      <w:r w:rsidR="006B7584" w:rsidRPr="003A1203">
        <w:rPr>
          <w:rFonts w:ascii="Times New Roman" w:hAnsi="Times New Roman" w:cs="Times New Roman"/>
          <w:sz w:val="22"/>
        </w:rPr>
        <w:t>(Intellidex, 2015).</w:t>
      </w:r>
      <w:r w:rsidR="00BB16B2">
        <w:rPr>
          <w:rFonts w:ascii="Times New Roman" w:hAnsi="Times New Roman" w:cs="Times New Roman"/>
          <w:sz w:val="22"/>
        </w:rPr>
        <w:t xml:space="preserve"> Together with </w:t>
      </w:r>
      <w:r w:rsidR="008D39D1" w:rsidRPr="003A1203">
        <w:rPr>
          <w:rFonts w:ascii="Times New Roman" w:hAnsi="Times New Roman" w:cs="Times New Roman"/>
          <w:sz w:val="22"/>
        </w:rPr>
        <w:t>equity issue</w:t>
      </w:r>
      <w:r>
        <w:rPr>
          <w:rFonts w:ascii="Times New Roman" w:hAnsi="Times New Roman" w:cs="Times New Roman"/>
          <w:sz w:val="22"/>
        </w:rPr>
        <w:t>d</w:t>
      </w:r>
      <w:r w:rsidR="008D39D1" w:rsidRPr="003A1203">
        <w:rPr>
          <w:rFonts w:ascii="Times New Roman" w:hAnsi="Times New Roman" w:cs="Times New Roman"/>
          <w:sz w:val="22"/>
        </w:rPr>
        <w:t xml:space="preserve"> is a loan</w:t>
      </w:r>
      <w:r w:rsidR="00BB16B2">
        <w:rPr>
          <w:rFonts w:ascii="Times New Roman" w:hAnsi="Times New Roman" w:cs="Times New Roman"/>
          <w:sz w:val="22"/>
        </w:rPr>
        <w:t>, or some other form of financing arrangement,</w:t>
      </w:r>
      <w:r w:rsidR="008D39D1" w:rsidRPr="003A1203">
        <w:rPr>
          <w:rFonts w:ascii="Times New Roman" w:hAnsi="Times New Roman" w:cs="Times New Roman"/>
          <w:sz w:val="22"/>
        </w:rPr>
        <w:t xml:space="preserve"> </w:t>
      </w:r>
      <w:r w:rsidR="00BB16B2">
        <w:rPr>
          <w:rFonts w:ascii="Times New Roman" w:hAnsi="Times New Roman" w:cs="Times New Roman"/>
          <w:sz w:val="22"/>
        </w:rPr>
        <w:t xml:space="preserve">which </w:t>
      </w:r>
      <w:r w:rsidR="008D39D1" w:rsidRPr="003A1203">
        <w:rPr>
          <w:rFonts w:ascii="Times New Roman" w:hAnsi="Times New Roman" w:cs="Times New Roman"/>
          <w:sz w:val="22"/>
        </w:rPr>
        <w:t>is also issued</w:t>
      </w:r>
      <w:r w:rsidR="00BB16B2">
        <w:rPr>
          <w:rFonts w:ascii="Times New Roman" w:hAnsi="Times New Roman" w:cs="Times New Roman"/>
          <w:sz w:val="22"/>
        </w:rPr>
        <w:t xml:space="preserve"> by the</w:t>
      </w:r>
      <w:r w:rsidR="00D27B8F">
        <w:rPr>
          <w:rFonts w:ascii="Times New Roman" w:hAnsi="Times New Roman" w:cs="Times New Roman"/>
          <w:sz w:val="22"/>
        </w:rPr>
        <w:t xml:space="preserve"> issuing</w:t>
      </w:r>
      <w:r w:rsidR="00BB16B2">
        <w:rPr>
          <w:rFonts w:ascii="Times New Roman" w:hAnsi="Times New Roman" w:cs="Times New Roman"/>
          <w:sz w:val="22"/>
        </w:rPr>
        <w:t xml:space="preserve"> company</w:t>
      </w:r>
      <w:r>
        <w:rPr>
          <w:rFonts w:ascii="Times New Roman" w:hAnsi="Times New Roman" w:cs="Times New Roman"/>
          <w:sz w:val="22"/>
        </w:rPr>
        <w:t xml:space="preserve"> </w:t>
      </w:r>
      <w:r w:rsidR="00D27B8F">
        <w:rPr>
          <w:rFonts w:ascii="Times New Roman" w:hAnsi="Times New Roman" w:cs="Times New Roman"/>
          <w:sz w:val="22"/>
        </w:rPr>
        <w:t xml:space="preserve">to </w:t>
      </w:r>
      <w:r w:rsidR="008D39D1" w:rsidRPr="003A1203">
        <w:rPr>
          <w:rFonts w:ascii="Times New Roman" w:hAnsi="Times New Roman" w:cs="Times New Roman"/>
          <w:sz w:val="22"/>
        </w:rPr>
        <w:t>the elected beneficiary</w:t>
      </w:r>
      <w:r w:rsidR="00D27B8F">
        <w:rPr>
          <w:rFonts w:ascii="Times New Roman" w:hAnsi="Times New Roman" w:cs="Times New Roman"/>
          <w:sz w:val="22"/>
        </w:rPr>
        <w:t>. This loan or other financial obligation will need to be repaid by the beneficiary to the issuing company</w:t>
      </w:r>
      <w:r w:rsidR="008D39D1" w:rsidRPr="003A1203">
        <w:rPr>
          <w:rFonts w:ascii="Times New Roman" w:hAnsi="Times New Roman" w:cs="Times New Roman"/>
          <w:sz w:val="22"/>
        </w:rPr>
        <w:t xml:space="preserve">. </w:t>
      </w:r>
      <w:r w:rsidR="00BB16B2">
        <w:rPr>
          <w:rFonts w:ascii="Times New Roman" w:hAnsi="Times New Roman" w:cs="Times New Roman"/>
          <w:sz w:val="22"/>
        </w:rPr>
        <w:t xml:space="preserve">In the case of a loan, the </w:t>
      </w:r>
      <w:r w:rsidR="008D39D1" w:rsidRPr="003A1203">
        <w:rPr>
          <w:rFonts w:ascii="Times New Roman" w:hAnsi="Times New Roman" w:cs="Times New Roman"/>
          <w:sz w:val="22"/>
        </w:rPr>
        <w:t xml:space="preserve">value of </w:t>
      </w:r>
      <w:r w:rsidR="00BB16B2">
        <w:rPr>
          <w:rFonts w:ascii="Times New Roman" w:hAnsi="Times New Roman" w:cs="Times New Roman"/>
          <w:sz w:val="22"/>
        </w:rPr>
        <w:t>such a</w:t>
      </w:r>
      <w:r w:rsidR="008D39D1" w:rsidRPr="003A1203">
        <w:rPr>
          <w:rFonts w:ascii="Times New Roman" w:hAnsi="Times New Roman" w:cs="Times New Roman"/>
          <w:sz w:val="22"/>
        </w:rPr>
        <w:t xml:space="preserve"> loan is </w:t>
      </w:r>
      <w:r w:rsidR="00D27B8F">
        <w:rPr>
          <w:rFonts w:ascii="Times New Roman" w:hAnsi="Times New Roman" w:cs="Times New Roman"/>
          <w:sz w:val="22"/>
        </w:rPr>
        <w:t>normally</w:t>
      </w:r>
      <w:r w:rsidR="008D39D1" w:rsidRPr="003A1203">
        <w:rPr>
          <w:rFonts w:ascii="Times New Roman" w:hAnsi="Times New Roman" w:cs="Times New Roman"/>
          <w:sz w:val="22"/>
        </w:rPr>
        <w:t xml:space="preserve"> set at a discount to the value of the shares at the date of inception. </w:t>
      </w:r>
      <w:r w:rsidR="00BB16B2">
        <w:rPr>
          <w:rFonts w:ascii="Times New Roman" w:hAnsi="Times New Roman" w:cs="Times New Roman"/>
          <w:sz w:val="22"/>
        </w:rPr>
        <w:t>In other words, a</w:t>
      </w:r>
      <w:r w:rsidR="008D39D1" w:rsidRPr="003A1203">
        <w:rPr>
          <w:rFonts w:ascii="Times New Roman" w:hAnsi="Times New Roman" w:cs="Times New Roman"/>
          <w:sz w:val="22"/>
        </w:rPr>
        <w:t xml:space="preserve"> discounted value </w:t>
      </w:r>
      <w:r w:rsidR="00BB16B2">
        <w:rPr>
          <w:rFonts w:ascii="Times New Roman" w:hAnsi="Times New Roman" w:cs="Times New Roman"/>
          <w:sz w:val="22"/>
        </w:rPr>
        <w:t>on</w:t>
      </w:r>
      <w:r w:rsidR="00C22699" w:rsidRPr="003A1203">
        <w:rPr>
          <w:rFonts w:ascii="Times New Roman" w:hAnsi="Times New Roman" w:cs="Times New Roman"/>
          <w:sz w:val="22"/>
        </w:rPr>
        <w:t xml:space="preserve"> the loan is set as the opening balance of the financial obligation owed by beneficiaries </w:t>
      </w:r>
      <w:r w:rsidR="006B7584" w:rsidRPr="003A1203">
        <w:rPr>
          <w:rFonts w:ascii="Times New Roman" w:hAnsi="Times New Roman" w:cs="Times New Roman"/>
          <w:sz w:val="22"/>
        </w:rPr>
        <w:t>(Intellidex, 2015). The financ</w:t>
      </w:r>
      <w:r w:rsidR="00C22699" w:rsidRPr="003A1203">
        <w:rPr>
          <w:rFonts w:ascii="Times New Roman" w:hAnsi="Times New Roman" w:cs="Times New Roman"/>
          <w:sz w:val="22"/>
        </w:rPr>
        <w:t>ial obligation</w:t>
      </w:r>
      <w:r w:rsidR="006B7584" w:rsidRPr="003A1203">
        <w:rPr>
          <w:rFonts w:ascii="Times New Roman" w:hAnsi="Times New Roman" w:cs="Times New Roman"/>
          <w:sz w:val="22"/>
        </w:rPr>
        <w:t xml:space="preserve"> </w:t>
      </w:r>
      <w:r w:rsidR="00D27B8F">
        <w:rPr>
          <w:rFonts w:ascii="Times New Roman" w:hAnsi="Times New Roman" w:cs="Times New Roman"/>
          <w:sz w:val="22"/>
        </w:rPr>
        <w:t>will then increase</w:t>
      </w:r>
      <w:r w:rsidR="006B7584" w:rsidRPr="003A1203">
        <w:rPr>
          <w:rFonts w:ascii="Times New Roman" w:hAnsi="Times New Roman" w:cs="Times New Roman"/>
          <w:sz w:val="22"/>
        </w:rPr>
        <w:t xml:space="preserve"> each year by an agreed upon interest rate.</w:t>
      </w:r>
      <w:r w:rsidR="00C22699" w:rsidRPr="003A1203">
        <w:rPr>
          <w:rFonts w:ascii="Times New Roman" w:hAnsi="Times New Roman" w:cs="Times New Roman"/>
          <w:sz w:val="22"/>
        </w:rPr>
        <w:t xml:space="preserve"> </w:t>
      </w:r>
      <w:r w:rsidR="006B7584" w:rsidRPr="003A1203">
        <w:rPr>
          <w:rFonts w:ascii="Times New Roman" w:hAnsi="Times New Roman" w:cs="Times New Roman"/>
          <w:sz w:val="22"/>
        </w:rPr>
        <w:t xml:space="preserve">The </w:t>
      </w:r>
      <w:r>
        <w:rPr>
          <w:rFonts w:ascii="Times New Roman" w:hAnsi="Times New Roman" w:cs="Times New Roman"/>
          <w:sz w:val="22"/>
        </w:rPr>
        <w:t>norm is for this interest rate to be set equal to the</w:t>
      </w:r>
      <w:r w:rsidR="00C22699" w:rsidRPr="003A1203">
        <w:rPr>
          <w:rFonts w:ascii="Times New Roman" w:hAnsi="Times New Roman" w:cs="Times New Roman"/>
          <w:sz w:val="22"/>
        </w:rPr>
        <w:t xml:space="preserve"> prevailing</w:t>
      </w:r>
      <w:r w:rsidR="006B7584" w:rsidRPr="003A1203">
        <w:rPr>
          <w:rFonts w:ascii="Times New Roman" w:hAnsi="Times New Roman" w:cs="Times New Roman"/>
          <w:sz w:val="22"/>
        </w:rPr>
        <w:t xml:space="preserve"> prime</w:t>
      </w:r>
      <w:r>
        <w:rPr>
          <w:rFonts w:ascii="Times New Roman" w:hAnsi="Times New Roman" w:cs="Times New Roman"/>
          <w:sz w:val="22"/>
        </w:rPr>
        <w:t xml:space="preserve"> interest</w:t>
      </w:r>
      <w:r w:rsidR="006B7584" w:rsidRPr="003A1203">
        <w:rPr>
          <w:rFonts w:ascii="Times New Roman" w:hAnsi="Times New Roman" w:cs="Times New Roman"/>
          <w:sz w:val="22"/>
        </w:rPr>
        <w:t xml:space="preserve"> rate </w:t>
      </w:r>
      <w:r>
        <w:rPr>
          <w:rFonts w:ascii="Times New Roman" w:hAnsi="Times New Roman" w:cs="Times New Roman"/>
          <w:sz w:val="22"/>
        </w:rPr>
        <w:t xml:space="preserve">at the time of entering into the transaction </w:t>
      </w:r>
      <w:r w:rsidR="006B7584" w:rsidRPr="003A1203">
        <w:rPr>
          <w:rFonts w:ascii="Times New Roman" w:hAnsi="Times New Roman" w:cs="Times New Roman"/>
          <w:sz w:val="22"/>
        </w:rPr>
        <w:t xml:space="preserve">(Intellidex, 2015). </w:t>
      </w:r>
    </w:p>
    <w:p w14:paraId="7E9C4C56" w14:textId="7FF4C3B0" w:rsidR="006B7584" w:rsidRPr="003A1203" w:rsidRDefault="00C22699" w:rsidP="00536234">
      <w:pPr>
        <w:spacing w:line="480" w:lineRule="auto"/>
        <w:ind w:left="0"/>
        <w:rPr>
          <w:rFonts w:ascii="Times New Roman" w:hAnsi="Times New Roman" w:cs="Times New Roman"/>
          <w:sz w:val="22"/>
        </w:rPr>
      </w:pPr>
      <w:r w:rsidRPr="003A1203">
        <w:rPr>
          <w:rFonts w:ascii="Times New Roman" w:hAnsi="Times New Roman" w:cs="Times New Roman"/>
          <w:sz w:val="22"/>
        </w:rPr>
        <w:t>Subsequent to this,</w:t>
      </w:r>
      <w:r w:rsidR="00BB16B2">
        <w:rPr>
          <w:rFonts w:ascii="Times New Roman" w:hAnsi="Times New Roman" w:cs="Times New Roman"/>
          <w:sz w:val="22"/>
        </w:rPr>
        <w:t xml:space="preserve"> and generally applying regardless of whether a loan or guarantee is provided</w:t>
      </w:r>
      <w:r w:rsidR="003B5832">
        <w:rPr>
          <w:rFonts w:ascii="Times New Roman" w:hAnsi="Times New Roman" w:cs="Times New Roman"/>
          <w:sz w:val="22"/>
        </w:rPr>
        <w:t xml:space="preserve"> by the issuing company at inception</w:t>
      </w:r>
      <w:r w:rsidR="00BB16B2">
        <w:rPr>
          <w:rFonts w:ascii="Times New Roman" w:hAnsi="Times New Roman" w:cs="Times New Roman"/>
          <w:sz w:val="22"/>
        </w:rPr>
        <w:t>,</w:t>
      </w:r>
      <w:r w:rsidRPr="003A1203">
        <w:rPr>
          <w:rFonts w:ascii="Times New Roman" w:hAnsi="Times New Roman" w:cs="Times New Roman"/>
          <w:sz w:val="22"/>
        </w:rPr>
        <w:t xml:space="preserve"> dividends are then paid by the issuing company to the BBBEE participant. These payments of dividends will assist</w:t>
      </w:r>
      <w:r w:rsidR="00BB16B2">
        <w:rPr>
          <w:rFonts w:ascii="Times New Roman" w:hAnsi="Times New Roman" w:cs="Times New Roman"/>
          <w:sz w:val="22"/>
        </w:rPr>
        <w:t xml:space="preserve"> the beneficiary in settling the</w:t>
      </w:r>
      <w:r w:rsidRPr="003A1203">
        <w:rPr>
          <w:rFonts w:ascii="Times New Roman" w:hAnsi="Times New Roman" w:cs="Times New Roman"/>
          <w:sz w:val="22"/>
        </w:rPr>
        <w:t xml:space="preserve"> outstanding portion of the financial obligation</w:t>
      </w:r>
      <w:r w:rsidR="00BB16B2">
        <w:rPr>
          <w:rFonts w:ascii="Times New Roman" w:hAnsi="Times New Roman" w:cs="Times New Roman"/>
          <w:sz w:val="22"/>
        </w:rPr>
        <w:t xml:space="preserve"> owed by them</w:t>
      </w:r>
      <w:r w:rsidRPr="003A1203">
        <w:rPr>
          <w:rFonts w:ascii="Times New Roman" w:hAnsi="Times New Roman" w:cs="Times New Roman"/>
          <w:sz w:val="22"/>
        </w:rPr>
        <w:t xml:space="preserve">, </w:t>
      </w:r>
      <w:r w:rsidR="00D27B8F">
        <w:rPr>
          <w:rFonts w:ascii="Times New Roman" w:hAnsi="Times New Roman" w:cs="Times New Roman"/>
          <w:sz w:val="22"/>
        </w:rPr>
        <w:t>consisting</w:t>
      </w:r>
      <w:r w:rsidRPr="003A1203">
        <w:rPr>
          <w:rFonts w:ascii="Times New Roman" w:hAnsi="Times New Roman" w:cs="Times New Roman"/>
          <w:sz w:val="22"/>
        </w:rPr>
        <w:t xml:space="preserve"> of both </w:t>
      </w:r>
      <w:r w:rsidR="00BB16B2">
        <w:rPr>
          <w:rFonts w:ascii="Times New Roman" w:hAnsi="Times New Roman" w:cs="Times New Roman"/>
          <w:sz w:val="22"/>
        </w:rPr>
        <w:t>outstanding interest and capital</w:t>
      </w:r>
      <w:r w:rsidRPr="003A1203">
        <w:rPr>
          <w:rFonts w:ascii="Times New Roman" w:hAnsi="Times New Roman" w:cs="Times New Roman"/>
          <w:sz w:val="22"/>
        </w:rPr>
        <w:t xml:space="preserve"> payments. Any residual amounts of dividends are then transferred directly to BBBEE beneficiary to be used</w:t>
      </w:r>
      <w:r w:rsidR="00D27B8F">
        <w:rPr>
          <w:rFonts w:ascii="Times New Roman" w:hAnsi="Times New Roman" w:cs="Times New Roman"/>
          <w:sz w:val="22"/>
        </w:rPr>
        <w:t xml:space="preserve"> at their </w:t>
      </w:r>
      <w:r w:rsidR="00D27B8F">
        <w:rPr>
          <w:rFonts w:ascii="Times New Roman" w:hAnsi="Times New Roman" w:cs="Times New Roman"/>
          <w:sz w:val="22"/>
        </w:rPr>
        <w:lastRenderedPageBreak/>
        <w:t>discretion</w:t>
      </w:r>
      <w:r w:rsidRPr="003A1203">
        <w:rPr>
          <w:rFonts w:ascii="Times New Roman" w:hAnsi="Times New Roman" w:cs="Times New Roman"/>
          <w:sz w:val="22"/>
        </w:rPr>
        <w:t xml:space="preserve">. </w:t>
      </w:r>
      <w:r w:rsidR="006B7584" w:rsidRPr="003A1203">
        <w:rPr>
          <w:rFonts w:ascii="Times New Roman" w:hAnsi="Times New Roman" w:cs="Times New Roman"/>
          <w:sz w:val="22"/>
        </w:rPr>
        <w:t xml:space="preserve">On expiry of these deals, </w:t>
      </w:r>
      <w:r w:rsidRPr="003A1203">
        <w:rPr>
          <w:rFonts w:ascii="Times New Roman" w:hAnsi="Times New Roman" w:cs="Times New Roman"/>
          <w:sz w:val="22"/>
        </w:rPr>
        <w:t>any</w:t>
      </w:r>
      <w:r w:rsidR="006B7584" w:rsidRPr="003A1203">
        <w:rPr>
          <w:rFonts w:ascii="Times New Roman" w:hAnsi="Times New Roman" w:cs="Times New Roman"/>
          <w:sz w:val="22"/>
        </w:rPr>
        <w:t xml:space="preserve"> outstanding portion of the obligation</w:t>
      </w:r>
      <w:r w:rsidRPr="003A1203">
        <w:rPr>
          <w:rFonts w:ascii="Times New Roman" w:hAnsi="Times New Roman" w:cs="Times New Roman"/>
          <w:sz w:val="22"/>
        </w:rPr>
        <w:t xml:space="preserve"> which </w:t>
      </w:r>
      <w:r w:rsidR="00D27B8F">
        <w:rPr>
          <w:rFonts w:ascii="Times New Roman" w:hAnsi="Times New Roman" w:cs="Times New Roman"/>
          <w:sz w:val="22"/>
        </w:rPr>
        <w:t>still remaining</w:t>
      </w:r>
      <w:r w:rsidR="006B7584" w:rsidRPr="003A1203">
        <w:rPr>
          <w:rFonts w:ascii="Times New Roman" w:hAnsi="Times New Roman" w:cs="Times New Roman"/>
          <w:sz w:val="22"/>
        </w:rPr>
        <w:t xml:space="preserve"> is then settled by a subsequent buy back of shares</w:t>
      </w:r>
      <w:r w:rsidRPr="003A1203">
        <w:rPr>
          <w:rFonts w:ascii="Times New Roman" w:hAnsi="Times New Roman" w:cs="Times New Roman"/>
          <w:sz w:val="22"/>
        </w:rPr>
        <w:t xml:space="preserve">. The size of any buyback </w:t>
      </w:r>
      <w:r w:rsidR="00D27B8F">
        <w:rPr>
          <w:rFonts w:ascii="Times New Roman" w:hAnsi="Times New Roman" w:cs="Times New Roman"/>
          <w:sz w:val="22"/>
        </w:rPr>
        <w:t>is set</w:t>
      </w:r>
      <w:r w:rsidRPr="003A1203">
        <w:rPr>
          <w:rFonts w:ascii="Times New Roman" w:hAnsi="Times New Roman" w:cs="Times New Roman"/>
          <w:sz w:val="22"/>
        </w:rPr>
        <w:t xml:space="preserve"> equal to</w:t>
      </w:r>
      <w:r w:rsidR="006B7584" w:rsidRPr="003A1203">
        <w:rPr>
          <w:rFonts w:ascii="Times New Roman" w:hAnsi="Times New Roman" w:cs="Times New Roman"/>
          <w:sz w:val="22"/>
        </w:rPr>
        <w:t xml:space="preserve"> </w:t>
      </w:r>
      <w:r w:rsidRPr="003A1203">
        <w:rPr>
          <w:rFonts w:ascii="Times New Roman" w:hAnsi="Times New Roman" w:cs="Times New Roman"/>
          <w:sz w:val="22"/>
        </w:rPr>
        <w:t>aggregate amount of the financial obligation still outstanding</w:t>
      </w:r>
      <w:r w:rsidR="00D27B8F">
        <w:rPr>
          <w:rFonts w:ascii="Times New Roman" w:hAnsi="Times New Roman" w:cs="Times New Roman"/>
          <w:sz w:val="22"/>
        </w:rPr>
        <w:t xml:space="preserve"> by the beneficiary</w:t>
      </w:r>
      <w:r w:rsidR="006B7584" w:rsidRPr="003A1203">
        <w:rPr>
          <w:rFonts w:ascii="Times New Roman" w:hAnsi="Times New Roman" w:cs="Times New Roman"/>
          <w:sz w:val="22"/>
        </w:rPr>
        <w:t xml:space="preserve"> (Intellidex, 2015). The remaining shares are then distributed to beneficiaries</w:t>
      </w:r>
      <w:r w:rsidR="00431999">
        <w:rPr>
          <w:rFonts w:ascii="Times New Roman" w:hAnsi="Times New Roman" w:cs="Times New Roman"/>
          <w:sz w:val="22"/>
        </w:rPr>
        <w:t>.</w:t>
      </w:r>
      <w:r w:rsidR="00D85C4D" w:rsidRPr="003A1203">
        <w:rPr>
          <w:rFonts w:ascii="Times New Roman" w:hAnsi="Times New Roman" w:cs="Times New Roman"/>
          <w:sz w:val="22"/>
        </w:rPr>
        <w:t>.</w:t>
      </w:r>
      <w:r w:rsidR="006B7584" w:rsidRPr="003A1203">
        <w:rPr>
          <w:rFonts w:ascii="Times New Roman" w:hAnsi="Times New Roman" w:cs="Times New Roman"/>
          <w:sz w:val="22"/>
        </w:rPr>
        <w:t xml:space="preserve"> </w:t>
      </w:r>
      <w:r w:rsidR="00D85C4D" w:rsidRPr="003A1203">
        <w:rPr>
          <w:rFonts w:ascii="Times New Roman" w:hAnsi="Times New Roman" w:cs="Times New Roman"/>
          <w:sz w:val="22"/>
        </w:rPr>
        <w:t xml:space="preserve">From here on out, the beneficiary can </w:t>
      </w:r>
      <w:r w:rsidR="008A535E" w:rsidRPr="003A1203">
        <w:rPr>
          <w:rFonts w:ascii="Times New Roman" w:hAnsi="Times New Roman" w:cs="Times New Roman"/>
          <w:sz w:val="22"/>
        </w:rPr>
        <w:t xml:space="preserve">obtain further benefits </w:t>
      </w:r>
      <w:r w:rsidR="00D85C4D" w:rsidRPr="003A1203">
        <w:rPr>
          <w:rFonts w:ascii="Times New Roman" w:hAnsi="Times New Roman" w:cs="Times New Roman"/>
          <w:sz w:val="22"/>
        </w:rPr>
        <w:t>from holding shares in the issuing company</w:t>
      </w:r>
      <w:r w:rsidR="008A535E" w:rsidRPr="003A1203">
        <w:rPr>
          <w:rFonts w:ascii="Times New Roman" w:hAnsi="Times New Roman" w:cs="Times New Roman"/>
          <w:sz w:val="22"/>
        </w:rPr>
        <w:t xml:space="preserve">. This will appear in the form of </w:t>
      </w:r>
      <w:r w:rsidR="003B5832">
        <w:rPr>
          <w:rFonts w:ascii="Times New Roman" w:hAnsi="Times New Roman" w:cs="Times New Roman"/>
          <w:sz w:val="22"/>
        </w:rPr>
        <w:t xml:space="preserve">additional </w:t>
      </w:r>
      <w:r w:rsidR="008A535E" w:rsidRPr="003A1203">
        <w:rPr>
          <w:rFonts w:ascii="Times New Roman" w:hAnsi="Times New Roman" w:cs="Times New Roman"/>
          <w:sz w:val="22"/>
        </w:rPr>
        <w:t>capital appreciation and dividends</w:t>
      </w:r>
      <w:r w:rsidR="00D85C4D" w:rsidRPr="003A1203">
        <w:rPr>
          <w:rFonts w:ascii="Times New Roman" w:hAnsi="Times New Roman" w:cs="Times New Roman"/>
          <w:sz w:val="22"/>
        </w:rPr>
        <w:t xml:space="preserve">. The alternative to this is then the immediate disposal of the shares for capital gain. </w:t>
      </w:r>
      <w:r w:rsidR="006B7584" w:rsidRPr="003A1203">
        <w:rPr>
          <w:rFonts w:ascii="Times New Roman" w:hAnsi="Times New Roman" w:cs="Times New Roman"/>
          <w:sz w:val="22"/>
        </w:rPr>
        <w:t xml:space="preserve"> </w:t>
      </w:r>
      <w:r w:rsidR="008A535E" w:rsidRPr="003A1203">
        <w:rPr>
          <w:rFonts w:ascii="Times New Roman" w:hAnsi="Times New Roman" w:cs="Times New Roman"/>
          <w:sz w:val="22"/>
        </w:rPr>
        <w:t>It is also important to note that the structure</w:t>
      </w:r>
      <w:r w:rsidRPr="003A1203">
        <w:rPr>
          <w:rFonts w:ascii="Times New Roman" w:hAnsi="Times New Roman" w:cs="Times New Roman"/>
          <w:sz w:val="22"/>
        </w:rPr>
        <w:t xml:space="preserve"> of these deals, to a large extent, do not vary</w:t>
      </w:r>
      <w:r w:rsidR="00357BE8">
        <w:rPr>
          <w:rFonts w:ascii="Times New Roman" w:hAnsi="Times New Roman" w:cs="Times New Roman"/>
          <w:sz w:val="22"/>
        </w:rPr>
        <w:t xml:space="preserve"> across the different types of beneficiaries’ party to a deal</w:t>
      </w:r>
      <w:r w:rsidRPr="003A1203">
        <w:rPr>
          <w:rFonts w:ascii="Times New Roman" w:hAnsi="Times New Roman" w:cs="Times New Roman"/>
          <w:sz w:val="22"/>
        </w:rPr>
        <w:t>.</w:t>
      </w:r>
      <w:r w:rsidR="00D85C4D" w:rsidRPr="003A1203">
        <w:rPr>
          <w:rFonts w:ascii="Times New Roman" w:hAnsi="Times New Roman" w:cs="Times New Roman"/>
          <w:sz w:val="22"/>
        </w:rPr>
        <w:t xml:space="preserve"> </w:t>
      </w:r>
    </w:p>
    <w:p w14:paraId="4D297075" w14:textId="77777777" w:rsidR="00AC5384" w:rsidRPr="00095351" w:rsidRDefault="009A04FC" w:rsidP="00536234">
      <w:pPr>
        <w:pStyle w:val="Heading3"/>
        <w:ind w:left="0"/>
        <w:rPr>
          <w:rFonts w:ascii="Times New Roman" w:hAnsi="Times New Roman" w:cs="Times New Roman"/>
          <w:i/>
          <w:color w:val="auto"/>
          <w:sz w:val="22"/>
        </w:rPr>
      </w:pPr>
      <w:bookmarkStart w:id="10" w:name="_Toc506717756"/>
      <w:r>
        <w:rPr>
          <w:rFonts w:ascii="Times New Roman" w:hAnsi="Times New Roman" w:cs="Times New Roman"/>
          <w:i/>
          <w:color w:val="auto"/>
          <w:sz w:val="22"/>
        </w:rPr>
        <w:t>1.1.5</w:t>
      </w:r>
      <w:r>
        <w:rPr>
          <w:rFonts w:ascii="Times New Roman" w:hAnsi="Times New Roman" w:cs="Times New Roman"/>
          <w:i/>
          <w:color w:val="auto"/>
          <w:sz w:val="22"/>
        </w:rPr>
        <w:tab/>
      </w:r>
      <w:r w:rsidR="00AC5384" w:rsidRPr="00095351">
        <w:rPr>
          <w:rFonts w:ascii="Times New Roman" w:hAnsi="Times New Roman" w:cs="Times New Roman"/>
          <w:i/>
          <w:color w:val="auto"/>
          <w:sz w:val="22"/>
        </w:rPr>
        <w:t xml:space="preserve">Types of </w:t>
      </w:r>
      <w:r w:rsidR="00C22699" w:rsidRPr="00095351">
        <w:rPr>
          <w:rFonts w:ascii="Times New Roman" w:hAnsi="Times New Roman" w:cs="Times New Roman"/>
          <w:i/>
          <w:color w:val="auto"/>
          <w:sz w:val="22"/>
        </w:rPr>
        <w:t>Beneficiaries</w:t>
      </w:r>
      <w:bookmarkEnd w:id="10"/>
    </w:p>
    <w:p w14:paraId="49CC2407" w14:textId="77777777" w:rsidR="00AB6321" w:rsidRPr="003A1203" w:rsidRDefault="008D39D1" w:rsidP="00536234">
      <w:pPr>
        <w:spacing w:line="480" w:lineRule="auto"/>
        <w:ind w:left="0"/>
        <w:rPr>
          <w:rFonts w:ascii="Times New Roman" w:hAnsi="Times New Roman" w:cs="Times New Roman"/>
          <w:sz w:val="22"/>
        </w:rPr>
      </w:pPr>
      <w:r w:rsidRPr="003A1203">
        <w:rPr>
          <w:rFonts w:ascii="Times New Roman" w:hAnsi="Times New Roman" w:cs="Times New Roman"/>
          <w:sz w:val="22"/>
        </w:rPr>
        <w:t>We are able to</w:t>
      </w:r>
      <w:r w:rsidR="00AB6321" w:rsidRPr="003A1203">
        <w:rPr>
          <w:rFonts w:ascii="Times New Roman" w:hAnsi="Times New Roman" w:cs="Times New Roman"/>
          <w:sz w:val="22"/>
        </w:rPr>
        <w:t xml:space="preserve"> identify three major classes of beneficiaries, all of whom fall into two broad categories</w:t>
      </w:r>
      <w:r w:rsidRPr="003A1203">
        <w:rPr>
          <w:rFonts w:ascii="Times New Roman" w:hAnsi="Times New Roman" w:cs="Times New Roman"/>
          <w:sz w:val="22"/>
        </w:rPr>
        <w:t>.</w:t>
      </w:r>
      <w:r w:rsidR="00AB6321" w:rsidRPr="003A1203">
        <w:rPr>
          <w:rFonts w:ascii="Times New Roman" w:hAnsi="Times New Roman" w:cs="Times New Roman"/>
          <w:sz w:val="22"/>
        </w:rPr>
        <w:t xml:space="preserve"> From a categorical perspective, </w:t>
      </w:r>
      <w:r w:rsidR="003B5832">
        <w:rPr>
          <w:rFonts w:ascii="Times New Roman" w:hAnsi="Times New Roman" w:cs="Times New Roman"/>
          <w:sz w:val="22"/>
        </w:rPr>
        <w:t>these beneficiaries are defined as either internal or external beneficiaries</w:t>
      </w:r>
      <w:r w:rsidR="00AB6321" w:rsidRPr="003A1203">
        <w:rPr>
          <w:rFonts w:ascii="Times New Roman" w:hAnsi="Times New Roman" w:cs="Times New Roman"/>
          <w:sz w:val="22"/>
        </w:rPr>
        <w:t>. These two categories are then broken down into three classes of beneficiaries described as</w:t>
      </w:r>
      <w:r w:rsidR="00AC5A6F">
        <w:rPr>
          <w:rFonts w:ascii="Times New Roman" w:hAnsi="Times New Roman" w:cs="Times New Roman"/>
          <w:sz w:val="22"/>
        </w:rPr>
        <w:t>:</w:t>
      </w:r>
      <w:r w:rsidR="00AB6321" w:rsidRPr="003A1203">
        <w:rPr>
          <w:rFonts w:ascii="Times New Roman" w:hAnsi="Times New Roman" w:cs="Times New Roman"/>
          <w:sz w:val="22"/>
        </w:rPr>
        <w:t xml:space="preserve"> staff schemes, st</w:t>
      </w:r>
      <w:r w:rsidR="003B5832">
        <w:rPr>
          <w:rFonts w:ascii="Times New Roman" w:hAnsi="Times New Roman" w:cs="Times New Roman"/>
          <w:sz w:val="22"/>
        </w:rPr>
        <w:t>rategic investment partners and</w:t>
      </w:r>
      <w:r w:rsidR="00AB6321" w:rsidRPr="003A1203">
        <w:rPr>
          <w:rFonts w:ascii="Times New Roman" w:hAnsi="Times New Roman" w:cs="Times New Roman"/>
          <w:sz w:val="22"/>
        </w:rPr>
        <w:t xml:space="preserve"> broad-based community schemes (Intellidex, 2015). </w:t>
      </w:r>
    </w:p>
    <w:p w14:paraId="378EED1F" w14:textId="2F993AE7" w:rsidR="007A3708" w:rsidRPr="003A1203" w:rsidRDefault="007A3708"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A staff scheme </w:t>
      </w:r>
      <w:r w:rsidR="003B5832">
        <w:rPr>
          <w:rFonts w:ascii="Times New Roman" w:hAnsi="Times New Roman" w:cs="Times New Roman"/>
          <w:sz w:val="22"/>
        </w:rPr>
        <w:t>is</w:t>
      </w:r>
      <w:r w:rsidRPr="003A1203">
        <w:rPr>
          <w:rFonts w:ascii="Times New Roman" w:hAnsi="Times New Roman" w:cs="Times New Roman"/>
          <w:sz w:val="22"/>
        </w:rPr>
        <w:t xml:space="preserve"> defined as a transaction </w:t>
      </w:r>
      <w:r w:rsidR="008D39D1" w:rsidRPr="003A1203">
        <w:rPr>
          <w:rFonts w:ascii="Times New Roman" w:hAnsi="Times New Roman" w:cs="Times New Roman"/>
          <w:sz w:val="22"/>
        </w:rPr>
        <w:t>entered into with employees origi</w:t>
      </w:r>
      <w:r w:rsidRPr="003A1203">
        <w:rPr>
          <w:rFonts w:ascii="Times New Roman" w:hAnsi="Times New Roman" w:cs="Times New Roman"/>
          <w:sz w:val="22"/>
        </w:rPr>
        <w:t>nating from within the company</w:t>
      </w:r>
      <w:r w:rsidR="003B5832">
        <w:rPr>
          <w:rFonts w:ascii="Times New Roman" w:hAnsi="Times New Roman" w:cs="Times New Roman"/>
          <w:sz w:val="22"/>
        </w:rPr>
        <w:t xml:space="preserve"> </w:t>
      </w:r>
      <w:r w:rsidR="00357BE8">
        <w:rPr>
          <w:rFonts w:ascii="Times New Roman" w:hAnsi="Times New Roman" w:cs="Times New Roman"/>
          <w:sz w:val="22"/>
        </w:rPr>
        <w:t>issuing</w:t>
      </w:r>
      <w:r w:rsidRPr="003A1203">
        <w:rPr>
          <w:rFonts w:ascii="Times New Roman" w:hAnsi="Times New Roman" w:cs="Times New Roman"/>
          <w:sz w:val="22"/>
        </w:rPr>
        <w:t xml:space="preserve"> the deal</w:t>
      </w:r>
      <w:r w:rsidR="008D39D1" w:rsidRPr="003A1203">
        <w:rPr>
          <w:rFonts w:ascii="Times New Roman" w:hAnsi="Times New Roman" w:cs="Times New Roman"/>
          <w:sz w:val="22"/>
        </w:rPr>
        <w:t xml:space="preserve">. </w:t>
      </w:r>
      <w:r w:rsidRPr="003A1203">
        <w:rPr>
          <w:rFonts w:ascii="Times New Roman" w:hAnsi="Times New Roman" w:cs="Times New Roman"/>
          <w:sz w:val="22"/>
        </w:rPr>
        <w:t xml:space="preserve">Out of the three classes of beneficiaries, it </w:t>
      </w:r>
      <w:r w:rsidR="00357BE8">
        <w:rPr>
          <w:rFonts w:ascii="Times New Roman" w:hAnsi="Times New Roman" w:cs="Times New Roman"/>
          <w:sz w:val="22"/>
        </w:rPr>
        <w:t xml:space="preserve">has been </w:t>
      </w:r>
      <w:r w:rsidRPr="003A1203">
        <w:rPr>
          <w:rFonts w:ascii="Times New Roman" w:hAnsi="Times New Roman" w:cs="Times New Roman"/>
          <w:sz w:val="22"/>
        </w:rPr>
        <w:t xml:space="preserve">found that the smallest number of deals have been entered into </w:t>
      </w:r>
      <w:r w:rsidR="00357BE8">
        <w:rPr>
          <w:rFonts w:ascii="Times New Roman" w:hAnsi="Times New Roman" w:cs="Times New Roman"/>
          <w:sz w:val="22"/>
        </w:rPr>
        <w:t>with the staff of the issuing company</w:t>
      </w:r>
      <w:r w:rsidR="00652A46">
        <w:rPr>
          <w:rFonts w:ascii="Times New Roman" w:hAnsi="Times New Roman" w:cs="Times New Roman"/>
          <w:sz w:val="22"/>
        </w:rPr>
        <w:t xml:space="preserve"> </w:t>
      </w:r>
      <w:r w:rsidR="00652A46" w:rsidRPr="00652A46">
        <w:rPr>
          <w:rFonts w:ascii="Times New Roman" w:hAnsi="Times New Roman" w:cs="Times New Roman"/>
          <w:sz w:val="22"/>
        </w:rPr>
        <w:t>(Intellidex, 2015)</w:t>
      </w:r>
      <w:r w:rsidR="001C51B5">
        <w:rPr>
          <w:rFonts w:ascii="Times New Roman" w:hAnsi="Times New Roman" w:cs="Times New Roman"/>
          <w:sz w:val="22"/>
        </w:rPr>
        <w:t>.</w:t>
      </w:r>
      <w:r w:rsidR="00652A46">
        <w:rPr>
          <w:rFonts w:ascii="Times New Roman" w:hAnsi="Times New Roman" w:cs="Times New Roman"/>
          <w:sz w:val="22"/>
        </w:rPr>
        <w:t xml:space="preserve"> </w:t>
      </w:r>
      <w:r w:rsidR="001C51B5">
        <w:rPr>
          <w:rFonts w:ascii="Times New Roman" w:hAnsi="Times New Roman" w:cs="Times New Roman"/>
          <w:sz w:val="22"/>
        </w:rPr>
        <w:t xml:space="preserve">On the other hand, </w:t>
      </w:r>
      <w:r w:rsidR="00A41C96">
        <w:rPr>
          <w:rFonts w:ascii="Times New Roman" w:hAnsi="Times New Roman" w:cs="Times New Roman"/>
          <w:sz w:val="22"/>
        </w:rPr>
        <w:t xml:space="preserve">strategic investment partners </w:t>
      </w:r>
      <w:r w:rsidRPr="003A1203">
        <w:rPr>
          <w:rFonts w:ascii="Times New Roman" w:hAnsi="Times New Roman" w:cs="Times New Roman"/>
          <w:sz w:val="22"/>
        </w:rPr>
        <w:t xml:space="preserve">consist largely of companies </w:t>
      </w:r>
      <w:r w:rsidR="00A41C96">
        <w:rPr>
          <w:rFonts w:ascii="Times New Roman" w:hAnsi="Times New Roman" w:cs="Times New Roman"/>
          <w:sz w:val="22"/>
        </w:rPr>
        <w:t>and</w:t>
      </w:r>
      <w:r w:rsidRPr="003A1203">
        <w:rPr>
          <w:rFonts w:ascii="Times New Roman" w:hAnsi="Times New Roman" w:cs="Times New Roman"/>
          <w:sz w:val="22"/>
        </w:rPr>
        <w:t xml:space="preserve"> prominent individuals external to the company</w:t>
      </w:r>
      <w:r w:rsidR="00431999">
        <w:rPr>
          <w:rFonts w:ascii="Times New Roman" w:hAnsi="Times New Roman" w:cs="Times New Roman"/>
          <w:sz w:val="22"/>
        </w:rPr>
        <w:t xml:space="preserve">. </w:t>
      </w:r>
      <w:r w:rsidRPr="003A1203">
        <w:rPr>
          <w:rFonts w:ascii="Times New Roman" w:hAnsi="Times New Roman" w:cs="Times New Roman"/>
          <w:sz w:val="22"/>
        </w:rPr>
        <w:t xml:space="preserve">It has been found that 62% of </w:t>
      </w:r>
      <w:r w:rsidR="003B5832">
        <w:rPr>
          <w:rFonts w:ascii="Times New Roman" w:hAnsi="Times New Roman" w:cs="Times New Roman"/>
          <w:sz w:val="22"/>
        </w:rPr>
        <w:t xml:space="preserve">total </w:t>
      </w:r>
      <w:r w:rsidRPr="003A1203">
        <w:rPr>
          <w:rFonts w:ascii="Times New Roman" w:hAnsi="Times New Roman" w:cs="Times New Roman"/>
          <w:sz w:val="22"/>
        </w:rPr>
        <w:t>deals have been entered into with strategic investment partners</w:t>
      </w:r>
      <w:r w:rsidR="00357BE8">
        <w:rPr>
          <w:rFonts w:ascii="Times New Roman" w:hAnsi="Times New Roman" w:cs="Times New Roman"/>
          <w:sz w:val="22"/>
        </w:rPr>
        <w:t>,</w:t>
      </w:r>
      <w:r w:rsidRPr="003A1203">
        <w:rPr>
          <w:rFonts w:ascii="Times New Roman" w:hAnsi="Times New Roman" w:cs="Times New Roman"/>
          <w:sz w:val="22"/>
        </w:rPr>
        <w:t xml:space="preserve"> maki</w:t>
      </w:r>
      <w:r w:rsidR="003B5832">
        <w:rPr>
          <w:rFonts w:ascii="Times New Roman" w:hAnsi="Times New Roman" w:cs="Times New Roman"/>
          <w:sz w:val="22"/>
        </w:rPr>
        <w:t xml:space="preserve">ng them the most common type of beneficiary </w:t>
      </w:r>
      <w:r w:rsidRPr="003A1203">
        <w:rPr>
          <w:rFonts w:ascii="Times New Roman" w:hAnsi="Times New Roman" w:cs="Times New Roman"/>
          <w:sz w:val="22"/>
        </w:rPr>
        <w:t xml:space="preserve">(Intellidex, 2015). </w:t>
      </w:r>
      <w:r w:rsidR="00D771E8" w:rsidRPr="003A1203">
        <w:rPr>
          <w:rFonts w:ascii="Times New Roman" w:hAnsi="Times New Roman" w:cs="Times New Roman"/>
          <w:sz w:val="22"/>
        </w:rPr>
        <w:t xml:space="preserve">Lastly, the final class of external beneficiaries </w:t>
      </w:r>
      <w:r w:rsidR="003B5832">
        <w:rPr>
          <w:rFonts w:ascii="Times New Roman" w:hAnsi="Times New Roman" w:cs="Times New Roman"/>
          <w:sz w:val="22"/>
        </w:rPr>
        <w:t>are defined as</w:t>
      </w:r>
      <w:r w:rsidRPr="003A1203">
        <w:rPr>
          <w:rFonts w:ascii="Times New Roman" w:hAnsi="Times New Roman" w:cs="Times New Roman"/>
          <w:sz w:val="22"/>
        </w:rPr>
        <w:t xml:space="preserve"> broad-based community </w:t>
      </w:r>
      <w:r w:rsidR="003B5832">
        <w:rPr>
          <w:rFonts w:ascii="Times New Roman" w:hAnsi="Times New Roman" w:cs="Times New Roman"/>
          <w:sz w:val="22"/>
        </w:rPr>
        <w:t>partners</w:t>
      </w:r>
      <w:r w:rsidR="00D771E8" w:rsidRPr="003A1203">
        <w:rPr>
          <w:rFonts w:ascii="Times New Roman" w:hAnsi="Times New Roman" w:cs="Times New Roman"/>
          <w:sz w:val="22"/>
        </w:rPr>
        <w:t xml:space="preserve">. This class of beneficiary </w:t>
      </w:r>
      <w:r w:rsidR="00357BE8">
        <w:rPr>
          <w:rFonts w:ascii="Times New Roman" w:hAnsi="Times New Roman" w:cs="Times New Roman"/>
          <w:sz w:val="22"/>
        </w:rPr>
        <w:t>consists primarily</w:t>
      </w:r>
      <w:r w:rsidRPr="003A1203">
        <w:rPr>
          <w:rFonts w:ascii="Times New Roman" w:hAnsi="Times New Roman" w:cs="Times New Roman"/>
          <w:sz w:val="22"/>
        </w:rPr>
        <w:t xml:space="preserve"> of members of the surrounding community</w:t>
      </w:r>
      <w:r w:rsidR="003B5832">
        <w:rPr>
          <w:rFonts w:ascii="Times New Roman" w:hAnsi="Times New Roman" w:cs="Times New Roman"/>
          <w:sz w:val="22"/>
        </w:rPr>
        <w:t xml:space="preserve">, </w:t>
      </w:r>
      <w:r w:rsidR="00357BE8">
        <w:rPr>
          <w:rFonts w:ascii="Times New Roman" w:hAnsi="Times New Roman" w:cs="Times New Roman"/>
          <w:sz w:val="22"/>
        </w:rPr>
        <w:t>with many of these</w:t>
      </w:r>
      <w:r w:rsidR="003B5832">
        <w:rPr>
          <w:rFonts w:ascii="Times New Roman" w:hAnsi="Times New Roman" w:cs="Times New Roman"/>
          <w:sz w:val="22"/>
        </w:rPr>
        <w:t xml:space="preserve"> </w:t>
      </w:r>
      <w:r w:rsidR="00357BE8">
        <w:rPr>
          <w:rFonts w:ascii="Times New Roman" w:hAnsi="Times New Roman" w:cs="Times New Roman"/>
          <w:sz w:val="22"/>
        </w:rPr>
        <w:t xml:space="preserve">being </w:t>
      </w:r>
      <w:r w:rsidR="00D771E8" w:rsidRPr="003A1203">
        <w:rPr>
          <w:rFonts w:ascii="Times New Roman" w:hAnsi="Times New Roman" w:cs="Times New Roman"/>
          <w:sz w:val="22"/>
        </w:rPr>
        <w:t>non-profit organisations</w:t>
      </w:r>
      <w:r w:rsidRPr="003A1203">
        <w:rPr>
          <w:rFonts w:ascii="Times New Roman" w:hAnsi="Times New Roman" w:cs="Times New Roman"/>
          <w:sz w:val="22"/>
        </w:rPr>
        <w:t xml:space="preserve"> (Intellidex, 2015). </w:t>
      </w:r>
      <w:r w:rsidR="003B5832">
        <w:rPr>
          <w:rFonts w:ascii="Times New Roman" w:hAnsi="Times New Roman" w:cs="Times New Roman"/>
          <w:sz w:val="22"/>
        </w:rPr>
        <w:t xml:space="preserve">Broad-based community partners are the second most popular type of </w:t>
      </w:r>
      <w:r w:rsidR="00357BE8">
        <w:rPr>
          <w:rFonts w:ascii="Times New Roman" w:hAnsi="Times New Roman" w:cs="Times New Roman"/>
          <w:sz w:val="22"/>
        </w:rPr>
        <w:t>beneficiary</w:t>
      </w:r>
      <w:r w:rsidR="0004256D">
        <w:rPr>
          <w:rFonts w:ascii="Times New Roman" w:hAnsi="Times New Roman" w:cs="Times New Roman"/>
          <w:sz w:val="22"/>
        </w:rPr>
        <w:t xml:space="preserve"> </w:t>
      </w:r>
      <w:r w:rsidR="003B5832">
        <w:rPr>
          <w:rFonts w:ascii="Times New Roman" w:hAnsi="Times New Roman" w:cs="Times New Roman"/>
          <w:sz w:val="22"/>
        </w:rPr>
        <w:t>encountered in the market</w:t>
      </w:r>
      <w:r w:rsidR="00D771E8" w:rsidRPr="003A1203">
        <w:rPr>
          <w:rFonts w:ascii="Times New Roman" w:hAnsi="Times New Roman" w:cs="Times New Roman"/>
          <w:sz w:val="22"/>
        </w:rPr>
        <w:t>.</w:t>
      </w:r>
    </w:p>
    <w:p w14:paraId="012B8A2B" w14:textId="77777777" w:rsidR="006B7584" w:rsidRPr="00095351" w:rsidRDefault="009A04FC" w:rsidP="00536234">
      <w:pPr>
        <w:pStyle w:val="Heading3"/>
        <w:ind w:left="0"/>
        <w:rPr>
          <w:rFonts w:ascii="Times New Roman" w:hAnsi="Times New Roman" w:cs="Times New Roman"/>
          <w:i/>
          <w:color w:val="auto"/>
          <w:sz w:val="22"/>
        </w:rPr>
      </w:pPr>
      <w:bookmarkStart w:id="11" w:name="_Toc506717757"/>
      <w:r>
        <w:rPr>
          <w:rFonts w:ascii="Times New Roman" w:hAnsi="Times New Roman" w:cs="Times New Roman"/>
          <w:i/>
          <w:color w:val="auto"/>
          <w:sz w:val="22"/>
        </w:rPr>
        <w:t>1.1.6</w:t>
      </w:r>
      <w:r>
        <w:rPr>
          <w:rFonts w:ascii="Times New Roman" w:hAnsi="Times New Roman" w:cs="Times New Roman"/>
          <w:i/>
          <w:color w:val="auto"/>
          <w:sz w:val="22"/>
        </w:rPr>
        <w:tab/>
      </w:r>
      <w:r w:rsidR="006B7584" w:rsidRPr="00095351">
        <w:rPr>
          <w:rFonts w:ascii="Times New Roman" w:hAnsi="Times New Roman" w:cs="Times New Roman"/>
          <w:i/>
          <w:color w:val="auto"/>
          <w:sz w:val="22"/>
        </w:rPr>
        <w:t>Dividend Policy Implications</w:t>
      </w:r>
      <w:bookmarkEnd w:id="11"/>
    </w:p>
    <w:p w14:paraId="7E60472B"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Due to the</w:t>
      </w:r>
      <w:r w:rsidR="0004256D">
        <w:rPr>
          <w:rFonts w:ascii="Times New Roman" w:hAnsi="Times New Roman" w:cs="Times New Roman"/>
          <w:sz w:val="22"/>
        </w:rPr>
        <w:t xml:space="preserve"> significantly large</w:t>
      </w:r>
      <w:r w:rsidRPr="003A1203">
        <w:rPr>
          <w:rFonts w:ascii="Times New Roman" w:hAnsi="Times New Roman" w:cs="Times New Roman"/>
          <w:sz w:val="22"/>
        </w:rPr>
        <w:t xml:space="preserve"> size of </w:t>
      </w:r>
      <w:r w:rsidR="00357BE8">
        <w:rPr>
          <w:rFonts w:ascii="Times New Roman" w:hAnsi="Times New Roman" w:cs="Times New Roman"/>
          <w:sz w:val="22"/>
        </w:rPr>
        <w:t>BBBEE</w:t>
      </w:r>
      <w:r w:rsidR="0004256D">
        <w:rPr>
          <w:rFonts w:ascii="Times New Roman" w:hAnsi="Times New Roman" w:cs="Times New Roman"/>
          <w:sz w:val="22"/>
        </w:rPr>
        <w:t xml:space="preserve"> deals, and the limited capital possessed by beneficiaries, it can realistically be said that</w:t>
      </w:r>
      <w:r w:rsidRPr="003A1203">
        <w:rPr>
          <w:rFonts w:ascii="Times New Roman" w:hAnsi="Times New Roman" w:cs="Times New Roman"/>
          <w:sz w:val="22"/>
        </w:rPr>
        <w:t xml:space="preserve"> a large portion of beneficiaries will be unable to pay off the</w:t>
      </w:r>
      <w:r w:rsidR="0004256D">
        <w:rPr>
          <w:rFonts w:ascii="Times New Roman" w:hAnsi="Times New Roman" w:cs="Times New Roman"/>
          <w:sz w:val="22"/>
        </w:rPr>
        <w:t>ir</w:t>
      </w:r>
      <w:r w:rsidRPr="003A1203">
        <w:rPr>
          <w:rFonts w:ascii="Times New Roman" w:hAnsi="Times New Roman" w:cs="Times New Roman"/>
          <w:sz w:val="22"/>
        </w:rPr>
        <w:t xml:space="preserve"> outstanding financial obligation</w:t>
      </w:r>
      <w:r w:rsidR="0004256D">
        <w:rPr>
          <w:rFonts w:ascii="Times New Roman" w:hAnsi="Times New Roman" w:cs="Times New Roman"/>
          <w:sz w:val="22"/>
        </w:rPr>
        <w:t>s</w:t>
      </w:r>
      <w:r w:rsidRPr="003A1203">
        <w:rPr>
          <w:rFonts w:ascii="Times New Roman" w:hAnsi="Times New Roman" w:cs="Times New Roman"/>
          <w:sz w:val="22"/>
        </w:rPr>
        <w:t xml:space="preserve"> all on their own</w:t>
      </w:r>
      <w:r w:rsidR="0004256D">
        <w:rPr>
          <w:rFonts w:ascii="Times New Roman" w:hAnsi="Times New Roman" w:cs="Times New Roman"/>
          <w:sz w:val="22"/>
        </w:rPr>
        <w:t xml:space="preserve"> (Intellidex, 2015)</w:t>
      </w:r>
      <w:r w:rsidRPr="003A1203">
        <w:rPr>
          <w:rFonts w:ascii="Times New Roman" w:hAnsi="Times New Roman" w:cs="Times New Roman"/>
          <w:sz w:val="22"/>
        </w:rPr>
        <w:t xml:space="preserve">.  The result of this will be that the issuing </w:t>
      </w:r>
      <w:r w:rsidRPr="003A1203">
        <w:rPr>
          <w:rFonts w:ascii="Times New Roman" w:hAnsi="Times New Roman" w:cs="Times New Roman"/>
          <w:sz w:val="22"/>
        </w:rPr>
        <w:lastRenderedPageBreak/>
        <w:t xml:space="preserve">company will </w:t>
      </w:r>
      <w:r w:rsidR="00357BE8">
        <w:rPr>
          <w:rFonts w:ascii="Times New Roman" w:hAnsi="Times New Roman" w:cs="Times New Roman"/>
          <w:sz w:val="22"/>
        </w:rPr>
        <w:t xml:space="preserve">need </w:t>
      </w:r>
      <w:r w:rsidRPr="003A1203">
        <w:rPr>
          <w:rFonts w:ascii="Times New Roman" w:hAnsi="Times New Roman" w:cs="Times New Roman"/>
          <w:sz w:val="22"/>
        </w:rPr>
        <w:t xml:space="preserve">to assist beneficiaries in order to ensure that </w:t>
      </w:r>
      <w:r w:rsidR="00357BE8">
        <w:rPr>
          <w:rFonts w:ascii="Times New Roman" w:hAnsi="Times New Roman" w:cs="Times New Roman"/>
          <w:sz w:val="22"/>
        </w:rPr>
        <w:t>beneficiaries are able to fulfil their obligations in terms of the deal</w:t>
      </w:r>
      <w:r w:rsidRPr="003A1203">
        <w:rPr>
          <w:rFonts w:ascii="Times New Roman" w:hAnsi="Times New Roman" w:cs="Times New Roman"/>
          <w:sz w:val="22"/>
        </w:rPr>
        <w:t xml:space="preserve">. The only way in which this can be achieved by virtue of this deal is either through the transfer of payments of capital or dividend to receiving beneficiaries. </w:t>
      </w:r>
    </w:p>
    <w:p w14:paraId="4E973BA0" w14:textId="4B7538D2" w:rsidR="006B7584"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Since parties are locked in, in terms of the capital component of these deals, it is unlikely that the contract will allow for repurchases of capital</w:t>
      </w:r>
      <w:r w:rsidR="001C38FA">
        <w:rPr>
          <w:rFonts w:ascii="Times New Roman" w:hAnsi="Times New Roman" w:cs="Times New Roman"/>
          <w:sz w:val="22"/>
        </w:rPr>
        <w:t xml:space="preserve"> by companies</w:t>
      </w:r>
      <w:r w:rsidRPr="003A1203">
        <w:rPr>
          <w:rFonts w:ascii="Times New Roman" w:hAnsi="Times New Roman" w:cs="Times New Roman"/>
          <w:sz w:val="22"/>
        </w:rPr>
        <w:t xml:space="preserve"> </w:t>
      </w:r>
      <w:r w:rsidR="00357BE8">
        <w:rPr>
          <w:rFonts w:ascii="Times New Roman" w:hAnsi="Times New Roman" w:cs="Times New Roman"/>
          <w:sz w:val="22"/>
        </w:rPr>
        <w:t>prior to</w:t>
      </w:r>
      <w:r w:rsidRPr="003A1203">
        <w:rPr>
          <w:rFonts w:ascii="Times New Roman" w:hAnsi="Times New Roman" w:cs="Times New Roman"/>
          <w:sz w:val="22"/>
        </w:rPr>
        <w:t xml:space="preserve"> maturity</w:t>
      </w:r>
      <w:r w:rsidR="001C38FA">
        <w:rPr>
          <w:rFonts w:ascii="Times New Roman" w:hAnsi="Times New Roman" w:cs="Times New Roman"/>
          <w:sz w:val="22"/>
        </w:rPr>
        <w:t xml:space="preserve"> of the deal</w:t>
      </w:r>
      <w:r w:rsidRPr="003A1203">
        <w:rPr>
          <w:rFonts w:ascii="Times New Roman" w:hAnsi="Times New Roman" w:cs="Times New Roman"/>
          <w:sz w:val="22"/>
        </w:rPr>
        <w:t xml:space="preserve">. Another reason for </w:t>
      </w:r>
      <w:r w:rsidR="00357BE8">
        <w:rPr>
          <w:rFonts w:ascii="Times New Roman" w:hAnsi="Times New Roman" w:cs="Times New Roman"/>
          <w:sz w:val="22"/>
        </w:rPr>
        <w:t xml:space="preserve">companies </w:t>
      </w:r>
      <w:r w:rsidRPr="003A1203">
        <w:rPr>
          <w:rFonts w:ascii="Times New Roman" w:hAnsi="Times New Roman" w:cs="Times New Roman"/>
          <w:sz w:val="22"/>
        </w:rPr>
        <w:t>not making payments of capital is due to the fact that the value accruing to the issuing companies</w:t>
      </w:r>
      <w:r w:rsidR="00357BE8">
        <w:rPr>
          <w:rFonts w:ascii="Times New Roman" w:hAnsi="Times New Roman" w:cs="Times New Roman"/>
          <w:sz w:val="22"/>
        </w:rPr>
        <w:t>,</w:t>
      </w:r>
      <w:r w:rsidRPr="003A1203">
        <w:rPr>
          <w:rFonts w:ascii="Times New Roman" w:hAnsi="Times New Roman" w:cs="Times New Roman"/>
          <w:sz w:val="22"/>
        </w:rPr>
        <w:t xml:space="preserve"> and which is inherent in these deals, is in fact t</w:t>
      </w:r>
      <w:r w:rsidR="00357BE8">
        <w:rPr>
          <w:rFonts w:ascii="Times New Roman" w:hAnsi="Times New Roman" w:cs="Times New Roman"/>
          <w:sz w:val="22"/>
        </w:rPr>
        <w:t>ied up in the number of shares</w:t>
      </w:r>
      <w:r w:rsidRPr="003A1203">
        <w:rPr>
          <w:rFonts w:ascii="Times New Roman" w:hAnsi="Times New Roman" w:cs="Times New Roman"/>
          <w:sz w:val="22"/>
        </w:rPr>
        <w:t xml:space="preserve"> held by beneficiaries. This means that companies will instead</w:t>
      </w:r>
      <w:r w:rsidR="001C38FA">
        <w:rPr>
          <w:rFonts w:ascii="Times New Roman" w:hAnsi="Times New Roman" w:cs="Times New Roman"/>
          <w:sz w:val="22"/>
        </w:rPr>
        <w:t xml:space="preserve"> choose to</w:t>
      </w:r>
      <w:r w:rsidRPr="003A1203">
        <w:rPr>
          <w:rFonts w:ascii="Times New Roman" w:hAnsi="Times New Roman" w:cs="Times New Roman"/>
          <w:sz w:val="22"/>
        </w:rPr>
        <w:t xml:space="preserve"> distribute </w:t>
      </w:r>
      <w:r w:rsidR="001C38FA">
        <w:rPr>
          <w:rFonts w:ascii="Times New Roman" w:hAnsi="Times New Roman" w:cs="Times New Roman"/>
          <w:sz w:val="22"/>
        </w:rPr>
        <w:t>large</w:t>
      </w:r>
      <w:r w:rsidRPr="003A1203">
        <w:rPr>
          <w:rFonts w:ascii="Times New Roman" w:hAnsi="Times New Roman" w:cs="Times New Roman"/>
          <w:sz w:val="22"/>
        </w:rPr>
        <w:t xml:space="preserve"> amounts of dividends</w:t>
      </w:r>
      <w:r w:rsidR="0004256D">
        <w:rPr>
          <w:rFonts w:ascii="Times New Roman" w:hAnsi="Times New Roman" w:cs="Times New Roman"/>
          <w:sz w:val="22"/>
        </w:rPr>
        <w:t>,</w:t>
      </w:r>
      <w:r w:rsidR="001C38FA">
        <w:rPr>
          <w:rFonts w:ascii="Times New Roman" w:hAnsi="Times New Roman" w:cs="Times New Roman"/>
          <w:sz w:val="22"/>
        </w:rPr>
        <w:t xml:space="preserve"> most likely</w:t>
      </w:r>
      <w:r w:rsidR="00357BE8">
        <w:rPr>
          <w:rFonts w:ascii="Times New Roman" w:hAnsi="Times New Roman" w:cs="Times New Roman"/>
          <w:sz w:val="22"/>
        </w:rPr>
        <w:t xml:space="preserve"> over and above</w:t>
      </w:r>
      <w:r w:rsidR="001C38FA">
        <w:rPr>
          <w:rFonts w:ascii="Times New Roman" w:hAnsi="Times New Roman" w:cs="Times New Roman"/>
          <w:sz w:val="22"/>
        </w:rPr>
        <w:t xml:space="preserve"> that which</w:t>
      </w:r>
      <w:r w:rsidR="00357BE8">
        <w:rPr>
          <w:rFonts w:ascii="Times New Roman" w:hAnsi="Times New Roman" w:cs="Times New Roman"/>
          <w:sz w:val="22"/>
        </w:rPr>
        <w:t xml:space="preserve"> their current dividend policies</w:t>
      </w:r>
      <w:r w:rsidR="001C38FA">
        <w:rPr>
          <w:rFonts w:ascii="Times New Roman" w:hAnsi="Times New Roman" w:cs="Times New Roman"/>
          <w:sz w:val="22"/>
        </w:rPr>
        <w:t xml:space="preserve"> allow</w:t>
      </w:r>
      <w:r w:rsidR="00357BE8">
        <w:rPr>
          <w:rFonts w:ascii="Times New Roman" w:hAnsi="Times New Roman" w:cs="Times New Roman"/>
          <w:sz w:val="22"/>
        </w:rPr>
        <w:t>,</w:t>
      </w:r>
      <w:r w:rsidR="001C38FA">
        <w:rPr>
          <w:rFonts w:ascii="Times New Roman" w:hAnsi="Times New Roman" w:cs="Times New Roman"/>
          <w:sz w:val="22"/>
        </w:rPr>
        <w:t xml:space="preserve"> so as</w:t>
      </w:r>
      <w:r w:rsidR="00357BE8">
        <w:rPr>
          <w:rFonts w:ascii="Times New Roman" w:hAnsi="Times New Roman" w:cs="Times New Roman"/>
          <w:sz w:val="22"/>
        </w:rPr>
        <w:t xml:space="preserve"> to assist beneficiaries with their repayment commitments.</w:t>
      </w:r>
      <w:r w:rsidRPr="003A1203">
        <w:rPr>
          <w:rFonts w:ascii="Times New Roman" w:hAnsi="Times New Roman" w:cs="Times New Roman"/>
          <w:sz w:val="22"/>
        </w:rPr>
        <w:t xml:space="preserve"> </w:t>
      </w:r>
      <w:r w:rsidR="001C38FA">
        <w:rPr>
          <w:rFonts w:ascii="Times New Roman" w:hAnsi="Times New Roman" w:cs="Times New Roman"/>
          <w:sz w:val="22"/>
        </w:rPr>
        <w:t xml:space="preserve">Further, this is an option which </w:t>
      </w:r>
      <w:r w:rsidRPr="003A1203">
        <w:rPr>
          <w:rFonts w:ascii="Times New Roman" w:hAnsi="Times New Roman" w:cs="Times New Roman"/>
          <w:sz w:val="22"/>
        </w:rPr>
        <w:t>beneficiaries will prefer as opposed to</w:t>
      </w:r>
      <w:r w:rsidR="001C38FA">
        <w:rPr>
          <w:rFonts w:ascii="Times New Roman" w:hAnsi="Times New Roman" w:cs="Times New Roman"/>
          <w:sz w:val="22"/>
        </w:rPr>
        <w:t xml:space="preserve"> having to wait </w:t>
      </w:r>
      <w:r w:rsidRPr="003A1203">
        <w:rPr>
          <w:rFonts w:ascii="Times New Roman" w:hAnsi="Times New Roman" w:cs="Times New Roman"/>
          <w:sz w:val="22"/>
        </w:rPr>
        <w:t>for capital growth to accrue</w:t>
      </w:r>
      <w:r w:rsidR="001C38FA">
        <w:rPr>
          <w:rFonts w:ascii="Times New Roman" w:hAnsi="Times New Roman" w:cs="Times New Roman"/>
          <w:sz w:val="22"/>
        </w:rPr>
        <w:t>, due to their tight capital constraints</w:t>
      </w:r>
      <w:r w:rsidRPr="003A1203">
        <w:rPr>
          <w:rFonts w:ascii="Times New Roman" w:hAnsi="Times New Roman" w:cs="Times New Roman"/>
          <w:sz w:val="22"/>
        </w:rPr>
        <w:t xml:space="preserve"> (Lintner, 1956</w:t>
      </w:r>
      <w:r w:rsidR="00363591">
        <w:rPr>
          <w:rFonts w:ascii="Times New Roman" w:hAnsi="Times New Roman" w:cs="Times New Roman"/>
          <w:sz w:val="22"/>
        </w:rPr>
        <w:t>;</w:t>
      </w:r>
      <w:r w:rsidRPr="003A1203">
        <w:rPr>
          <w:rFonts w:ascii="Times New Roman" w:hAnsi="Times New Roman" w:cs="Times New Roman"/>
          <w:sz w:val="22"/>
        </w:rPr>
        <w:t xml:space="preserve"> Gordon, 1959). </w:t>
      </w:r>
    </w:p>
    <w:p w14:paraId="1AD74A03" w14:textId="77777777" w:rsidR="00BC5700" w:rsidRPr="003A1203" w:rsidRDefault="00BC5700" w:rsidP="00536234">
      <w:pPr>
        <w:spacing w:line="480" w:lineRule="auto"/>
        <w:ind w:left="0"/>
        <w:rPr>
          <w:rFonts w:ascii="Times New Roman" w:hAnsi="Times New Roman" w:cs="Times New Roman"/>
          <w:sz w:val="22"/>
        </w:rPr>
      </w:pPr>
      <w:r>
        <w:rPr>
          <w:rFonts w:ascii="Times New Roman" w:hAnsi="Times New Roman" w:cs="Times New Roman"/>
          <w:sz w:val="22"/>
        </w:rPr>
        <w:t xml:space="preserve">The consideration of dividends by BBBEE beneficiaries has recently been made evident by their complaints </w:t>
      </w:r>
      <w:r w:rsidR="0004256D">
        <w:rPr>
          <w:rFonts w:ascii="Times New Roman" w:hAnsi="Times New Roman" w:cs="Times New Roman"/>
          <w:sz w:val="22"/>
        </w:rPr>
        <w:t>regarding</w:t>
      </w:r>
      <w:r>
        <w:rPr>
          <w:rFonts w:ascii="Times New Roman" w:hAnsi="Times New Roman" w:cs="Times New Roman"/>
          <w:sz w:val="22"/>
        </w:rPr>
        <w:t xml:space="preserve"> the change in the dividend tax rate. </w:t>
      </w:r>
      <w:r w:rsidR="004B01DF">
        <w:rPr>
          <w:rFonts w:ascii="Times New Roman" w:hAnsi="Times New Roman" w:cs="Times New Roman"/>
          <w:sz w:val="22"/>
        </w:rPr>
        <w:t>Such a</w:t>
      </w:r>
      <w:r>
        <w:rPr>
          <w:rFonts w:ascii="Times New Roman" w:hAnsi="Times New Roman" w:cs="Times New Roman"/>
          <w:sz w:val="22"/>
        </w:rPr>
        <w:t xml:space="preserve"> change in tax rate has </w:t>
      </w:r>
      <w:r w:rsidR="0004256D">
        <w:rPr>
          <w:rFonts w:ascii="Times New Roman" w:hAnsi="Times New Roman" w:cs="Times New Roman"/>
          <w:sz w:val="22"/>
        </w:rPr>
        <w:t xml:space="preserve">recently </w:t>
      </w:r>
      <w:r>
        <w:rPr>
          <w:rFonts w:ascii="Times New Roman" w:hAnsi="Times New Roman" w:cs="Times New Roman"/>
          <w:sz w:val="22"/>
        </w:rPr>
        <w:t>seen dividends become taxed at</w:t>
      </w:r>
      <w:r w:rsidR="001C38FA">
        <w:rPr>
          <w:rFonts w:ascii="Times New Roman" w:hAnsi="Times New Roman" w:cs="Times New Roman"/>
          <w:sz w:val="22"/>
        </w:rPr>
        <w:t xml:space="preserve"> a rate of 20% as opposed to a</w:t>
      </w:r>
      <w:r>
        <w:rPr>
          <w:rFonts w:ascii="Times New Roman" w:hAnsi="Times New Roman" w:cs="Times New Roman"/>
          <w:sz w:val="22"/>
        </w:rPr>
        <w:t xml:space="preserve"> preceding rate of 15%</w:t>
      </w:r>
      <w:r w:rsidR="00652A46">
        <w:rPr>
          <w:rFonts w:ascii="Times New Roman" w:hAnsi="Times New Roman" w:cs="Times New Roman"/>
          <w:sz w:val="22"/>
        </w:rPr>
        <w:t xml:space="preserve"> (SARS, 2017)</w:t>
      </w:r>
      <w:r>
        <w:rPr>
          <w:rFonts w:ascii="Times New Roman" w:hAnsi="Times New Roman" w:cs="Times New Roman"/>
          <w:sz w:val="22"/>
        </w:rPr>
        <w:t xml:space="preserve">. The meaning of this change will be such that it will result in less post-tax dividend income in the hands of beneficiaries. </w:t>
      </w:r>
      <w:r w:rsidR="004B01DF">
        <w:rPr>
          <w:rFonts w:ascii="Times New Roman" w:hAnsi="Times New Roman" w:cs="Times New Roman"/>
          <w:sz w:val="22"/>
        </w:rPr>
        <w:t>Less dividends in the hands of beneficiaries</w:t>
      </w:r>
      <w:r w:rsidR="001C38FA">
        <w:rPr>
          <w:rFonts w:ascii="Times New Roman" w:hAnsi="Times New Roman" w:cs="Times New Roman"/>
          <w:sz w:val="22"/>
        </w:rPr>
        <w:t xml:space="preserve"> will further mean that </w:t>
      </w:r>
      <w:r w:rsidR="004B01DF">
        <w:rPr>
          <w:rFonts w:ascii="Times New Roman" w:hAnsi="Times New Roman" w:cs="Times New Roman"/>
          <w:sz w:val="22"/>
        </w:rPr>
        <w:t>they</w:t>
      </w:r>
      <w:r>
        <w:rPr>
          <w:rFonts w:ascii="Times New Roman" w:hAnsi="Times New Roman" w:cs="Times New Roman"/>
          <w:sz w:val="22"/>
        </w:rPr>
        <w:t xml:space="preserve"> will now have less money so as to meet the financial obligations owed by them in respect of BBBEE deals. This could increase interest rate risk and capital risk regarding these outstanding debts, provided that</w:t>
      </w:r>
      <w:r w:rsidR="0004256D">
        <w:rPr>
          <w:rFonts w:ascii="Times New Roman" w:hAnsi="Times New Roman" w:cs="Times New Roman"/>
          <w:sz w:val="22"/>
        </w:rPr>
        <w:t xml:space="preserve"> issuing</w:t>
      </w:r>
      <w:r>
        <w:rPr>
          <w:rFonts w:ascii="Times New Roman" w:hAnsi="Times New Roman" w:cs="Times New Roman"/>
          <w:sz w:val="22"/>
        </w:rPr>
        <w:t xml:space="preserve"> companies do not </w:t>
      </w:r>
      <w:r w:rsidR="0004256D">
        <w:rPr>
          <w:rFonts w:ascii="Times New Roman" w:hAnsi="Times New Roman" w:cs="Times New Roman"/>
          <w:sz w:val="22"/>
        </w:rPr>
        <w:t xml:space="preserve">subsequently further </w:t>
      </w:r>
      <w:r>
        <w:rPr>
          <w:rFonts w:ascii="Times New Roman" w:hAnsi="Times New Roman" w:cs="Times New Roman"/>
          <w:sz w:val="22"/>
        </w:rPr>
        <w:t xml:space="preserve">increase their dividend pay-out rate so as to ensure that </w:t>
      </w:r>
      <w:r w:rsidR="001C38FA">
        <w:rPr>
          <w:rFonts w:ascii="Times New Roman" w:hAnsi="Times New Roman" w:cs="Times New Roman"/>
          <w:sz w:val="22"/>
        </w:rPr>
        <w:t>beneficiaries’</w:t>
      </w:r>
      <w:r>
        <w:rPr>
          <w:rFonts w:ascii="Times New Roman" w:hAnsi="Times New Roman" w:cs="Times New Roman"/>
          <w:sz w:val="22"/>
        </w:rPr>
        <w:t xml:space="preserve"> dividend income stream remains unaffected</w:t>
      </w:r>
      <w:r w:rsidR="0004256D">
        <w:rPr>
          <w:rFonts w:ascii="Times New Roman" w:hAnsi="Times New Roman" w:cs="Times New Roman"/>
          <w:sz w:val="22"/>
        </w:rPr>
        <w:t xml:space="preserve"> by this tax change</w:t>
      </w:r>
      <w:r>
        <w:rPr>
          <w:rFonts w:ascii="Times New Roman" w:hAnsi="Times New Roman" w:cs="Times New Roman"/>
          <w:sz w:val="22"/>
        </w:rPr>
        <w:t>.</w:t>
      </w:r>
    </w:p>
    <w:p w14:paraId="503F033F" w14:textId="77777777" w:rsidR="006B7584" w:rsidRPr="00095351" w:rsidRDefault="006B7584" w:rsidP="00536234">
      <w:pPr>
        <w:pStyle w:val="Heading2"/>
        <w:ind w:left="0"/>
        <w:rPr>
          <w:rFonts w:ascii="Times New Roman" w:hAnsi="Times New Roman" w:cs="Times New Roman"/>
          <w:b/>
          <w:color w:val="auto"/>
          <w:sz w:val="24"/>
        </w:rPr>
      </w:pPr>
      <w:bookmarkStart w:id="12" w:name="_Toc506717758"/>
      <w:r w:rsidRPr="00095351">
        <w:rPr>
          <w:rFonts w:ascii="Times New Roman" w:hAnsi="Times New Roman" w:cs="Times New Roman"/>
          <w:b/>
          <w:color w:val="auto"/>
          <w:sz w:val="24"/>
        </w:rPr>
        <w:t>1.2</w:t>
      </w:r>
      <w:r w:rsidRPr="00095351">
        <w:rPr>
          <w:rFonts w:ascii="Times New Roman" w:hAnsi="Times New Roman" w:cs="Times New Roman"/>
          <w:b/>
          <w:color w:val="auto"/>
          <w:sz w:val="24"/>
        </w:rPr>
        <w:tab/>
        <w:t>Statement of the problem</w:t>
      </w:r>
      <w:bookmarkEnd w:id="12"/>
    </w:p>
    <w:p w14:paraId="1C6C5D88"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Due to the </w:t>
      </w:r>
      <w:r w:rsidR="00237247">
        <w:rPr>
          <w:rFonts w:ascii="Times New Roman" w:hAnsi="Times New Roman" w:cs="Times New Roman"/>
          <w:sz w:val="22"/>
        </w:rPr>
        <w:t>high debt burden placed on beneficiaries as a result</w:t>
      </w:r>
      <w:r w:rsidRPr="003A1203">
        <w:rPr>
          <w:rFonts w:ascii="Times New Roman" w:hAnsi="Times New Roman" w:cs="Times New Roman"/>
          <w:sz w:val="22"/>
        </w:rPr>
        <w:t xml:space="preserve"> of BBBEE deals</w:t>
      </w:r>
      <w:r w:rsidR="00237247">
        <w:rPr>
          <w:rFonts w:ascii="Times New Roman" w:hAnsi="Times New Roman" w:cs="Times New Roman"/>
          <w:sz w:val="22"/>
        </w:rPr>
        <w:t>,</w:t>
      </w:r>
      <w:r w:rsidRPr="003A1203">
        <w:rPr>
          <w:rFonts w:ascii="Times New Roman" w:hAnsi="Times New Roman" w:cs="Times New Roman"/>
          <w:sz w:val="22"/>
        </w:rPr>
        <w:t xml:space="preserve"> it is likely that a high dividend pay-out ratio together with a steady stream of dividends will be paid out by companies</w:t>
      </w:r>
      <w:r w:rsidR="0004256D">
        <w:rPr>
          <w:rFonts w:ascii="Times New Roman" w:hAnsi="Times New Roman" w:cs="Times New Roman"/>
          <w:sz w:val="22"/>
        </w:rPr>
        <w:t>. By doing this c</w:t>
      </w:r>
      <w:r w:rsidR="001C38FA">
        <w:rPr>
          <w:rFonts w:ascii="Times New Roman" w:hAnsi="Times New Roman" w:cs="Times New Roman"/>
          <w:sz w:val="22"/>
        </w:rPr>
        <w:t>ompanies will ensure that their</w:t>
      </w:r>
      <w:r w:rsidR="0004256D">
        <w:rPr>
          <w:rFonts w:ascii="Times New Roman" w:hAnsi="Times New Roman" w:cs="Times New Roman"/>
          <w:sz w:val="22"/>
        </w:rPr>
        <w:t xml:space="preserve"> deals remain an active one</w:t>
      </w:r>
      <w:r w:rsidRPr="003A1203">
        <w:rPr>
          <w:rFonts w:ascii="Times New Roman" w:hAnsi="Times New Roman" w:cs="Times New Roman"/>
          <w:sz w:val="22"/>
        </w:rPr>
        <w:t xml:space="preserve">. </w:t>
      </w:r>
      <w:r w:rsidR="0004256D">
        <w:rPr>
          <w:rFonts w:ascii="Times New Roman" w:hAnsi="Times New Roman" w:cs="Times New Roman"/>
          <w:sz w:val="22"/>
        </w:rPr>
        <w:t>These large dividend payments will</w:t>
      </w:r>
      <w:r w:rsidRPr="003A1203">
        <w:rPr>
          <w:rFonts w:ascii="Times New Roman" w:hAnsi="Times New Roman" w:cs="Times New Roman"/>
          <w:sz w:val="22"/>
        </w:rPr>
        <w:t xml:space="preserve"> be needed by BBBEE participants in order for them to</w:t>
      </w:r>
      <w:r w:rsidR="0004256D">
        <w:rPr>
          <w:rFonts w:ascii="Times New Roman" w:hAnsi="Times New Roman" w:cs="Times New Roman"/>
          <w:sz w:val="22"/>
        </w:rPr>
        <w:t xml:space="preserve"> be able to fully </w:t>
      </w:r>
      <w:r w:rsidRPr="003A1203">
        <w:rPr>
          <w:rFonts w:ascii="Times New Roman" w:hAnsi="Times New Roman" w:cs="Times New Roman"/>
          <w:sz w:val="22"/>
        </w:rPr>
        <w:t>settle their debt</w:t>
      </w:r>
      <w:r w:rsidR="0004256D">
        <w:rPr>
          <w:rFonts w:ascii="Times New Roman" w:hAnsi="Times New Roman" w:cs="Times New Roman"/>
          <w:sz w:val="22"/>
        </w:rPr>
        <w:t xml:space="preserve"> obligations</w:t>
      </w:r>
      <w:r w:rsidRPr="003A1203">
        <w:rPr>
          <w:rFonts w:ascii="Times New Roman" w:hAnsi="Times New Roman" w:cs="Times New Roman"/>
          <w:sz w:val="22"/>
        </w:rPr>
        <w:t xml:space="preserve">. </w:t>
      </w:r>
      <w:r w:rsidR="001C38FA">
        <w:rPr>
          <w:rFonts w:ascii="Times New Roman" w:hAnsi="Times New Roman" w:cs="Times New Roman"/>
          <w:sz w:val="22"/>
        </w:rPr>
        <w:t>Beneficiaries</w:t>
      </w:r>
      <w:r w:rsidRPr="003A1203">
        <w:rPr>
          <w:rFonts w:ascii="Times New Roman" w:hAnsi="Times New Roman" w:cs="Times New Roman"/>
          <w:sz w:val="22"/>
        </w:rPr>
        <w:t xml:space="preserve"> will need to rely on the dividend payments made by the company initiating the deal in </w:t>
      </w:r>
      <w:r w:rsidRPr="003A1203">
        <w:rPr>
          <w:rFonts w:ascii="Times New Roman" w:hAnsi="Times New Roman" w:cs="Times New Roman"/>
          <w:sz w:val="22"/>
        </w:rPr>
        <w:lastRenderedPageBreak/>
        <w:t xml:space="preserve">order to be able to </w:t>
      </w:r>
      <w:r w:rsidR="0004256D">
        <w:rPr>
          <w:rFonts w:ascii="Times New Roman" w:hAnsi="Times New Roman" w:cs="Times New Roman"/>
          <w:sz w:val="22"/>
        </w:rPr>
        <w:t>fully satisfy their</w:t>
      </w:r>
      <w:r w:rsidRPr="003A1203">
        <w:rPr>
          <w:rFonts w:ascii="Times New Roman" w:hAnsi="Times New Roman" w:cs="Times New Roman"/>
          <w:sz w:val="22"/>
        </w:rPr>
        <w:t xml:space="preserve"> loan commitments. This</w:t>
      </w:r>
      <w:r w:rsidR="0004256D">
        <w:rPr>
          <w:rFonts w:ascii="Times New Roman" w:hAnsi="Times New Roman" w:cs="Times New Roman"/>
          <w:sz w:val="22"/>
        </w:rPr>
        <w:t xml:space="preserve"> provides an incentive for issuing</w:t>
      </w:r>
      <w:r w:rsidRPr="003A1203">
        <w:rPr>
          <w:rFonts w:ascii="Times New Roman" w:hAnsi="Times New Roman" w:cs="Times New Roman"/>
          <w:sz w:val="22"/>
        </w:rPr>
        <w:t xml:space="preserve"> companies to increase their dividend pay-out ratio</w:t>
      </w:r>
      <w:r w:rsidR="0004256D">
        <w:rPr>
          <w:rFonts w:ascii="Times New Roman" w:hAnsi="Times New Roman" w:cs="Times New Roman"/>
          <w:sz w:val="22"/>
        </w:rPr>
        <w:t>s</w:t>
      </w:r>
      <w:r w:rsidRPr="003A1203">
        <w:rPr>
          <w:rFonts w:ascii="Times New Roman" w:hAnsi="Times New Roman" w:cs="Times New Roman"/>
          <w:sz w:val="22"/>
        </w:rPr>
        <w:t xml:space="preserve"> in order to make these deals a viable business decision for BBBEE participants.</w:t>
      </w:r>
    </w:p>
    <w:p w14:paraId="044CF57D" w14:textId="4AE312BE"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consequences of this for the company initiating the deal will be reduced money for internal investments and financing.  This could po</w:t>
      </w:r>
      <w:r w:rsidR="0004256D">
        <w:rPr>
          <w:rFonts w:ascii="Times New Roman" w:hAnsi="Times New Roman" w:cs="Times New Roman"/>
          <w:sz w:val="22"/>
        </w:rPr>
        <w:t>tentially lead to the issuing</w:t>
      </w:r>
      <w:r w:rsidRPr="003A1203">
        <w:rPr>
          <w:rFonts w:ascii="Times New Roman" w:hAnsi="Times New Roman" w:cs="Times New Roman"/>
          <w:sz w:val="22"/>
        </w:rPr>
        <w:t xml:space="preserve"> company taking on su</w:t>
      </w:r>
      <w:r w:rsidR="0004256D">
        <w:rPr>
          <w:rFonts w:ascii="Times New Roman" w:hAnsi="Times New Roman" w:cs="Times New Roman"/>
          <w:sz w:val="22"/>
        </w:rPr>
        <w:t>bstantially more financing of their own</w:t>
      </w:r>
      <w:r w:rsidR="001C38FA">
        <w:rPr>
          <w:rFonts w:ascii="Times New Roman" w:hAnsi="Times New Roman" w:cs="Times New Roman"/>
          <w:sz w:val="22"/>
        </w:rPr>
        <w:t>,</w:t>
      </w:r>
      <w:r w:rsidR="0004256D">
        <w:rPr>
          <w:rFonts w:ascii="Times New Roman" w:hAnsi="Times New Roman" w:cs="Times New Roman"/>
          <w:sz w:val="22"/>
        </w:rPr>
        <w:t xml:space="preserve"> which could cause</w:t>
      </w:r>
      <w:r w:rsidRPr="003A1203">
        <w:rPr>
          <w:rFonts w:ascii="Times New Roman" w:hAnsi="Times New Roman" w:cs="Times New Roman"/>
          <w:sz w:val="22"/>
        </w:rPr>
        <w:t xml:space="preserve"> an increase in</w:t>
      </w:r>
      <w:r w:rsidR="0004256D">
        <w:rPr>
          <w:rFonts w:ascii="Times New Roman" w:hAnsi="Times New Roman" w:cs="Times New Roman"/>
          <w:sz w:val="22"/>
        </w:rPr>
        <w:t xml:space="preserve"> their</w:t>
      </w:r>
      <w:r w:rsidRPr="003A1203">
        <w:rPr>
          <w:rFonts w:ascii="Times New Roman" w:hAnsi="Times New Roman" w:cs="Times New Roman"/>
          <w:sz w:val="22"/>
        </w:rPr>
        <w:t xml:space="preserve"> bankruptcy costs. Bankruptcy costs will lead to a further deterioration in the liquidity and solvency of </w:t>
      </w:r>
      <w:r w:rsidR="001C38FA">
        <w:rPr>
          <w:rFonts w:ascii="Times New Roman" w:hAnsi="Times New Roman" w:cs="Times New Roman"/>
          <w:sz w:val="22"/>
        </w:rPr>
        <w:t>these companies</w:t>
      </w:r>
      <w:r w:rsidRPr="003A1203">
        <w:rPr>
          <w:rFonts w:ascii="Times New Roman" w:hAnsi="Times New Roman" w:cs="Times New Roman"/>
          <w:sz w:val="22"/>
        </w:rPr>
        <w:t xml:space="preserve"> (</w:t>
      </w:r>
      <w:r w:rsidR="00CE0046">
        <w:rPr>
          <w:rFonts w:ascii="Times New Roman" w:hAnsi="Times New Roman" w:cs="Times New Roman"/>
          <w:sz w:val="22"/>
        </w:rPr>
        <w:t xml:space="preserve">C. </w:t>
      </w:r>
      <w:r w:rsidRPr="003A1203">
        <w:rPr>
          <w:rFonts w:ascii="Times New Roman" w:hAnsi="Times New Roman" w:cs="Times New Roman"/>
          <w:sz w:val="22"/>
        </w:rPr>
        <w:t>Correia</w:t>
      </w:r>
      <w:r w:rsidR="00363591">
        <w:rPr>
          <w:rFonts w:ascii="Times New Roman" w:hAnsi="Times New Roman" w:cs="Times New Roman"/>
          <w:sz w:val="22"/>
        </w:rPr>
        <w:t>,</w:t>
      </w:r>
      <w:r w:rsidR="005A034F" w:rsidRPr="005A034F">
        <w:rPr>
          <w:rFonts w:ascii="Times New Roman" w:hAnsi="Times New Roman" w:cs="Times New Roman"/>
          <w:sz w:val="22"/>
        </w:rPr>
        <w:t xml:space="preserve"> F</w:t>
      </w:r>
      <w:r w:rsidR="005A034F">
        <w:rPr>
          <w:rFonts w:ascii="Times New Roman" w:hAnsi="Times New Roman" w:cs="Times New Roman"/>
          <w:sz w:val="22"/>
        </w:rPr>
        <w:t>lynn</w:t>
      </w:r>
      <w:r w:rsidR="00363591">
        <w:rPr>
          <w:rFonts w:ascii="Times New Roman" w:hAnsi="Times New Roman" w:cs="Times New Roman"/>
          <w:sz w:val="22"/>
        </w:rPr>
        <w:t>,</w:t>
      </w:r>
      <w:r w:rsidR="005A034F" w:rsidRPr="005A034F">
        <w:rPr>
          <w:rFonts w:ascii="Times New Roman" w:hAnsi="Times New Roman" w:cs="Times New Roman"/>
          <w:sz w:val="22"/>
        </w:rPr>
        <w:t xml:space="preserve"> U</w:t>
      </w:r>
      <w:r w:rsidR="005A034F">
        <w:rPr>
          <w:rFonts w:ascii="Times New Roman" w:hAnsi="Times New Roman" w:cs="Times New Roman"/>
          <w:sz w:val="22"/>
        </w:rPr>
        <w:t>liana</w:t>
      </w:r>
      <w:r w:rsidR="00363591">
        <w:rPr>
          <w:rFonts w:ascii="Times New Roman" w:hAnsi="Times New Roman" w:cs="Times New Roman"/>
          <w:sz w:val="22"/>
        </w:rPr>
        <w:t>,</w:t>
      </w:r>
      <w:r w:rsidR="005A034F" w:rsidRPr="005A034F">
        <w:rPr>
          <w:rFonts w:ascii="Times New Roman" w:hAnsi="Times New Roman" w:cs="Times New Roman"/>
          <w:sz w:val="22"/>
        </w:rPr>
        <w:t xml:space="preserve"> W</w:t>
      </w:r>
      <w:r w:rsidR="005A034F">
        <w:rPr>
          <w:rFonts w:ascii="Times New Roman" w:hAnsi="Times New Roman" w:cs="Times New Roman"/>
          <w:sz w:val="22"/>
        </w:rPr>
        <w:t>ormald</w:t>
      </w:r>
      <w:r w:rsidR="00363591">
        <w:rPr>
          <w:rFonts w:ascii="Times New Roman" w:hAnsi="Times New Roman" w:cs="Times New Roman"/>
          <w:sz w:val="22"/>
        </w:rPr>
        <w:t>,</w:t>
      </w:r>
      <w:r w:rsidR="005A034F" w:rsidRPr="005A034F">
        <w:rPr>
          <w:rFonts w:ascii="Times New Roman" w:hAnsi="Times New Roman" w:cs="Times New Roman"/>
          <w:sz w:val="22"/>
        </w:rPr>
        <w:t xml:space="preserve"> &amp; D</w:t>
      </w:r>
      <w:r w:rsidR="005A034F">
        <w:rPr>
          <w:rFonts w:ascii="Times New Roman" w:hAnsi="Times New Roman" w:cs="Times New Roman"/>
          <w:sz w:val="22"/>
        </w:rPr>
        <w:t>illon</w:t>
      </w:r>
      <w:r w:rsidRPr="003A1203">
        <w:rPr>
          <w:rFonts w:ascii="Times New Roman" w:hAnsi="Times New Roman" w:cs="Times New Roman"/>
          <w:sz w:val="22"/>
        </w:rPr>
        <w:t>, 2015).</w:t>
      </w:r>
    </w:p>
    <w:p w14:paraId="1772700A" w14:textId="79492374" w:rsidR="008A535E"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In the case of existing or prospective investors, those who have a preference for a higher dividend pay-out will take the opportunity to invest in companies’ party to BBBEE deals (Lintner, 1956</w:t>
      </w:r>
      <w:r w:rsidR="00363591">
        <w:rPr>
          <w:rFonts w:ascii="Times New Roman" w:hAnsi="Times New Roman" w:cs="Times New Roman"/>
          <w:sz w:val="22"/>
        </w:rPr>
        <w:t>;</w:t>
      </w:r>
      <w:r w:rsidRPr="003A1203">
        <w:rPr>
          <w:rFonts w:ascii="Times New Roman" w:hAnsi="Times New Roman" w:cs="Times New Roman"/>
          <w:sz w:val="22"/>
        </w:rPr>
        <w:t xml:space="preserve"> Gordon, 1959).</w:t>
      </w:r>
      <w:r w:rsidR="004B4581">
        <w:rPr>
          <w:rFonts w:ascii="Times New Roman" w:hAnsi="Times New Roman" w:cs="Times New Roman"/>
          <w:sz w:val="22"/>
        </w:rPr>
        <w:t xml:space="preserve"> </w:t>
      </w:r>
      <w:r w:rsidRPr="003A1203">
        <w:rPr>
          <w:rFonts w:ascii="Times New Roman" w:hAnsi="Times New Roman" w:cs="Times New Roman"/>
          <w:sz w:val="22"/>
        </w:rPr>
        <w:t>An increased dividend pay-out could have further implications on the economy as</w:t>
      </w:r>
      <w:r w:rsidR="00684ABC">
        <w:rPr>
          <w:rFonts w:ascii="Times New Roman" w:hAnsi="Times New Roman" w:cs="Times New Roman"/>
          <w:sz w:val="22"/>
        </w:rPr>
        <w:t xml:space="preserve"> a whole in the event that dividends are</w:t>
      </w:r>
      <w:r w:rsidRPr="003A1203">
        <w:rPr>
          <w:rFonts w:ascii="Times New Roman" w:hAnsi="Times New Roman" w:cs="Times New Roman"/>
          <w:sz w:val="22"/>
        </w:rPr>
        <w:t xml:space="preserve"> increased beyond the point allowed by existing economic conditions (Smith</w:t>
      </w:r>
      <w:r w:rsidR="00363591">
        <w:rPr>
          <w:rFonts w:ascii="Times New Roman" w:hAnsi="Times New Roman" w:cs="Times New Roman"/>
          <w:sz w:val="22"/>
        </w:rPr>
        <w:t xml:space="preserve"> &amp;</w:t>
      </w:r>
      <w:r w:rsidRPr="003A1203">
        <w:rPr>
          <w:rFonts w:ascii="Times New Roman" w:hAnsi="Times New Roman" w:cs="Times New Roman"/>
          <w:sz w:val="22"/>
        </w:rPr>
        <w:t xml:space="preserve"> Watts, 1992). This decision to make increased dividend payments might not be beneficial towards the growth of the economy as a whole. The South African economy is currently in need of fixed investment in order to stimulate growth which has been quite stagnant over recent years (Antelme, 2016; Jeffrey, 2016). Amounts paid out in the form of dividends should </w:t>
      </w:r>
      <w:r w:rsidR="00684ABC">
        <w:rPr>
          <w:rFonts w:ascii="Times New Roman" w:hAnsi="Times New Roman" w:cs="Times New Roman"/>
          <w:sz w:val="22"/>
        </w:rPr>
        <w:t xml:space="preserve">rather </w:t>
      </w:r>
      <w:r w:rsidRPr="003A1203">
        <w:rPr>
          <w:rFonts w:ascii="Times New Roman" w:hAnsi="Times New Roman" w:cs="Times New Roman"/>
          <w:sz w:val="22"/>
        </w:rPr>
        <w:t>be retained to be used for the purpose of</w:t>
      </w:r>
      <w:r w:rsidR="00684ABC">
        <w:rPr>
          <w:rFonts w:ascii="Times New Roman" w:hAnsi="Times New Roman" w:cs="Times New Roman"/>
          <w:sz w:val="22"/>
        </w:rPr>
        <w:t xml:space="preserve"> stimulating</w:t>
      </w:r>
      <w:r w:rsidRPr="003A1203">
        <w:rPr>
          <w:rFonts w:ascii="Times New Roman" w:hAnsi="Times New Roman" w:cs="Times New Roman"/>
          <w:sz w:val="22"/>
        </w:rPr>
        <w:t xml:space="preserve"> long-term eco</w:t>
      </w:r>
      <w:r w:rsidR="008A535E" w:rsidRPr="003A1203">
        <w:rPr>
          <w:rFonts w:ascii="Times New Roman" w:hAnsi="Times New Roman" w:cs="Times New Roman"/>
          <w:sz w:val="22"/>
        </w:rPr>
        <w:t>nomic growth (Jensen, 1986).</w:t>
      </w:r>
    </w:p>
    <w:p w14:paraId="1C40E8E1" w14:textId="77777777" w:rsidR="006B7584" w:rsidRPr="00A14BA6" w:rsidRDefault="00BA3789" w:rsidP="00536234">
      <w:pPr>
        <w:pStyle w:val="Heading2"/>
        <w:ind w:left="0"/>
        <w:rPr>
          <w:rFonts w:ascii="Times New Roman" w:hAnsi="Times New Roman" w:cs="Times New Roman"/>
          <w:b/>
          <w:color w:val="auto"/>
          <w:sz w:val="24"/>
        </w:rPr>
      </w:pPr>
      <w:bookmarkStart w:id="13" w:name="_Toc506717759"/>
      <w:r>
        <w:rPr>
          <w:rFonts w:ascii="Times New Roman" w:hAnsi="Times New Roman" w:cs="Times New Roman"/>
          <w:b/>
          <w:color w:val="auto"/>
          <w:sz w:val="24"/>
        </w:rPr>
        <w:t>1.3</w:t>
      </w:r>
      <w:r>
        <w:rPr>
          <w:rFonts w:ascii="Times New Roman" w:hAnsi="Times New Roman" w:cs="Times New Roman"/>
          <w:b/>
          <w:color w:val="auto"/>
          <w:sz w:val="24"/>
        </w:rPr>
        <w:tab/>
        <w:t>Purpose of the R</w:t>
      </w:r>
      <w:r w:rsidR="006B7584" w:rsidRPr="00A14BA6">
        <w:rPr>
          <w:rFonts w:ascii="Times New Roman" w:hAnsi="Times New Roman" w:cs="Times New Roman"/>
          <w:b/>
          <w:color w:val="auto"/>
          <w:sz w:val="24"/>
        </w:rPr>
        <w:t>esearch</w:t>
      </w:r>
      <w:bookmarkEnd w:id="13"/>
      <w:r w:rsidR="006B7584" w:rsidRPr="00A14BA6">
        <w:rPr>
          <w:rFonts w:ascii="Times New Roman" w:hAnsi="Times New Roman" w:cs="Times New Roman"/>
          <w:b/>
          <w:color w:val="auto"/>
          <w:sz w:val="24"/>
        </w:rPr>
        <w:t xml:space="preserve"> </w:t>
      </w:r>
    </w:p>
    <w:p w14:paraId="0132D0E4"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purpose of the study is to</w:t>
      </w:r>
      <w:r w:rsidR="008A535E" w:rsidRPr="003A1203">
        <w:rPr>
          <w:rFonts w:ascii="Times New Roman" w:hAnsi="Times New Roman" w:cs="Times New Roman"/>
          <w:sz w:val="22"/>
        </w:rPr>
        <w:t xml:space="preserve"> </w:t>
      </w:r>
      <w:r w:rsidRPr="003A1203">
        <w:rPr>
          <w:rFonts w:ascii="Times New Roman" w:hAnsi="Times New Roman" w:cs="Times New Roman"/>
          <w:sz w:val="22"/>
        </w:rPr>
        <w:t>determine the impacts of BBBEE deals on the dividend</w:t>
      </w:r>
      <w:r w:rsidR="004B4581">
        <w:rPr>
          <w:rFonts w:ascii="Times New Roman" w:hAnsi="Times New Roman" w:cs="Times New Roman"/>
          <w:sz w:val="22"/>
        </w:rPr>
        <w:t xml:space="preserve"> pay-out </w:t>
      </w:r>
      <w:r w:rsidRPr="003A1203">
        <w:rPr>
          <w:rFonts w:ascii="Times New Roman" w:hAnsi="Times New Roman" w:cs="Times New Roman"/>
          <w:sz w:val="22"/>
        </w:rPr>
        <w:t>polic</w:t>
      </w:r>
      <w:r w:rsidR="004B4581">
        <w:rPr>
          <w:rFonts w:ascii="Times New Roman" w:hAnsi="Times New Roman" w:cs="Times New Roman"/>
          <w:sz w:val="22"/>
        </w:rPr>
        <w:t>ies</w:t>
      </w:r>
      <w:r w:rsidRPr="003A1203">
        <w:rPr>
          <w:rFonts w:ascii="Times New Roman" w:hAnsi="Times New Roman" w:cs="Times New Roman"/>
          <w:sz w:val="22"/>
        </w:rPr>
        <w:t xml:space="preserve"> of companies</w:t>
      </w:r>
      <w:r w:rsidR="008A535E" w:rsidRPr="003A1203">
        <w:rPr>
          <w:rFonts w:ascii="Times New Roman" w:hAnsi="Times New Roman" w:cs="Times New Roman"/>
          <w:sz w:val="22"/>
        </w:rPr>
        <w:t>.</w:t>
      </w:r>
      <w:r w:rsidR="00237247">
        <w:rPr>
          <w:rFonts w:ascii="Times New Roman" w:hAnsi="Times New Roman" w:cs="Times New Roman"/>
          <w:sz w:val="22"/>
        </w:rPr>
        <w:t xml:space="preserve"> </w:t>
      </w:r>
      <w:r w:rsidR="00237247" w:rsidRPr="00237247">
        <w:rPr>
          <w:rFonts w:ascii="Times New Roman" w:hAnsi="Times New Roman" w:cs="Times New Roman"/>
          <w:sz w:val="22"/>
        </w:rPr>
        <w:t xml:space="preserve">More specifically, it will determine if these deals have caused the dividend pay-out ratio of firms to increase. </w:t>
      </w:r>
      <w:r w:rsidR="008A535E" w:rsidRPr="003A1203">
        <w:rPr>
          <w:rFonts w:ascii="Times New Roman" w:hAnsi="Times New Roman" w:cs="Times New Roman"/>
          <w:sz w:val="22"/>
        </w:rPr>
        <w:t xml:space="preserve"> This will be achieved</w:t>
      </w:r>
      <w:r w:rsidRPr="003A1203">
        <w:rPr>
          <w:rFonts w:ascii="Times New Roman" w:hAnsi="Times New Roman" w:cs="Times New Roman"/>
          <w:sz w:val="22"/>
        </w:rPr>
        <w:t xml:space="preserve"> by looking at the top 100 companies listed on the JSE</w:t>
      </w:r>
      <w:r w:rsidR="00237247">
        <w:rPr>
          <w:rFonts w:ascii="Times New Roman" w:hAnsi="Times New Roman" w:cs="Times New Roman"/>
          <w:sz w:val="22"/>
        </w:rPr>
        <w:t xml:space="preserve"> from 1999 to 2006</w:t>
      </w:r>
      <w:r w:rsidRPr="003A1203">
        <w:rPr>
          <w:rFonts w:ascii="Times New Roman" w:hAnsi="Times New Roman" w:cs="Times New Roman"/>
          <w:sz w:val="22"/>
        </w:rPr>
        <w:t xml:space="preserve">.  </w:t>
      </w:r>
      <w:r w:rsidR="00237247">
        <w:rPr>
          <w:rFonts w:ascii="Times New Roman" w:hAnsi="Times New Roman" w:cs="Times New Roman"/>
          <w:sz w:val="22"/>
        </w:rPr>
        <w:t xml:space="preserve">These years of study have been chosen in order to control for the effects of tax on dividends. This is a result of the difficulty experienced in attempting to find an appropriate control variable for the impacts of </w:t>
      </w:r>
      <w:r w:rsidR="00684ABC">
        <w:rPr>
          <w:rFonts w:ascii="Times New Roman" w:hAnsi="Times New Roman" w:cs="Times New Roman"/>
          <w:sz w:val="22"/>
        </w:rPr>
        <w:t>changing tax legislature</w:t>
      </w:r>
      <w:r w:rsidR="00237247">
        <w:rPr>
          <w:rFonts w:ascii="Times New Roman" w:hAnsi="Times New Roman" w:cs="Times New Roman"/>
          <w:sz w:val="22"/>
        </w:rPr>
        <w:t xml:space="preserve"> on dividend payments.</w:t>
      </w:r>
    </w:p>
    <w:p w14:paraId="15846371" w14:textId="77777777" w:rsidR="006B7584" w:rsidRPr="00A14BA6" w:rsidRDefault="00BA3789" w:rsidP="00536234">
      <w:pPr>
        <w:pStyle w:val="Heading2"/>
        <w:ind w:left="0"/>
        <w:rPr>
          <w:rFonts w:ascii="Times New Roman" w:hAnsi="Times New Roman" w:cs="Times New Roman"/>
          <w:b/>
          <w:color w:val="auto"/>
          <w:sz w:val="24"/>
        </w:rPr>
      </w:pPr>
      <w:bookmarkStart w:id="14" w:name="_Toc506717760"/>
      <w:r>
        <w:rPr>
          <w:rFonts w:ascii="Times New Roman" w:hAnsi="Times New Roman" w:cs="Times New Roman"/>
          <w:b/>
          <w:color w:val="auto"/>
          <w:sz w:val="24"/>
        </w:rPr>
        <w:lastRenderedPageBreak/>
        <w:t>1.4</w:t>
      </w:r>
      <w:r>
        <w:rPr>
          <w:rFonts w:ascii="Times New Roman" w:hAnsi="Times New Roman" w:cs="Times New Roman"/>
          <w:b/>
          <w:color w:val="auto"/>
          <w:sz w:val="24"/>
        </w:rPr>
        <w:tab/>
        <w:t>Contribution of the S</w:t>
      </w:r>
      <w:r w:rsidR="006B7584" w:rsidRPr="00A14BA6">
        <w:rPr>
          <w:rFonts w:ascii="Times New Roman" w:hAnsi="Times New Roman" w:cs="Times New Roman"/>
          <w:b/>
          <w:color w:val="auto"/>
          <w:sz w:val="24"/>
        </w:rPr>
        <w:t>tudy</w:t>
      </w:r>
      <w:bookmarkEnd w:id="14"/>
      <w:r w:rsidR="006B7584" w:rsidRPr="00A14BA6">
        <w:rPr>
          <w:rFonts w:ascii="Times New Roman" w:hAnsi="Times New Roman" w:cs="Times New Roman"/>
          <w:b/>
          <w:color w:val="auto"/>
          <w:sz w:val="24"/>
        </w:rPr>
        <w:t xml:space="preserve"> </w:t>
      </w:r>
    </w:p>
    <w:p w14:paraId="12E7AAC4" w14:textId="40899E98"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extent of the effect of Broad-Based Black Economic deals on the various aspects of operations of companies listed on the JSE represents an unexplored but extremely relevant area of study in South Africa. This</w:t>
      </w:r>
      <w:r w:rsidR="00F862EB">
        <w:rPr>
          <w:rFonts w:ascii="Times New Roman" w:hAnsi="Times New Roman" w:cs="Times New Roman"/>
          <w:sz w:val="22"/>
        </w:rPr>
        <w:t>,</w:t>
      </w:r>
      <w:r w:rsidRPr="003A1203">
        <w:rPr>
          <w:rFonts w:ascii="Times New Roman" w:hAnsi="Times New Roman" w:cs="Times New Roman"/>
          <w:sz w:val="22"/>
        </w:rPr>
        <w:t xml:space="preserve"> in particular</w:t>
      </w:r>
      <w:r w:rsidR="00F862EB">
        <w:rPr>
          <w:rFonts w:ascii="Times New Roman" w:hAnsi="Times New Roman" w:cs="Times New Roman"/>
          <w:sz w:val="22"/>
        </w:rPr>
        <w:t>,</w:t>
      </w:r>
      <w:r w:rsidRPr="003A1203">
        <w:rPr>
          <w:rFonts w:ascii="Times New Roman" w:hAnsi="Times New Roman" w:cs="Times New Roman"/>
          <w:sz w:val="22"/>
        </w:rPr>
        <w:t xml:space="preserve"> includes the impact of these deals on the dividend policy of a company. While variou</w:t>
      </w:r>
      <w:r w:rsidR="0041265A">
        <w:rPr>
          <w:rFonts w:ascii="Times New Roman" w:hAnsi="Times New Roman" w:cs="Times New Roman"/>
          <w:sz w:val="22"/>
        </w:rPr>
        <w:t>s research conducted by Strydom</w:t>
      </w:r>
      <w:r w:rsidR="00CE0046">
        <w:rPr>
          <w:rFonts w:ascii="Times New Roman" w:hAnsi="Times New Roman" w:cs="Times New Roman"/>
          <w:sz w:val="22"/>
        </w:rPr>
        <w:t xml:space="preserve"> et al.</w:t>
      </w:r>
      <w:r w:rsidRPr="003A1203">
        <w:rPr>
          <w:rFonts w:ascii="Times New Roman" w:hAnsi="Times New Roman" w:cs="Times New Roman"/>
          <w:sz w:val="22"/>
        </w:rPr>
        <w:t xml:space="preserve"> (2009); Ward</w:t>
      </w:r>
      <w:r w:rsidR="0041265A">
        <w:rPr>
          <w:rFonts w:ascii="Times New Roman" w:hAnsi="Times New Roman" w:cs="Times New Roman"/>
          <w:sz w:val="22"/>
        </w:rPr>
        <w:t xml:space="preserve"> &amp;</w:t>
      </w:r>
      <w:r w:rsidRPr="003A1203">
        <w:rPr>
          <w:rFonts w:ascii="Times New Roman" w:hAnsi="Times New Roman" w:cs="Times New Roman"/>
          <w:sz w:val="22"/>
        </w:rPr>
        <w:t xml:space="preserve"> Muller (2010); and Wolmarans</w:t>
      </w:r>
      <w:r w:rsidR="0041265A">
        <w:rPr>
          <w:rFonts w:ascii="Times New Roman" w:hAnsi="Times New Roman" w:cs="Times New Roman"/>
          <w:sz w:val="22"/>
        </w:rPr>
        <w:t xml:space="preserve"> &amp;</w:t>
      </w:r>
      <w:r w:rsidRPr="003A1203">
        <w:rPr>
          <w:rFonts w:ascii="Times New Roman" w:hAnsi="Times New Roman" w:cs="Times New Roman"/>
          <w:sz w:val="22"/>
        </w:rPr>
        <w:t xml:space="preserve"> Sart</w:t>
      </w:r>
      <w:r w:rsidR="00C44A1D" w:rsidRPr="003A1203">
        <w:rPr>
          <w:rFonts w:ascii="Times New Roman" w:hAnsi="Times New Roman" w:cs="Times New Roman"/>
          <w:sz w:val="22"/>
        </w:rPr>
        <w:t>orius, (2009), among others, have</w:t>
      </w:r>
      <w:r w:rsidRPr="003A1203">
        <w:rPr>
          <w:rFonts w:ascii="Times New Roman" w:hAnsi="Times New Roman" w:cs="Times New Roman"/>
          <w:sz w:val="22"/>
        </w:rPr>
        <w:t xml:space="preserve"> explored the impacts of these deals on the share price of the company, no effort has yet been made on determining its effect on dividend policy. </w:t>
      </w:r>
    </w:p>
    <w:p w14:paraId="5C8ECF78"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Legislators and policy setters </w:t>
      </w:r>
      <w:r w:rsidR="00237247">
        <w:rPr>
          <w:rFonts w:ascii="Times New Roman" w:hAnsi="Times New Roman" w:cs="Times New Roman"/>
          <w:sz w:val="22"/>
        </w:rPr>
        <w:t>may be able</w:t>
      </w:r>
      <w:r w:rsidRPr="003A1203">
        <w:rPr>
          <w:rFonts w:ascii="Times New Roman" w:hAnsi="Times New Roman" w:cs="Times New Roman"/>
          <w:sz w:val="22"/>
        </w:rPr>
        <w:t xml:space="preserve"> to use this information to determine whether the consequences </w:t>
      </w:r>
      <w:r w:rsidR="00684ABC">
        <w:rPr>
          <w:rFonts w:ascii="Times New Roman" w:hAnsi="Times New Roman" w:cs="Times New Roman"/>
          <w:sz w:val="22"/>
        </w:rPr>
        <w:t>of a higher dividend pay-out is</w:t>
      </w:r>
      <w:r w:rsidRPr="003A1203">
        <w:rPr>
          <w:rFonts w:ascii="Times New Roman" w:hAnsi="Times New Roman" w:cs="Times New Roman"/>
          <w:sz w:val="22"/>
        </w:rPr>
        <w:t xml:space="preserve"> desirable. Higher dividend payments are generally seen as being of higher risk which is unfavourable</w:t>
      </w:r>
      <w:r w:rsidR="00237247">
        <w:rPr>
          <w:rFonts w:ascii="Times New Roman" w:hAnsi="Times New Roman" w:cs="Times New Roman"/>
          <w:sz w:val="22"/>
        </w:rPr>
        <w:t xml:space="preserve"> to companies and the overall economy</w:t>
      </w:r>
      <w:r w:rsidRPr="003A1203">
        <w:rPr>
          <w:rFonts w:ascii="Times New Roman" w:hAnsi="Times New Roman" w:cs="Times New Roman"/>
          <w:sz w:val="22"/>
        </w:rPr>
        <w:t>. This is particularly relevant within a South African context due to the fact that the South African economy is in a position where it needs further fixed asset investment so as to stimulate economic growth. Any undesirable consequences determined at this point can then be amended through corrective legislation.</w:t>
      </w:r>
    </w:p>
    <w:p w14:paraId="6DBA21DE" w14:textId="77777777" w:rsidR="00C44A1D" w:rsidRPr="003A1203" w:rsidRDefault="00C44A1D" w:rsidP="00536234">
      <w:pPr>
        <w:spacing w:line="480" w:lineRule="auto"/>
        <w:ind w:left="0"/>
        <w:rPr>
          <w:rFonts w:ascii="Times New Roman" w:hAnsi="Times New Roman" w:cs="Times New Roman"/>
          <w:sz w:val="22"/>
        </w:rPr>
      </w:pPr>
      <w:r w:rsidRPr="003A1203">
        <w:rPr>
          <w:rFonts w:ascii="Times New Roman" w:hAnsi="Times New Roman" w:cs="Times New Roman"/>
          <w:sz w:val="22"/>
        </w:rPr>
        <w:t>In addition to this, there also exists various disagreements and uncertainties regarding factors that are known to have a definitive impact on the dividend policies of companies</w:t>
      </w:r>
      <w:r w:rsidR="00237247">
        <w:rPr>
          <w:rFonts w:ascii="Times New Roman" w:hAnsi="Times New Roman" w:cs="Times New Roman"/>
          <w:sz w:val="22"/>
        </w:rPr>
        <w:t xml:space="preserve"> (Black, 1976)</w:t>
      </w:r>
      <w:r w:rsidRPr="003A1203">
        <w:rPr>
          <w:rFonts w:ascii="Times New Roman" w:hAnsi="Times New Roman" w:cs="Times New Roman"/>
          <w:sz w:val="22"/>
        </w:rPr>
        <w:t xml:space="preserve">. This level of uncertainty exists on both a global and </w:t>
      </w:r>
      <w:r w:rsidR="00684ABC">
        <w:rPr>
          <w:rFonts w:ascii="Times New Roman" w:hAnsi="Times New Roman" w:cs="Times New Roman"/>
          <w:sz w:val="22"/>
        </w:rPr>
        <w:t>national</w:t>
      </w:r>
      <w:r w:rsidRPr="003A1203">
        <w:rPr>
          <w:rFonts w:ascii="Times New Roman" w:hAnsi="Times New Roman" w:cs="Times New Roman"/>
          <w:sz w:val="22"/>
        </w:rPr>
        <w:t xml:space="preserve"> level. In order to address this high level of uncertainty, the paper will attempt to </w:t>
      </w:r>
      <w:r w:rsidR="009440A2">
        <w:rPr>
          <w:rFonts w:ascii="Times New Roman" w:hAnsi="Times New Roman" w:cs="Times New Roman"/>
          <w:sz w:val="22"/>
        </w:rPr>
        <w:t>prove that BBBEE deals have a definitive impact on the dividend policy of companies in the local context</w:t>
      </w:r>
      <w:r w:rsidRPr="003A1203">
        <w:rPr>
          <w:rFonts w:ascii="Times New Roman" w:hAnsi="Times New Roman" w:cs="Times New Roman"/>
          <w:sz w:val="22"/>
        </w:rPr>
        <w:t>.</w:t>
      </w:r>
    </w:p>
    <w:p w14:paraId="18B24021" w14:textId="77777777" w:rsidR="006B7584" w:rsidRPr="00A14BA6" w:rsidRDefault="006B7584" w:rsidP="00536234">
      <w:pPr>
        <w:pStyle w:val="Heading2"/>
        <w:ind w:left="0"/>
        <w:rPr>
          <w:rFonts w:ascii="Times New Roman" w:hAnsi="Times New Roman" w:cs="Times New Roman"/>
          <w:b/>
        </w:rPr>
      </w:pPr>
      <w:bookmarkStart w:id="15" w:name="_Toc506717761"/>
      <w:r w:rsidRPr="00A14BA6">
        <w:rPr>
          <w:rFonts w:ascii="Times New Roman" w:hAnsi="Times New Roman" w:cs="Times New Roman"/>
          <w:b/>
          <w:color w:val="auto"/>
          <w:sz w:val="24"/>
        </w:rPr>
        <w:t>1.5</w:t>
      </w:r>
      <w:r w:rsidRPr="00A14BA6">
        <w:rPr>
          <w:rFonts w:ascii="Times New Roman" w:hAnsi="Times New Roman" w:cs="Times New Roman"/>
          <w:b/>
          <w:color w:val="auto"/>
          <w:sz w:val="24"/>
        </w:rPr>
        <w:tab/>
        <w:t>Research Question</w:t>
      </w:r>
      <w:bookmarkEnd w:id="15"/>
      <w:r w:rsidRPr="00A14BA6">
        <w:rPr>
          <w:rFonts w:ascii="Times New Roman" w:hAnsi="Times New Roman" w:cs="Times New Roman"/>
          <w:b/>
          <w:color w:val="auto"/>
          <w:sz w:val="24"/>
        </w:rPr>
        <w:t xml:space="preserve"> </w:t>
      </w:r>
    </w:p>
    <w:p w14:paraId="0952FCD8" w14:textId="7A95FAEB" w:rsidR="006B7584" w:rsidRPr="003A1203" w:rsidRDefault="00431999" w:rsidP="00536234">
      <w:pPr>
        <w:spacing w:line="480" w:lineRule="auto"/>
        <w:ind w:left="0"/>
        <w:rPr>
          <w:rFonts w:ascii="Times New Roman" w:hAnsi="Times New Roman" w:cs="Times New Roman"/>
          <w:sz w:val="22"/>
        </w:rPr>
      </w:pPr>
      <w:r>
        <w:rPr>
          <w:rFonts w:ascii="Times New Roman" w:hAnsi="Times New Roman" w:cs="Times New Roman"/>
          <w:sz w:val="22"/>
        </w:rPr>
        <w:t>The research question of this study is as follows: d</w:t>
      </w:r>
      <w:r w:rsidR="006B7584" w:rsidRPr="003A1203">
        <w:rPr>
          <w:rFonts w:ascii="Times New Roman" w:hAnsi="Times New Roman" w:cs="Times New Roman"/>
          <w:sz w:val="22"/>
        </w:rPr>
        <w:t>o companies with BBBEE deals in place pay higher dividends than companies that do not have such a deal in place, all else equal?</w:t>
      </w:r>
    </w:p>
    <w:p w14:paraId="4FBAAF8D" w14:textId="77777777" w:rsidR="006B7584" w:rsidRPr="00A14BA6" w:rsidRDefault="006B7584" w:rsidP="00536234">
      <w:pPr>
        <w:pStyle w:val="Heading2"/>
        <w:ind w:left="0"/>
        <w:rPr>
          <w:rFonts w:ascii="Times New Roman" w:hAnsi="Times New Roman" w:cs="Times New Roman"/>
          <w:b/>
        </w:rPr>
      </w:pPr>
      <w:bookmarkStart w:id="16" w:name="_Toc506717762"/>
      <w:r w:rsidRPr="00A14BA6">
        <w:rPr>
          <w:rFonts w:ascii="Times New Roman" w:hAnsi="Times New Roman" w:cs="Times New Roman"/>
          <w:b/>
          <w:color w:val="auto"/>
          <w:sz w:val="24"/>
        </w:rPr>
        <w:t>1.6</w:t>
      </w:r>
      <w:r w:rsidRPr="00A14BA6">
        <w:rPr>
          <w:rFonts w:ascii="Times New Roman" w:hAnsi="Times New Roman" w:cs="Times New Roman"/>
          <w:b/>
          <w:color w:val="auto"/>
          <w:sz w:val="24"/>
        </w:rPr>
        <w:tab/>
        <w:t>Assumptions, Limitations and Delimitations</w:t>
      </w:r>
      <w:bookmarkEnd w:id="16"/>
    </w:p>
    <w:p w14:paraId="47EDA032" w14:textId="66C7F112" w:rsidR="006B7584" w:rsidRPr="00A14BA6" w:rsidRDefault="009A04FC" w:rsidP="00536234">
      <w:pPr>
        <w:pStyle w:val="Heading3"/>
        <w:ind w:left="0"/>
        <w:rPr>
          <w:rFonts w:ascii="Times New Roman" w:hAnsi="Times New Roman" w:cs="Times New Roman"/>
          <w:i/>
          <w:color w:val="auto"/>
          <w:sz w:val="22"/>
        </w:rPr>
      </w:pPr>
      <w:bookmarkStart w:id="17" w:name="_Toc506717763"/>
      <w:r>
        <w:rPr>
          <w:rFonts w:ascii="Times New Roman" w:hAnsi="Times New Roman" w:cs="Times New Roman"/>
          <w:i/>
          <w:color w:val="auto"/>
          <w:sz w:val="22"/>
        </w:rPr>
        <w:t>1.6.1</w:t>
      </w:r>
      <w:r>
        <w:rPr>
          <w:rFonts w:ascii="Times New Roman" w:hAnsi="Times New Roman" w:cs="Times New Roman"/>
          <w:i/>
          <w:color w:val="auto"/>
          <w:sz w:val="22"/>
        </w:rPr>
        <w:tab/>
      </w:r>
      <w:r w:rsidR="006B7584" w:rsidRPr="00A14BA6">
        <w:rPr>
          <w:rFonts w:ascii="Times New Roman" w:hAnsi="Times New Roman" w:cs="Times New Roman"/>
          <w:i/>
          <w:color w:val="auto"/>
          <w:sz w:val="22"/>
        </w:rPr>
        <w:t>Assumptions</w:t>
      </w:r>
      <w:bookmarkEnd w:id="17"/>
      <w:r w:rsidR="006B7584" w:rsidRPr="00A14BA6">
        <w:rPr>
          <w:rFonts w:ascii="Times New Roman" w:hAnsi="Times New Roman" w:cs="Times New Roman"/>
          <w:i/>
          <w:color w:val="auto"/>
          <w:sz w:val="22"/>
        </w:rPr>
        <w:t xml:space="preserve"> </w:t>
      </w:r>
    </w:p>
    <w:p w14:paraId="02276E31"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It will be assumed that the companies forming part of the JSE top 100 companies will be a sufficient sample representation of all those companies listed on the JSE.</w:t>
      </w:r>
    </w:p>
    <w:p w14:paraId="3DBB00FA" w14:textId="77777777" w:rsidR="006B7584" w:rsidRPr="00A14BA6" w:rsidRDefault="009A04FC" w:rsidP="00536234">
      <w:pPr>
        <w:pStyle w:val="Heading3"/>
        <w:ind w:left="0"/>
        <w:rPr>
          <w:rFonts w:ascii="Times New Roman" w:hAnsi="Times New Roman" w:cs="Times New Roman"/>
          <w:i/>
          <w:color w:val="auto"/>
          <w:sz w:val="22"/>
        </w:rPr>
      </w:pPr>
      <w:bookmarkStart w:id="18" w:name="_Toc506717764"/>
      <w:r>
        <w:rPr>
          <w:rFonts w:ascii="Times New Roman" w:hAnsi="Times New Roman" w:cs="Times New Roman"/>
          <w:i/>
          <w:color w:val="auto"/>
          <w:sz w:val="22"/>
        </w:rPr>
        <w:lastRenderedPageBreak/>
        <w:t>1.6.2</w:t>
      </w:r>
      <w:r>
        <w:rPr>
          <w:rFonts w:ascii="Times New Roman" w:hAnsi="Times New Roman" w:cs="Times New Roman"/>
          <w:i/>
          <w:color w:val="auto"/>
          <w:sz w:val="22"/>
        </w:rPr>
        <w:tab/>
      </w:r>
      <w:r w:rsidR="006B7584" w:rsidRPr="00A14BA6">
        <w:rPr>
          <w:rFonts w:ascii="Times New Roman" w:hAnsi="Times New Roman" w:cs="Times New Roman"/>
          <w:i/>
          <w:color w:val="auto"/>
          <w:sz w:val="22"/>
        </w:rPr>
        <w:t>Limitations</w:t>
      </w:r>
      <w:bookmarkEnd w:id="18"/>
    </w:p>
    <w:p w14:paraId="4A2152FC"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This study</w:t>
      </w:r>
      <w:r w:rsidR="00237247">
        <w:rPr>
          <w:rFonts w:ascii="Times New Roman" w:hAnsi="Times New Roman" w:cs="Times New Roman"/>
          <w:sz w:val="22"/>
        </w:rPr>
        <w:t xml:space="preserve"> will not</w:t>
      </w:r>
      <w:r w:rsidRPr="003A1203">
        <w:rPr>
          <w:rFonts w:ascii="Times New Roman" w:hAnsi="Times New Roman" w:cs="Times New Roman"/>
          <w:sz w:val="22"/>
        </w:rPr>
        <w:t xml:space="preserve"> measure any other forms of non-financial determinants of dividend policy and their corresponding influence on the dividend pay-out ratio. </w:t>
      </w:r>
    </w:p>
    <w:p w14:paraId="7B79680F"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Missing values with respect to ownership and financial data will be removed</w:t>
      </w:r>
      <w:r w:rsidR="00237247">
        <w:rPr>
          <w:rFonts w:ascii="Times New Roman" w:hAnsi="Times New Roman" w:cs="Times New Roman"/>
          <w:sz w:val="22"/>
        </w:rPr>
        <w:t xml:space="preserve"> from the sample data</w:t>
      </w:r>
      <w:r w:rsidRPr="003A1203">
        <w:rPr>
          <w:rFonts w:ascii="Times New Roman" w:hAnsi="Times New Roman" w:cs="Times New Roman"/>
          <w:sz w:val="22"/>
        </w:rPr>
        <w:t xml:space="preserve">. However, this limitation will be compensated for by virtue of the large volume of data points arising from the data used, which consists of many years </w:t>
      </w:r>
      <w:r w:rsidR="0004256D">
        <w:rPr>
          <w:rFonts w:ascii="Times New Roman" w:hAnsi="Times New Roman" w:cs="Times New Roman"/>
          <w:sz w:val="22"/>
        </w:rPr>
        <w:t xml:space="preserve">and numbers </w:t>
      </w:r>
      <w:r w:rsidRPr="003A1203">
        <w:rPr>
          <w:rFonts w:ascii="Times New Roman" w:hAnsi="Times New Roman" w:cs="Times New Roman"/>
          <w:sz w:val="22"/>
        </w:rPr>
        <w:t xml:space="preserve">of observations. </w:t>
      </w:r>
    </w:p>
    <w:p w14:paraId="7B99F178" w14:textId="77777777" w:rsidR="000845E5" w:rsidRPr="003A1203" w:rsidRDefault="000845E5"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study will also focus only on those companies which qualified as being amongst the top 100 JSE listed companies </w:t>
      </w:r>
      <w:r w:rsidR="00237247">
        <w:rPr>
          <w:rFonts w:ascii="Times New Roman" w:hAnsi="Times New Roman" w:cs="Times New Roman"/>
          <w:sz w:val="22"/>
        </w:rPr>
        <w:t>on the JSE</w:t>
      </w:r>
      <w:r w:rsidRPr="003A1203">
        <w:rPr>
          <w:rFonts w:ascii="Times New Roman" w:hAnsi="Times New Roman" w:cs="Times New Roman"/>
          <w:sz w:val="22"/>
        </w:rPr>
        <w:t>. Therefore</w:t>
      </w:r>
      <w:r w:rsidR="00237247">
        <w:rPr>
          <w:rFonts w:ascii="Times New Roman" w:hAnsi="Times New Roman" w:cs="Times New Roman"/>
          <w:sz w:val="22"/>
        </w:rPr>
        <w:t>,</w:t>
      </w:r>
      <w:r w:rsidRPr="003A1203">
        <w:rPr>
          <w:rFonts w:ascii="Times New Roman" w:hAnsi="Times New Roman" w:cs="Times New Roman"/>
          <w:sz w:val="22"/>
        </w:rPr>
        <w:t xml:space="preserve"> it will ignore all other </w:t>
      </w:r>
      <w:r w:rsidR="00237247">
        <w:rPr>
          <w:rFonts w:ascii="Times New Roman" w:hAnsi="Times New Roman" w:cs="Times New Roman"/>
          <w:sz w:val="22"/>
        </w:rPr>
        <w:t>companies listed on the JSE</w:t>
      </w:r>
      <w:r w:rsidR="002E523D">
        <w:rPr>
          <w:rFonts w:ascii="Times New Roman" w:hAnsi="Times New Roman" w:cs="Times New Roman"/>
          <w:sz w:val="22"/>
        </w:rPr>
        <w:t>.</w:t>
      </w:r>
    </w:p>
    <w:p w14:paraId="5BD189B2" w14:textId="77777777" w:rsidR="000845E5" w:rsidRDefault="000845E5" w:rsidP="00536234">
      <w:pPr>
        <w:spacing w:line="480" w:lineRule="auto"/>
        <w:ind w:left="0"/>
        <w:rPr>
          <w:rFonts w:ascii="Times New Roman" w:hAnsi="Times New Roman" w:cs="Times New Roman"/>
          <w:sz w:val="22"/>
        </w:rPr>
      </w:pPr>
      <w:r w:rsidRPr="003A1203">
        <w:rPr>
          <w:rFonts w:ascii="Times New Roman" w:hAnsi="Times New Roman" w:cs="Times New Roman"/>
          <w:sz w:val="22"/>
        </w:rPr>
        <w:t>This study will be focused only on the impact of the ownership element of the Scorecard and its impact on dividend policy. Therefore</w:t>
      </w:r>
      <w:r w:rsidR="002E523D">
        <w:rPr>
          <w:rFonts w:ascii="Times New Roman" w:hAnsi="Times New Roman" w:cs="Times New Roman"/>
          <w:sz w:val="22"/>
        </w:rPr>
        <w:t>,</w:t>
      </w:r>
      <w:r w:rsidRPr="003A1203">
        <w:rPr>
          <w:rFonts w:ascii="Times New Roman" w:hAnsi="Times New Roman" w:cs="Times New Roman"/>
          <w:sz w:val="22"/>
        </w:rPr>
        <w:t xml:space="preserve"> it will ignore any impact that any other such element could have on the dividend policy decisions of companies.</w:t>
      </w:r>
    </w:p>
    <w:p w14:paraId="109C4A4F" w14:textId="77777777" w:rsidR="006218F1" w:rsidRPr="003A1203" w:rsidRDefault="006218F1" w:rsidP="00536234">
      <w:pPr>
        <w:spacing w:line="480" w:lineRule="auto"/>
        <w:ind w:left="0"/>
        <w:rPr>
          <w:rFonts w:ascii="Times New Roman" w:hAnsi="Times New Roman" w:cs="Times New Roman"/>
          <w:sz w:val="22"/>
        </w:rPr>
      </w:pPr>
      <w:r>
        <w:rPr>
          <w:rFonts w:ascii="Times New Roman" w:hAnsi="Times New Roman" w:cs="Times New Roman"/>
          <w:sz w:val="22"/>
        </w:rPr>
        <w:t>The study will not consider the impact of any other BBBEE funding structures on dividend policy</w:t>
      </w:r>
      <w:r w:rsidR="00FF20EE">
        <w:rPr>
          <w:rFonts w:ascii="Times New Roman" w:hAnsi="Times New Roman" w:cs="Times New Roman"/>
          <w:sz w:val="22"/>
        </w:rPr>
        <w:t xml:space="preserve"> and dividend pay-out</w:t>
      </w:r>
      <w:r>
        <w:rPr>
          <w:rFonts w:ascii="Times New Roman" w:hAnsi="Times New Roman" w:cs="Times New Roman"/>
          <w:sz w:val="22"/>
        </w:rPr>
        <w:t xml:space="preserve">, other </w:t>
      </w:r>
      <w:r w:rsidR="002A2F4F">
        <w:rPr>
          <w:rFonts w:ascii="Times New Roman" w:hAnsi="Times New Roman" w:cs="Times New Roman"/>
          <w:sz w:val="22"/>
        </w:rPr>
        <w:t>than that which</w:t>
      </w:r>
      <w:r w:rsidR="002E523D">
        <w:rPr>
          <w:rFonts w:ascii="Times New Roman" w:hAnsi="Times New Roman" w:cs="Times New Roman"/>
          <w:sz w:val="22"/>
        </w:rPr>
        <w:t xml:space="preserve"> will serve as the focus of this research paper</w:t>
      </w:r>
      <w:r>
        <w:rPr>
          <w:rFonts w:ascii="Times New Roman" w:hAnsi="Times New Roman" w:cs="Times New Roman"/>
          <w:sz w:val="22"/>
        </w:rPr>
        <w:t>.</w:t>
      </w:r>
    </w:p>
    <w:p w14:paraId="56DB679A" w14:textId="77777777" w:rsidR="006B7584" w:rsidRPr="00A14BA6" w:rsidRDefault="009A04FC" w:rsidP="00536234">
      <w:pPr>
        <w:pStyle w:val="Heading3"/>
        <w:ind w:left="0"/>
        <w:rPr>
          <w:rFonts w:ascii="Times New Roman" w:hAnsi="Times New Roman" w:cs="Times New Roman"/>
          <w:i/>
        </w:rPr>
      </w:pPr>
      <w:bookmarkStart w:id="19" w:name="_Toc506717765"/>
      <w:r>
        <w:rPr>
          <w:rFonts w:ascii="Times New Roman" w:hAnsi="Times New Roman" w:cs="Times New Roman"/>
          <w:i/>
          <w:color w:val="auto"/>
          <w:sz w:val="22"/>
        </w:rPr>
        <w:t>1.6.3</w:t>
      </w:r>
      <w:r>
        <w:rPr>
          <w:rFonts w:ascii="Times New Roman" w:hAnsi="Times New Roman" w:cs="Times New Roman"/>
          <w:i/>
          <w:color w:val="auto"/>
          <w:sz w:val="22"/>
        </w:rPr>
        <w:tab/>
      </w:r>
      <w:r w:rsidR="006B7584" w:rsidRPr="00A14BA6">
        <w:rPr>
          <w:rFonts w:ascii="Times New Roman" w:hAnsi="Times New Roman" w:cs="Times New Roman"/>
          <w:i/>
          <w:color w:val="auto"/>
          <w:sz w:val="22"/>
        </w:rPr>
        <w:t>Delimitations</w:t>
      </w:r>
      <w:bookmarkEnd w:id="19"/>
      <w:r w:rsidR="006B7584" w:rsidRPr="00A14BA6">
        <w:rPr>
          <w:rFonts w:ascii="Times New Roman" w:hAnsi="Times New Roman" w:cs="Times New Roman"/>
          <w:i/>
        </w:rPr>
        <w:t xml:space="preserve"> </w:t>
      </w:r>
    </w:p>
    <w:p w14:paraId="3A2273E9"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Share repurchases will not be considered as a decision within the corporate pay-out policy.</w:t>
      </w:r>
    </w:p>
    <w:p w14:paraId="56C579E0" w14:textId="77777777" w:rsidR="000845E5" w:rsidRPr="003A1203" w:rsidRDefault="000845E5"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This study will </w:t>
      </w:r>
      <w:r w:rsidR="002E523D">
        <w:rPr>
          <w:rFonts w:ascii="Times New Roman" w:hAnsi="Times New Roman" w:cs="Times New Roman"/>
          <w:sz w:val="22"/>
        </w:rPr>
        <w:t xml:space="preserve">also </w:t>
      </w:r>
      <w:r w:rsidRPr="003A1203">
        <w:rPr>
          <w:rFonts w:ascii="Times New Roman" w:hAnsi="Times New Roman" w:cs="Times New Roman"/>
          <w:sz w:val="22"/>
        </w:rPr>
        <w:t>not consider</w:t>
      </w:r>
      <w:r w:rsidR="002E523D">
        <w:rPr>
          <w:rFonts w:ascii="Times New Roman" w:hAnsi="Times New Roman" w:cs="Times New Roman"/>
          <w:sz w:val="22"/>
        </w:rPr>
        <w:t xml:space="preserve"> any</w:t>
      </w:r>
      <w:r w:rsidRPr="003A1203">
        <w:rPr>
          <w:rFonts w:ascii="Times New Roman" w:hAnsi="Times New Roman" w:cs="Times New Roman"/>
          <w:sz w:val="22"/>
        </w:rPr>
        <w:t xml:space="preserve"> companies listed on the AltX, the JSE’s alternate board for smaller and less established companies.</w:t>
      </w:r>
    </w:p>
    <w:p w14:paraId="70E1641C" w14:textId="77777777" w:rsidR="006B7584" w:rsidRPr="00A14BA6" w:rsidRDefault="006B7584" w:rsidP="00536234">
      <w:pPr>
        <w:pStyle w:val="Heading2"/>
        <w:ind w:left="0"/>
        <w:rPr>
          <w:rFonts w:ascii="Times New Roman" w:hAnsi="Times New Roman" w:cs="Times New Roman"/>
          <w:b/>
          <w:color w:val="auto"/>
          <w:sz w:val="24"/>
        </w:rPr>
      </w:pPr>
      <w:bookmarkStart w:id="20" w:name="_Toc506717766"/>
      <w:r w:rsidRPr="00A14BA6">
        <w:rPr>
          <w:rFonts w:ascii="Times New Roman" w:hAnsi="Times New Roman" w:cs="Times New Roman"/>
          <w:b/>
          <w:color w:val="auto"/>
          <w:sz w:val="24"/>
        </w:rPr>
        <w:t>1.7</w:t>
      </w:r>
      <w:r w:rsidRPr="00A14BA6">
        <w:rPr>
          <w:rFonts w:ascii="Times New Roman" w:hAnsi="Times New Roman" w:cs="Times New Roman"/>
          <w:b/>
          <w:color w:val="auto"/>
          <w:sz w:val="24"/>
        </w:rPr>
        <w:tab/>
        <w:t>Definitions</w:t>
      </w:r>
      <w:bookmarkEnd w:id="20"/>
      <w:r w:rsidRPr="00A14BA6">
        <w:rPr>
          <w:rFonts w:ascii="Times New Roman" w:hAnsi="Times New Roman" w:cs="Times New Roman"/>
          <w:b/>
          <w:color w:val="auto"/>
          <w:sz w:val="24"/>
        </w:rPr>
        <w:t xml:space="preserve"> </w:t>
      </w:r>
    </w:p>
    <w:p w14:paraId="11CA68EE"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b/>
          <w:sz w:val="22"/>
        </w:rPr>
        <w:t>Agency Cost:</w:t>
      </w:r>
      <w:r w:rsidRPr="003A1203">
        <w:rPr>
          <w:rFonts w:ascii="Times New Roman" w:hAnsi="Times New Roman" w:cs="Times New Roman"/>
          <w:sz w:val="22"/>
        </w:rPr>
        <w:t xml:space="preserve"> Agency costs are an example of an internal cost that arises from an agent acting on behalf of a principal. These costs arise due to problems such as conflicts of interests between management and shareholders (Jensen &amp; Meckling, 1976).</w:t>
      </w:r>
    </w:p>
    <w:p w14:paraId="1D283586"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b/>
          <w:sz w:val="22"/>
        </w:rPr>
        <w:t>Agency Theory:</w:t>
      </w:r>
      <w:r w:rsidRPr="003A1203">
        <w:rPr>
          <w:rFonts w:ascii="Times New Roman" w:hAnsi="Times New Roman" w:cs="Times New Roman"/>
          <w:sz w:val="22"/>
        </w:rPr>
        <w:t xml:space="preserve"> Agency theory can be described as the relationship between two parties. The one of which is considered to be the principle while the other is referred to as the agent (Jensen &amp; Meckling, 1976). The agent acts in his capacity in order to meet the objectives and carry out the desires of the principle (Jensen &amp; Meckling, 1976). An example of this is when the shareholders of a company, who </w:t>
      </w:r>
      <w:r w:rsidRPr="003A1203">
        <w:rPr>
          <w:rFonts w:ascii="Times New Roman" w:hAnsi="Times New Roman" w:cs="Times New Roman"/>
          <w:sz w:val="22"/>
        </w:rPr>
        <w:lastRenderedPageBreak/>
        <w:t>are considered to be the owners, appoint management for the purposes of carrying out the instructions of the shareholders in generating the profit in accordance with their appetite. Issues may however arise in the case where management decide to not act in accordance with the interests and requests of those shareholders (Jensen &amp; Meckling, 1976).  The need for a tool to encourage the alignment of these varying interests is therefore an important part of maintaining a company (Fontrodona &amp; Sison, 2006).</w:t>
      </w:r>
    </w:p>
    <w:p w14:paraId="2A9A1EF6"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b/>
          <w:sz w:val="22"/>
        </w:rPr>
        <w:t>Broad-Based Black Economic Empowerment:</w:t>
      </w:r>
      <w:r w:rsidRPr="003A1203">
        <w:rPr>
          <w:rFonts w:ascii="Times New Roman" w:hAnsi="Times New Roman" w:cs="Times New Roman"/>
          <w:sz w:val="22"/>
        </w:rPr>
        <w:t xml:space="preserve"> means the practical economic empowerment of all black people. This in particular includes people such as women, workers, youth, those with disabilities and those living in rural areas. This is achieved through diverse socio-economic strategies such as: </w:t>
      </w:r>
    </w:p>
    <w:p w14:paraId="75A28F91"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•Increasing the number of black people that manage, own and control enterprises; </w:t>
      </w:r>
    </w:p>
    <w:p w14:paraId="786AA376"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•Facilitating ownership and management of enterprises by qualifying communities and individuals; </w:t>
      </w:r>
    </w:p>
    <w:p w14:paraId="2E0DD463"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•Human resource and skills development; </w:t>
      </w:r>
    </w:p>
    <w:p w14:paraId="6399B0CE"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•Achieving equitable representation in all occupational categories and levels of the workforce; </w:t>
      </w:r>
    </w:p>
    <w:p w14:paraId="1A20BCAF" w14:textId="77777777"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 xml:space="preserve">•Preferential procurement from enterprises that are owned or managed by black people; and </w:t>
      </w:r>
    </w:p>
    <w:p w14:paraId="74F343FD" w14:textId="149934C5" w:rsidR="003825AF" w:rsidRPr="003A1203" w:rsidRDefault="003825AF" w:rsidP="00536234">
      <w:pPr>
        <w:spacing w:line="480" w:lineRule="auto"/>
        <w:ind w:left="0" w:firstLine="0"/>
        <w:rPr>
          <w:rFonts w:ascii="Times New Roman" w:hAnsi="Times New Roman" w:cs="Times New Roman"/>
          <w:sz w:val="22"/>
        </w:rPr>
      </w:pPr>
      <w:r w:rsidRPr="003A1203">
        <w:rPr>
          <w:rFonts w:ascii="Times New Roman" w:hAnsi="Times New Roman" w:cs="Times New Roman"/>
          <w:sz w:val="22"/>
        </w:rPr>
        <w:t>•Investing in enterprises that are owned or managed by black people (</w:t>
      </w:r>
      <w:r w:rsidR="00A53B61">
        <w:rPr>
          <w:rFonts w:ascii="Times New Roman" w:hAnsi="Times New Roman" w:cs="Times New Roman"/>
          <w:sz w:val="22"/>
        </w:rPr>
        <w:t>Amended Act</w:t>
      </w:r>
      <w:r w:rsidRPr="003A1203">
        <w:rPr>
          <w:rFonts w:ascii="Times New Roman" w:hAnsi="Times New Roman" w:cs="Times New Roman"/>
          <w:sz w:val="22"/>
        </w:rPr>
        <w:t>, 2013).</w:t>
      </w:r>
    </w:p>
    <w:p w14:paraId="33842684"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b/>
          <w:sz w:val="22"/>
        </w:rPr>
        <w:t>Broad-Based Black Economic Empowerment Deal:</w:t>
      </w:r>
      <w:r w:rsidRPr="003A1203">
        <w:rPr>
          <w:rFonts w:ascii="Times New Roman" w:hAnsi="Times New Roman" w:cs="Times New Roman"/>
          <w:sz w:val="22"/>
        </w:rPr>
        <w:t xml:space="preserve"> </w:t>
      </w:r>
      <w:r w:rsidR="00866489" w:rsidRPr="00866489">
        <w:rPr>
          <w:rFonts w:ascii="Times New Roman" w:hAnsi="Times New Roman" w:cs="Times New Roman"/>
          <w:sz w:val="22"/>
        </w:rPr>
        <w:t>This is defined as those companies that had entered into BBBEE deals with black beneficiaries and where the deals had been enabled by the issuing companies. The issuing company must have been a facilitator of the deal either through vendor financing or guarantees for the deal to have been considered as one for the purpose of their study. This is further in line with the purpose of our research and conclusions reached in the literature review which found that the significant majority of BBBEE deals have been funded by companies in this manner</w:t>
      </w:r>
      <w:r w:rsidR="00866489">
        <w:rPr>
          <w:rFonts w:ascii="Times New Roman" w:hAnsi="Times New Roman" w:cs="Times New Roman"/>
          <w:sz w:val="22"/>
        </w:rPr>
        <w:t xml:space="preserve"> (Intellidex, 2015)</w:t>
      </w:r>
      <w:r w:rsidR="00866489" w:rsidRPr="00866489">
        <w:rPr>
          <w:rFonts w:ascii="Times New Roman" w:hAnsi="Times New Roman" w:cs="Times New Roman"/>
          <w:sz w:val="22"/>
        </w:rPr>
        <w:t>.</w:t>
      </w:r>
    </w:p>
    <w:p w14:paraId="6FC6551D" w14:textId="77777777" w:rsidR="003825AF" w:rsidRPr="003A1203" w:rsidRDefault="003825AF" w:rsidP="00536234">
      <w:pPr>
        <w:spacing w:line="480" w:lineRule="auto"/>
        <w:ind w:left="0"/>
        <w:rPr>
          <w:rFonts w:ascii="Times New Roman" w:hAnsi="Times New Roman" w:cs="Times New Roman"/>
          <w:sz w:val="22"/>
        </w:rPr>
      </w:pPr>
      <w:r w:rsidRPr="003A1203">
        <w:rPr>
          <w:rFonts w:ascii="Times New Roman" w:hAnsi="Times New Roman" w:cs="Times New Roman"/>
          <w:b/>
          <w:sz w:val="22"/>
        </w:rPr>
        <w:t>Dividends:</w:t>
      </w:r>
      <w:r w:rsidRPr="003A1203">
        <w:rPr>
          <w:rFonts w:ascii="Times New Roman" w:hAnsi="Times New Roman" w:cs="Times New Roman"/>
          <w:sz w:val="22"/>
        </w:rPr>
        <w:t xml:space="preserve"> Distributions made by a company to its shareholders (included in the definition of "distributions" in section 1 of the South African Companies Act, 2008). Dividends is defined as the </w:t>
      </w:r>
      <w:r w:rsidRPr="003A1203">
        <w:rPr>
          <w:rFonts w:ascii="Times New Roman" w:hAnsi="Times New Roman" w:cs="Times New Roman"/>
          <w:sz w:val="22"/>
        </w:rPr>
        <w:lastRenderedPageBreak/>
        <w:t>distribution of earnings, irrespective of whether earned in the past or present, among the shareholders of the firm and in proportion to their respective percentage ownership of the company (Kapoor</w:t>
      </w:r>
      <w:r w:rsidR="009A04FC">
        <w:rPr>
          <w:rFonts w:ascii="Times New Roman" w:hAnsi="Times New Roman" w:cs="Times New Roman"/>
          <w:sz w:val="22"/>
        </w:rPr>
        <w:t>,</w:t>
      </w:r>
      <w:r w:rsidRPr="003A1203">
        <w:rPr>
          <w:rFonts w:ascii="Times New Roman" w:hAnsi="Times New Roman" w:cs="Times New Roman"/>
          <w:sz w:val="22"/>
        </w:rPr>
        <w:t xml:space="preserve"> 2009).  </w:t>
      </w:r>
    </w:p>
    <w:p w14:paraId="26BC3E76" w14:textId="77777777" w:rsidR="003825AF" w:rsidRPr="003A1203" w:rsidRDefault="00AE66B6" w:rsidP="00536234">
      <w:pPr>
        <w:spacing w:line="480" w:lineRule="auto"/>
        <w:ind w:left="0"/>
        <w:rPr>
          <w:rFonts w:ascii="Times New Roman" w:hAnsi="Times New Roman" w:cs="Times New Roman"/>
          <w:sz w:val="22"/>
        </w:rPr>
      </w:pPr>
      <w:r>
        <w:rPr>
          <w:rFonts w:ascii="Times New Roman" w:hAnsi="Times New Roman" w:cs="Times New Roman"/>
          <w:b/>
          <w:sz w:val="22"/>
        </w:rPr>
        <w:t>Dividend P</w:t>
      </w:r>
      <w:r w:rsidR="003825AF" w:rsidRPr="003A1203">
        <w:rPr>
          <w:rFonts w:ascii="Times New Roman" w:hAnsi="Times New Roman" w:cs="Times New Roman"/>
          <w:b/>
          <w:sz w:val="22"/>
        </w:rPr>
        <w:t>olicy:</w:t>
      </w:r>
      <w:r w:rsidR="003825AF" w:rsidRPr="003A1203">
        <w:rPr>
          <w:rFonts w:ascii="Times New Roman" w:hAnsi="Times New Roman" w:cs="Times New Roman"/>
          <w:sz w:val="22"/>
        </w:rPr>
        <w:t xml:space="preserve">  Dividend policy is the set of guidelines a company uses to decide whether and how much of its earnings to be paid out to shareholders.  A wide variety of factors impact on a firm’s dividend policy </w:t>
      </w:r>
      <w:r w:rsidR="00A71948">
        <w:rPr>
          <w:rFonts w:ascii="Times New Roman" w:hAnsi="Times New Roman" w:cs="Times New Roman"/>
          <w:sz w:val="22"/>
        </w:rPr>
        <w:t>(D</w:t>
      </w:r>
      <w:r w:rsidR="003825AF" w:rsidRPr="003A1203">
        <w:rPr>
          <w:rFonts w:ascii="Times New Roman" w:hAnsi="Times New Roman" w:cs="Times New Roman"/>
          <w:sz w:val="22"/>
        </w:rPr>
        <w:t>amodaran</w:t>
      </w:r>
      <w:r w:rsidR="00A71948">
        <w:rPr>
          <w:rFonts w:ascii="Times New Roman" w:hAnsi="Times New Roman" w:cs="Times New Roman"/>
          <w:sz w:val="22"/>
        </w:rPr>
        <w:t>,</w:t>
      </w:r>
      <w:r w:rsidR="003825AF" w:rsidRPr="003A1203">
        <w:rPr>
          <w:rFonts w:ascii="Times New Roman" w:hAnsi="Times New Roman" w:cs="Times New Roman"/>
          <w:sz w:val="22"/>
        </w:rPr>
        <w:t xml:space="preserve"> 1996)</w:t>
      </w:r>
      <w:r w:rsidR="00A71948">
        <w:rPr>
          <w:rFonts w:ascii="Times New Roman" w:hAnsi="Times New Roman" w:cs="Times New Roman"/>
          <w:sz w:val="22"/>
        </w:rPr>
        <w:t>.</w:t>
      </w:r>
      <w:r w:rsidR="003825AF" w:rsidRPr="003A1203">
        <w:rPr>
          <w:rFonts w:ascii="Times New Roman" w:hAnsi="Times New Roman" w:cs="Times New Roman"/>
          <w:sz w:val="22"/>
        </w:rPr>
        <w:t xml:space="preserve"> </w:t>
      </w:r>
    </w:p>
    <w:p w14:paraId="1EB4F156" w14:textId="77777777" w:rsidR="003825AF" w:rsidRPr="003A1203" w:rsidRDefault="003825AF" w:rsidP="00536234">
      <w:pPr>
        <w:spacing w:line="480" w:lineRule="auto"/>
        <w:ind w:left="0"/>
        <w:rPr>
          <w:rFonts w:ascii="Times New Roman" w:hAnsi="Times New Roman" w:cs="Times New Roman"/>
          <w:sz w:val="22"/>
        </w:rPr>
      </w:pPr>
      <w:r w:rsidRPr="003A1203">
        <w:rPr>
          <w:rFonts w:ascii="Times New Roman" w:hAnsi="Times New Roman" w:cs="Times New Roman"/>
          <w:b/>
          <w:sz w:val="22"/>
        </w:rPr>
        <w:t xml:space="preserve">Dividend </w:t>
      </w:r>
      <w:r w:rsidR="00AE66B6">
        <w:rPr>
          <w:rFonts w:ascii="Times New Roman" w:hAnsi="Times New Roman" w:cs="Times New Roman"/>
          <w:b/>
          <w:sz w:val="22"/>
        </w:rPr>
        <w:t>P</w:t>
      </w:r>
      <w:r w:rsidRPr="003A1203">
        <w:rPr>
          <w:rFonts w:ascii="Times New Roman" w:hAnsi="Times New Roman" w:cs="Times New Roman"/>
          <w:b/>
          <w:sz w:val="22"/>
        </w:rPr>
        <w:t>ay-</w:t>
      </w:r>
      <w:r w:rsidR="00AE66B6">
        <w:rPr>
          <w:rFonts w:ascii="Times New Roman" w:hAnsi="Times New Roman" w:cs="Times New Roman"/>
          <w:b/>
          <w:sz w:val="22"/>
        </w:rPr>
        <w:t>O</w:t>
      </w:r>
      <w:r w:rsidRPr="003A1203">
        <w:rPr>
          <w:rFonts w:ascii="Times New Roman" w:hAnsi="Times New Roman" w:cs="Times New Roman"/>
          <w:b/>
          <w:sz w:val="22"/>
        </w:rPr>
        <w:t xml:space="preserve">ut </w:t>
      </w:r>
      <w:r w:rsidR="00AE66B6">
        <w:rPr>
          <w:rFonts w:ascii="Times New Roman" w:hAnsi="Times New Roman" w:cs="Times New Roman"/>
          <w:b/>
          <w:sz w:val="22"/>
        </w:rPr>
        <w:t>R</w:t>
      </w:r>
      <w:r w:rsidRPr="003A1203">
        <w:rPr>
          <w:rFonts w:ascii="Times New Roman" w:hAnsi="Times New Roman" w:cs="Times New Roman"/>
          <w:b/>
          <w:sz w:val="22"/>
        </w:rPr>
        <w:t>atio:</w:t>
      </w:r>
      <w:r w:rsidRPr="003A1203">
        <w:rPr>
          <w:rFonts w:ascii="Times New Roman" w:hAnsi="Times New Roman" w:cs="Times New Roman"/>
          <w:sz w:val="22"/>
        </w:rPr>
        <w:t xml:space="preserve"> Measures the percentage of earnings that a company pays out to shareholders in the form of dividends. This formula is described as: Dividends/ Earnings (Damodaran</w:t>
      </w:r>
      <w:r w:rsidR="009A04FC">
        <w:rPr>
          <w:rFonts w:ascii="Times New Roman" w:hAnsi="Times New Roman" w:cs="Times New Roman"/>
          <w:sz w:val="22"/>
        </w:rPr>
        <w:t>,</w:t>
      </w:r>
      <w:r w:rsidRPr="003A1203">
        <w:rPr>
          <w:rFonts w:ascii="Times New Roman" w:hAnsi="Times New Roman" w:cs="Times New Roman"/>
          <w:sz w:val="22"/>
        </w:rPr>
        <w:t xml:space="preserve"> 1996). </w:t>
      </w:r>
    </w:p>
    <w:p w14:paraId="1E9B3A20" w14:textId="77777777" w:rsidR="003825AF" w:rsidRDefault="003825AF" w:rsidP="00536234">
      <w:pPr>
        <w:spacing w:line="480" w:lineRule="auto"/>
        <w:ind w:left="0"/>
        <w:rPr>
          <w:rFonts w:ascii="Times New Roman" w:hAnsi="Times New Roman" w:cs="Times New Roman"/>
          <w:sz w:val="22"/>
        </w:rPr>
      </w:pPr>
      <w:r w:rsidRPr="003A1203">
        <w:rPr>
          <w:rFonts w:ascii="Times New Roman" w:hAnsi="Times New Roman" w:cs="Times New Roman"/>
          <w:b/>
          <w:sz w:val="22"/>
        </w:rPr>
        <w:t>Earnings:</w:t>
      </w:r>
      <w:r w:rsidRPr="003A1203">
        <w:rPr>
          <w:rFonts w:ascii="Times New Roman" w:hAnsi="Times New Roman" w:cs="Times New Roman"/>
          <w:sz w:val="22"/>
        </w:rPr>
        <w:t xml:space="preserve"> The sum of money that a company has earned at the end of the reporting period and which has been calculated based on the applicable accounting standards. The appropriate accounting standard in this regard is considered to be IAS33. Accounting earnings is a measure of a company's profitability </w:t>
      </w:r>
      <w:r w:rsidR="004C7F2E" w:rsidRPr="003A1203">
        <w:rPr>
          <w:rFonts w:ascii="Times New Roman" w:hAnsi="Times New Roman" w:cs="Times New Roman"/>
          <w:sz w:val="22"/>
        </w:rPr>
        <w:t>(Damodaran</w:t>
      </w:r>
      <w:r w:rsidR="009A04FC">
        <w:rPr>
          <w:rFonts w:ascii="Times New Roman" w:hAnsi="Times New Roman" w:cs="Times New Roman"/>
          <w:sz w:val="22"/>
        </w:rPr>
        <w:t>,</w:t>
      </w:r>
      <w:r w:rsidR="004C7F2E" w:rsidRPr="003A1203">
        <w:rPr>
          <w:rFonts w:ascii="Times New Roman" w:hAnsi="Times New Roman" w:cs="Times New Roman"/>
          <w:sz w:val="22"/>
        </w:rPr>
        <w:t xml:space="preserve"> 1996).</w:t>
      </w:r>
    </w:p>
    <w:p w14:paraId="441194D9" w14:textId="77777777" w:rsidR="002004D7" w:rsidRPr="002004D7" w:rsidRDefault="002004D7" w:rsidP="00536234">
      <w:pPr>
        <w:spacing w:line="480" w:lineRule="auto"/>
        <w:ind w:left="0"/>
        <w:rPr>
          <w:rFonts w:ascii="Times New Roman" w:hAnsi="Times New Roman" w:cs="Times New Roman"/>
          <w:sz w:val="22"/>
        </w:rPr>
      </w:pPr>
      <w:r w:rsidRPr="002004D7">
        <w:rPr>
          <w:rFonts w:ascii="Times New Roman" w:hAnsi="Times New Roman" w:cs="Times New Roman"/>
          <w:b/>
          <w:sz w:val="22"/>
        </w:rPr>
        <w:t>Leveraged Buy-Out:</w:t>
      </w:r>
      <w:r>
        <w:rPr>
          <w:rFonts w:ascii="Times New Roman" w:hAnsi="Times New Roman" w:cs="Times New Roman"/>
          <w:b/>
          <w:sz w:val="22"/>
        </w:rPr>
        <w:t xml:space="preserve"> </w:t>
      </w:r>
      <w:r>
        <w:rPr>
          <w:rFonts w:ascii="Times New Roman" w:hAnsi="Times New Roman" w:cs="Times New Roman"/>
          <w:sz w:val="22"/>
        </w:rPr>
        <w:t xml:space="preserve">The purchase of equity or other assets using relatively more borrowed money as compared to forms of equity. The use of debt will serve as a level so as to increase returns. </w:t>
      </w:r>
    </w:p>
    <w:p w14:paraId="71881DA6" w14:textId="77777777" w:rsidR="00B20C36" w:rsidRPr="00A14BA6" w:rsidRDefault="00B20C36" w:rsidP="00536234">
      <w:pPr>
        <w:pStyle w:val="Heading2"/>
        <w:ind w:left="0"/>
        <w:rPr>
          <w:rFonts w:ascii="Times New Roman" w:hAnsi="Times New Roman" w:cs="Times New Roman"/>
          <w:b/>
          <w:color w:val="auto"/>
          <w:sz w:val="24"/>
        </w:rPr>
      </w:pPr>
      <w:bookmarkStart w:id="21" w:name="_Toc506717767"/>
      <w:r w:rsidRPr="00A14BA6">
        <w:rPr>
          <w:rFonts w:ascii="Times New Roman" w:hAnsi="Times New Roman" w:cs="Times New Roman"/>
          <w:b/>
          <w:color w:val="auto"/>
          <w:sz w:val="24"/>
        </w:rPr>
        <w:t>1.8</w:t>
      </w:r>
      <w:r w:rsidRPr="00A14BA6">
        <w:rPr>
          <w:rFonts w:ascii="Times New Roman" w:hAnsi="Times New Roman" w:cs="Times New Roman"/>
          <w:b/>
          <w:color w:val="auto"/>
          <w:sz w:val="24"/>
        </w:rPr>
        <w:tab/>
        <w:t>Structure of the Report</w:t>
      </w:r>
      <w:bookmarkEnd w:id="21"/>
    </w:p>
    <w:p w14:paraId="0DE65AD3" w14:textId="77777777" w:rsidR="00B20C36" w:rsidRPr="003A1203" w:rsidRDefault="00E514A0" w:rsidP="00536234">
      <w:pPr>
        <w:spacing w:line="480" w:lineRule="auto"/>
        <w:ind w:left="0"/>
        <w:rPr>
          <w:rFonts w:ascii="Times New Roman" w:hAnsi="Times New Roman" w:cs="Times New Roman"/>
          <w:sz w:val="22"/>
        </w:rPr>
      </w:pPr>
      <w:r w:rsidRPr="003A1203">
        <w:rPr>
          <w:rFonts w:ascii="Times New Roman" w:hAnsi="Times New Roman" w:cs="Times New Roman"/>
          <w:sz w:val="22"/>
        </w:rPr>
        <w:t>This research report is made up of five different chapters. The first chapter, Chapter 1, introduces the research topic and provides a background to BBBEE deals. It further provides an overview of the topic at hand, and highlights the significance of the study carried out.</w:t>
      </w:r>
    </w:p>
    <w:p w14:paraId="59370B52" w14:textId="511D25C1" w:rsidR="00B20C36" w:rsidRPr="003A1203" w:rsidRDefault="00B20C36" w:rsidP="00536234">
      <w:pPr>
        <w:spacing w:line="480" w:lineRule="auto"/>
        <w:ind w:left="0"/>
        <w:rPr>
          <w:rFonts w:ascii="Times New Roman" w:hAnsi="Times New Roman" w:cs="Times New Roman"/>
          <w:sz w:val="22"/>
          <w:szCs w:val="26"/>
        </w:rPr>
      </w:pPr>
      <w:r w:rsidRPr="003A1203">
        <w:rPr>
          <w:rFonts w:ascii="Times New Roman" w:hAnsi="Times New Roman" w:cs="Times New Roman"/>
          <w:sz w:val="22"/>
          <w:szCs w:val="26"/>
        </w:rPr>
        <w:t xml:space="preserve">Chapter 2 </w:t>
      </w:r>
      <w:r w:rsidR="00DD3FE3">
        <w:rPr>
          <w:rFonts w:ascii="Times New Roman" w:hAnsi="Times New Roman" w:cs="Times New Roman"/>
          <w:sz w:val="22"/>
          <w:szCs w:val="26"/>
        </w:rPr>
        <w:t xml:space="preserve">includes </w:t>
      </w:r>
      <w:r w:rsidR="004C7F2E" w:rsidRPr="003A1203">
        <w:rPr>
          <w:rFonts w:ascii="Times New Roman" w:hAnsi="Times New Roman" w:cs="Times New Roman"/>
          <w:sz w:val="22"/>
          <w:szCs w:val="26"/>
        </w:rPr>
        <w:t>a literature review and discuss</w:t>
      </w:r>
      <w:r w:rsidR="00DD3FE3">
        <w:rPr>
          <w:rFonts w:ascii="Times New Roman" w:hAnsi="Times New Roman" w:cs="Times New Roman"/>
          <w:sz w:val="22"/>
          <w:szCs w:val="26"/>
        </w:rPr>
        <w:t>es</w:t>
      </w:r>
      <w:r w:rsidR="004C7F2E" w:rsidRPr="003A1203">
        <w:rPr>
          <w:rFonts w:ascii="Times New Roman" w:hAnsi="Times New Roman" w:cs="Times New Roman"/>
          <w:sz w:val="22"/>
          <w:szCs w:val="26"/>
        </w:rPr>
        <w:t xml:space="preserve"> the main findings of </w:t>
      </w:r>
      <w:r w:rsidR="00DD3FE3">
        <w:rPr>
          <w:rFonts w:ascii="Times New Roman" w:hAnsi="Times New Roman" w:cs="Times New Roman"/>
          <w:sz w:val="22"/>
          <w:szCs w:val="26"/>
        </w:rPr>
        <w:t>prior</w:t>
      </w:r>
      <w:r w:rsidR="00DD3FE3" w:rsidRPr="003A1203">
        <w:rPr>
          <w:rFonts w:ascii="Times New Roman" w:hAnsi="Times New Roman" w:cs="Times New Roman"/>
          <w:sz w:val="22"/>
          <w:szCs w:val="26"/>
        </w:rPr>
        <w:t xml:space="preserve"> </w:t>
      </w:r>
      <w:r w:rsidR="004C7F2E" w:rsidRPr="003A1203">
        <w:rPr>
          <w:rFonts w:ascii="Times New Roman" w:hAnsi="Times New Roman" w:cs="Times New Roman"/>
          <w:sz w:val="22"/>
          <w:szCs w:val="26"/>
        </w:rPr>
        <w:t xml:space="preserve">researcher.  It will look closely </w:t>
      </w:r>
      <w:r w:rsidR="00E63A0E">
        <w:rPr>
          <w:rFonts w:ascii="Times New Roman" w:hAnsi="Times New Roman" w:cs="Times New Roman"/>
          <w:sz w:val="22"/>
          <w:szCs w:val="26"/>
        </w:rPr>
        <w:t>at both the forms of funding structures used to finance BBBEE deals as well as the claim that minorities have to payments of dividends.</w:t>
      </w:r>
    </w:p>
    <w:p w14:paraId="2FBA2B3F" w14:textId="77777777" w:rsidR="00E514A0" w:rsidRPr="003A1203" w:rsidRDefault="00E514A0" w:rsidP="00536234">
      <w:pPr>
        <w:spacing w:line="480" w:lineRule="auto"/>
        <w:ind w:left="0"/>
        <w:rPr>
          <w:rFonts w:ascii="Times New Roman" w:hAnsi="Times New Roman" w:cs="Times New Roman"/>
          <w:sz w:val="22"/>
          <w:szCs w:val="26"/>
        </w:rPr>
      </w:pPr>
      <w:r w:rsidRPr="003A1203">
        <w:rPr>
          <w:rFonts w:ascii="Times New Roman" w:hAnsi="Times New Roman" w:cs="Times New Roman"/>
          <w:sz w:val="22"/>
          <w:szCs w:val="26"/>
        </w:rPr>
        <w:t>Chapter 3 describes the research methodology to be used in carrying out the research study. In doing this is sets out the steps involved in the data collection process as well as the data analysis required for the successful ex</w:t>
      </w:r>
      <w:r w:rsidR="00E63A0E">
        <w:rPr>
          <w:rFonts w:ascii="Times New Roman" w:hAnsi="Times New Roman" w:cs="Times New Roman"/>
          <w:sz w:val="22"/>
          <w:szCs w:val="26"/>
        </w:rPr>
        <w:t>ecution of this research study.</w:t>
      </w:r>
    </w:p>
    <w:p w14:paraId="1419DD4A" w14:textId="77777777" w:rsidR="00B20C36" w:rsidRPr="003A1203" w:rsidRDefault="00E514A0" w:rsidP="00536234">
      <w:pPr>
        <w:spacing w:line="480" w:lineRule="auto"/>
        <w:ind w:left="0"/>
        <w:rPr>
          <w:rFonts w:ascii="Times New Roman" w:hAnsi="Times New Roman" w:cs="Times New Roman"/>
          <w:sz w:val="22"/>
          <w:szCs w:val="26"/>
        </w:rPr>
      </w:pPr>
      <w:r w:rsidRPr="003A1203">
        <w:rPr>
          <w:rFonts w:ascii="Times New Roman" w:hAnsi="Times New Roman" w:cs="Times New Roman"/>
          <w:sz w:val="22"/>
          <w:szCs w:val="26"/>
        </w:rPr>
        <w:t>Chapter 4 will analyse and discuss the research results from the statistical analysis performed.</w:t>
      </w:r>
      <w:r w:rsidR="00B20C36" w:rsidRPr="003A1203">
        <w:rPr>
          <w:rFonts w:ascii="Times New Roman" w:hAnsi="Times New Roman" w:cs="Times New Roman"/>
          <w:sz w:val="22"/>
          <w:szCs w:val="26"/>
        </w:rPr>
        <w:t xml:space="preserve">  </w:t>
      </w:r>
    </w:p>
    <w:p w14:paraId="3F4B2BB6" w14:textId="77777777" w:rsidR="00B20C36" w:rsidRPr="003A1203" w:rsidRDefault="00B20C36" w:rsidP="00536234">
      <w:pPr>
        <w:spacing w:line="480" w:lineRule="auto"/>
        <w:ind w:left="0"/>
        <w:rPr>
          <w:rFonts w:ascii="Times New Roman" w:hAnsi="Times New Roman" w:cs="Times New Roman"/>
          <w:sz w:val="22"/>
          <w:szCs w:val="26"/>
        </w:rPr>
      </w:pPr>
      <w:r w:rsidRPr="003A1203">
        <w:rPr>
          <w:rFonts w:ascii="Times New Roman" w:hAnsi="Times New Roman" w:cs="Times New Roman"/>
          <w:sz w:val="22"/>
          <w:szCs w:val="26"/>
        </w:rPr>
        <w:lastRenderedPageBreak/>
        <w:t>Chapter 5</w:t>
      </w:r>
      <w:r w:rsidR="00E514A0" w:rsidRPr="003A1203">
        <w:rPr>
          <w:rFonts w:ascii="Times New Roman" w:hAnsi="Times New Roman" w:cs="Times New Roman"/>
          <w:sz w:val="22"/>
          <w:szCs w:val="26"/>
        </w:rPr>
        <w:t xml:space="preserve"> will conclude</w:t>
      </w:r>
      <w:r w:rsidRPr="003A1203">
        <w:rPr>
          <w:rFonts w:ascii="Times New Roman" w:hAnsi="Times New Roman" w:cs="Times New Roman"/>
          <w:sz w:val="22"/>
          <w:szCs w:val="26"/>
        </w:rPr>
        <w:t xml:space="preserve"> </w:t>
      </w:r>
      <w:r w:rsidR="00E514A0" w:rsidRPr="003A1203">
        <w:rPr>
          <w:rFonts w:ascii="Times New Roman" w:hAnsi="Times New Roman" w:cs="Times New Roman"/>
          <w:sz w:val="22"/>
          <w:szCs w:val="26"/>
        </w:rPr>
        <w:t>on the findings in the form of a summary</w:t>
      </w:r>
      <w:r w:rsidRPr="003A1203">
        <w:rPr>
          <w:rFonts w:ascii="Times New Roman" w:hAnsi="Times New Roman" w:cs="Times New Roman"/>
          <w:sz w:val="22"/>
          <w:szCs w:val="26"/>
        </w:rPr>
        <w:t>.</w:t>
      </w:r>
      <w:r w:rsidR="004C7F2E" w:rsidRPr="003A1203">
        <w:rPr>
          <w:rFonts w:ascii="Times New Roman" w:hAnsi="Times New Roman" w:cs="Times New Roman"/>
          <w:sz w:val="22"/>
          <w:szCs w:val="26"/>
        </w:rPr>
        <w:t xml:space="preserve"> It will also</w:t>
      </w:r>
      <w:r w:rsidR="00E63A0E">
        <w:rPr>
          <w:rFonts w:ascii="Times New Roman" w:hAnsi="Times New Roman" w:cs="Times New Roman"/>
          <w:sz w:val="22"/>
          <w:szCs w:val="26"/>
        </w:rPr>
        <w:t xml:space="preserve"> provide insight into the form of implications arising from the findings of the study, together with recommending potential areas for</w:t>
      </w:r>
      <w:r w:rsidR="004C7F2E" w:rsidRPr="003A1203">
        <w:rPr>
          <w:rFonts w:ascii="Times New Roman" w:hAnsi="Times New Roman" w:cs="Times New Roman"/>
          <w:sz w:val="22"/>
          <w:szCs w:val="26"/>
        </w:rPr>
        <w:t xml:space="preserve"> further research. </w:t>
      </w:r>
      <w:r w:rsidRPr="003A1203">
        <w:rPr>
          <w:rFonts w:ascii="Times New Roman" w:hAnsi="Times New Roman" w:cs="Times New Roman"/>
          <w:sz w:val="22"/>
          <w:szCs w:val="26"/>
        </w:rPr>
        <w:t xml:space="preserve">  </w:t>
      </w:r>
      <w:r w:rsidR="00675F64">
        <w:rPr>
          <w:rFonts w:ascii="Times New Roman" w:hAnsi="Times New Roman" w:cs="Times New Roman"/>
          <w:sz w:val="22"/>
          <w:szCs w:val="26"/>
        </w:rPr>
        <w:t xml:space="preserve"> </w:t>
      </w:r>
    </w:p>
    <w:p w14:paraId="41D8B810" w14:textId="77777777" w:rsidR="00445D84" w:rsidRPr="003A1203" w:rsidRDefault="00445D84" w:rsidP="00536234">
      <w:pPr>
        <w:spacing w:line="480" w:lineRule="auto"/>
        <w:ind w:left="0"/>
        <w:jc w:val="left"/>
        <w:rPr>
          <w:rFonts w:ascii="Times New Roman" w:hAnsi="Times New Roman" w:cs="Times New Roman"/>
          <w:sz w:val="22"/>
          <w:szCs w:val="26"/>
        </w:rPr>
      </w:pPr>
    </w:p>
    <w:p w14:paraId="321A1A93" w14:textId="77777777" w:rsidR="00445D84" w:rsidRPr="003A1203" w:rsidRDefault="00445D84" w:rsidP="00536234">
      <w:pPr>
        <w:spacing w:line="480" w:lineRule="auto"/>
        <w:ind w:left="0"/>
        <w:jc w:val="center"/>
        <w:rPr>
          <w:rFonts w:ascii="Times New Roman" w:hAnsi="Times New Roman" w:cs="Times New Roman"/>
          <w:b/>
          <w:szCs w:val="26"/>
          <w:u w:val="single"/>
        </w:rPr>
      </w:pPr>
    </w:p>
    <w:p w14:paraId="2E7A4E4C" w14:textId="77777777" w:rsidR="00507D0D" w:rsidRDefault="00507D0D" w:rsidP="00536234">
      <w:pPr>
        <w:pStyle w:val="Heading1"/>
        <w:ind w:left="0"/>
        <w:jc w:val="center"/>
        <w:rPr>
          <w:rFonts w:ascii="Times New Roman" w:hAnsi="Times New Roman" w:cs="Times New Roman"/>
          <w:b/>
          <w:color w:val="auto"/>
          <w:sz w:val="28"/>
          <w:u w:val="single"/>
        </w:rPr>
      </w:pPr>
    </w:p>
    <w:p w14:paraId="251A8BBC" w14:textId="77777777" w:rsidR="00507D0D" w:rsidRDefault="00507D0D" w:rsidP="00536234">
      <w:pPr>
        <w:ind w:left="0"/>
      </w:pPr>
    </w:p>
    <w:p w14:paraId="066F61C6" w14:textId="77777777" w:rsidR="00507D0D" w:rsidRDefault="00507D0D" w:rsidP="00536234">
      <w:pPr>
        <w:ind w:left="0"/>
      </w:pPr>
    </w:p>
    <w:p w14:paraId="7A069E6D" w14:textId="77777777" w:rsidR="001C38FA" w:rsidRDefault="001C38FA" w:rsidP="00536234">
      <w:pPr>
        <w:ind w:left="0"/>
      </w:pPr>
    </w:p>
    <w:p w14:paraId="6AF8AFF6" w14:textId="77777777" w:rsidR="001C38FA" w:rsidRDefault="001C38FA" w:rsidP="00536234">
      <w:pPr>
        <w:ind w:left="0"/>
      </w:pPr>
    </w:p>
    <w:p w14:paraId="61834DA7" w14:textId="77777777" w:rsidR="001C38FA" w:rsidRDefault="001C38FA" w:rsidP="00536234">
      <w:pPr>
        <w:ind w:left="0"/>
      </w:pPr>
    </w:p>
    <w:p w14:paraId="0546DF0E" w14:textId="77777777" w:rsidR="001C38FA" w:rsidRDefault="001C38FA" w:rsidP="00536234">
      <w:pPr>
        <w:ind w:left="0"/>
      </w:pPr>
    </w:p>
    <w:p w14:paraId="0AE7D855" w14:textId="77777777" w:rsidR="001C38FA" w:rsidRDefault="001C38FA" w:rsidP="00536234">
      <w:pPr>
        <w:ind w:left="0"/>
      </w:pPr>
    </w:p>
    <w:p w14:paraId="7B62E9DA" w14:textId="77777777" w:rsidR="00DD3FE3" w:rsidRDefault="00DD3FE3">
      <w:pPr>
        <w:spacing w:after="160" w:line="259" w:lineRule="auto"/>
        <w:ind w:left="0" w:firstLine="0"/>
        <w:jc w:val="left"/>
      </w:pPr>
      <w:r>
        <w:br w:type="page"/>
      </w:r>
    </w:p>
    <w:p w14:paraId="329EB088" w14:textId="77777777" w:rsidR="006B7584" w:rsidRPr="00A14BA6" w:rsidRDefault="00AC77C3" w:rsidP="00536234">
      <w:pPr>
        <w:pStyle w:val="Heading1"/>
        <w:ind w:left="0"/>
        <w:jc w:val="center"/>
        <w:rPr>
          <w:rFonts w:ascii="Times New Roman" w:hAnsi="Times New Roman" w:cs="Times New Roman"/>
          <w:b/>
          <w:color w:val="auto"/>
          <w:sz w:val="28"/>
          <w:u w:val="single"/>
        </w:rPr>
      </w:pPr>
      <w:bookmarkStart w:id="22" w:name="_Toc506717768"/>
      <w:r w:rsidRPr="00A14BA6">
        <w:rPr>
          <w:rFonts w:ascii="Times New Roman" w:hAnsi="Times New Roman" w:cs="Times New Roman"/>
          <w:b/>
          <w:color w:val="auto"/>
          <w:sz w:val="28"/>
          <w:u w:val="single"/>
        </w:rPr>
        <w:lastRenderedPageBreak/>
        <w:t>CHAPTER 2 – LITERATURE REVIEW</w:t>
      </w:r>
      <w:bookmarkEnd w:id="22"/>
    </w:p>
    <w:p w14:paraId="0CE7142C" w14:textId="77777777" w:rsidR="00721AB8" w:rsidRPr="00A14BA6" w:rsidRDefault="00150437" w:rsidP="00536234">
      <w:pPr>
        <w:pStyle w:val="Heading2"/>
        <w:ind w:left="0"/>
        <w:rPr>
          <w:rFonts w:ascii="Times New Roman" w:hAnsi="Times New Roman" w:cs="Times New Roman"/>
          <w:b/>
          <w:color w:val="auto"/>
          <w:sz w:val="24"/>
        </w:rPr>
      </w:pPr>
      <w:bookmarkStart w:id="23" w:name="_Toc506717769"/>
      <w:r w:rsidRPr="00A14BA6">
        <w:rPr>
          <w:rFonts w:ascii="Times New Roman" w:hAnsi="Times New Roman" w:cs="Times New Roman"/>
          <w:b/>
          <w:color w:val="auto"/>
          <w:sz w:val="24"/>
        </w:rPr>
        <w:t>2</w:t>
      </w:r>
      <w:r w:rsidR="006B7584" w:rsidRPr="00A14BA6">
        <w:rPr>
          <w:rFonts w:ascii="Times New Roman" w:hAnsi="Times New Roman" w:cs="Times New Roman"/>
          <w:b/>
          <w:color w:val="auto"/>
          <w:sz w:val="24"/>
        </w:rPr>
        <w:t>.1</w:t>
      </w:r>
      <w:r w:rsidR="006B7584" w:rsidRPr="00A14BA6">
        <w:rPr>
          <w:rFonts w:ascii="Times New Roman" w:hAnsi="Times New Roman" w:cs="Times New Roman"/>
          <w:b/>
          <w:color w:val="auto"/>
          <w:sz w:val="24"/>
        </w:rPr>
        <w:tab/>
      </w:r>
      <w:r w:rsidR="00721AB8" w:rsidRPr="00A14BA6">
        <w:rPr>
          <w:rFonts w:ascii="Times New Roman" w:hAnsi="Times New Roman" w:cs="Times New Roman"/>
          <w:b/>
          <w:color w:val="auto"/>
          <w:sz w:val="24"/>
        </w:rPr>
        <w:t>Broad-Based Black Economic Empowerment and Dividend Policy</w:t>
      </w:r>
      <w:bookmarkEnd w:id="23"/>
    </w:p>
    <w:p w14:paraId="17FD8965" w14:textId="77777777" w:rsidR="006218F1" w:rsidRDefault="00721AB8"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literature review will </w:t>
      </w:r>
      <w:r w:rsidR="00066566">
        <w:rPr>
          <w:rFonts w:ascii="Times New Roman" w:hAnsi="Times New Roman" w:cs="Times New Roman"/>
          <w:sz w:val="22"/>
        </w:rPr>
        <w:t>consist</w:t>
      </w:r>
      <w:r>
        <w:rPr>
          <w:rFonts w:ascii="Times New Roman" w:hAnsi="Times New Roman" w:cs="Times New Roman"/>
          <w:sz w:val="22"/>
        </w:rPr>
        <w:t xml:space="preserve"> of two separate sections.</w:t>
      </w:r>
      <w:r w:rsidR="00DC6A6A" w:rsidRPr="00DC6A6A">
        <w:t xml:space="preserve"> </w:t>
      </w:r>
      <w:r w:rsidR="00DC6A6A" w:rsidRPr="00DC6A6A">
        <w:rPr>
          <w:rFonts w:ascii="Times New Roman" w:hAnsi="Times New Roman" w:cs="Times New Roman"/>
          <w:sz w:val="22"/>
        </w:rPr>
        <w:t xml:space="preserve">The </w:t>
      </w:r>
      <w:r w:rsidR="00DC6A6A">
        <w:rPr>
          <w:rFonts w:ascii="Times New Roman" w:hAnsi="Times New Roman" w:cs="Times New Roman"/>
          <w:sz w:val="22"/>
        </w:rPr>
        <w:t>first section will</w:t>
      </w:r>
      <w:r w:rsidR="00DC6A6A" w:rsidRPr="00DC6A6A">
        <w:rPr>
          <w:rFonts w:ascii="Times New Roman" w:hAnsi="Times New Roman" w:cs="Times New Roman"/>
          <w:sz w:val="22"/>
        </w:rPr>
        <w:t xml:space="preserve"> consider the role of</w:t>
      </w:r>
      <w:r w:rsidR="00E966CB">
        <w:rPr>
          <w:rFonts w:ascii="Times New Roman" w:hAnsi="Times New Roman" w:cs="Times New Roman"/>
          <w:sz w:val="22"/>
        </w:rPr>
        <w:t xml:space="preserve"> Broad-Based Black Economic Empowerment</w:t>
      </w:r>
      <w:r w:rsidR="00DC6A6A" w:rsidRPr="00DC6A6A">
        <w:rPr>
          <w:rFonts w:ascii="Times New Roman" w:hAnsi="Times New Roman" w:cs="Times New Roman"/>
          <w:sz w:val="22"/>
        </w:rPr>
        <w:t xml:space="preserve"> </w:t>
      </w:r>
      <w:r w:rsidR="00E966CB">
        <w:rPr>
          <w:rFonts w:ascii="Times New Roman" w:hAnsi="Times New Roman" w:cs="Times New Roman"/>
          <w:sz w:val="22"/>
        </w:rPr>
        <w:t>(</w:t>
      </w:r>
      <w:r>
        <w:rPr>
          <w:rFonts w:ascii="Times New Roman" w:hAnsi="Times New Roman" w:cs="Times New Roman"/>
          <w:sz w:val="22"/>
        </w:rPr>
        <w:t>BBBEE</w:t>
      </w:r>
      <w:r w:rsidR="00E966CB">
        <w:rPr>
          <w:rFonts w:ascii="Times New Roman" w:hAnsi="Times New Roman" w:cs="Times New Roman"/>
          <w:sz w:val="22"/>
        </w:rPr>
        <w:t xml:space="preserve">) </w:t>
      </w:r>
      <w:r>
        <w:rPr>
          <w:rFonts w:ascii="Times New Roman" w:hAnsi="Times New Roman" w:cs="Times New Roman"/>
          <w:sz w:val="22"/>
        </w:rPr>
        <w:t>funding</w:t>
      </w:r>
      <w:r w:rsidR="00C97CFD">
        <w:rPr>
          <w:rFonts w:ascii="Times New Roman" w:hAnsi="Times New Roman" w:cs="Times New Roman"/>
          <w:sz w:val="22"/>
        </w:rPr>
        <w:t xml:space="preserve"> institutions and funding</w:t>
      </w:r>
      <w:r>
        <w:rPr>
          <w:rFonts w:ascii="Times New Roman" w:hAnsi="Times New Roman" w:cs="Times New Roman"/>
          <w:sz w:val="22"/>
        </w:rPr>
        <w:t xml:space="preserve"> structures</w:t>
      </w:r>
      <w:r w:rsidR="003E1512">
        <w:rPr>
          <w:rFonts w:ascii="Times New Roman" w:hAnsi="Times New Roman" w:cs="Times New Roman"/>
          <w:sz w:val="22"/>
        </w:rPr>
        <w:t xml:space="preserve"> used</w:t>
      </w:r>
      <w:r>
        <w:rPr>
          <w:rFonts w:ascii="Times New Roman" w:hAnsi="Times New Roman" w:cs="Times New Roman"/>
          <w:sz w:val="22"/>
        </w:rPr>
        <w:t xml:space="preserve">. A review of the different funding structures used to facilitate </w:t>
      </w:r>
      <w:r w:rsidR="003E1512">
        <w:rPr>
          <w:rFonts w:ascii="Times New Roman" w:hAnsi="Times New Roman" w:cs="Times New Roman"/>
          <w:sz w:val="22"/>
        </w:rPr>
        <w:t>BBBEE</w:t>
      </w:r>
      <w:r>
        <w:rPr>
          <w:rFonts w:ascii="Times New Roman" w:hAnsi="Times New Roman" w:cs="Times New Roman"/>
          <w:sz w:val="22"/>
        </w:rPr>
        <w:t xml:space="preserve"> deals is important as it will allow for the verification of the general fu</w:t>
      </w:r>
      <w:r w:rsidR="00DC6A6A">
        <w:rPr>
          <w:rFonts w:ascii="Times New Roman" w:hAnsi="Times New Roman" w:cs="Times New Roman"/>
          <w:sz w:val="22"/>
        </w:rPr>
        <w:t>nding structure proposed in the introduction</w:t>
      </w:r>
      <w:r w:rsidR="004B01DF">
        <w:rPr>
          <w:rFonts w:ascii="Times New Roman" w:hAnsi="Times New Roman" w:cs="Times New Roman"/>
          <w:sz w:val="22"/>
        </w:rPr>
        <w:t xml:space="preserve"> (see Chapter 1 -</w:t>
      </w:r>
      <w:r w:rsidR="004B01DF" w:rsidRPr="004B01DF">
        <w:t xml:space="preserve"> </w:t>
      </w:r>
      <w:r w:rsidR="004B01DF" w:rsidRPr="004B01DF">
        <w:rPr>
          <w:rFonts w:ascii="Times New Roman" w:hAnsi="Times New Roman" w:cs="Times New Roman"/>
          <w:sz w:val="22"/>
        </w:rPr>
        <w:t>Structure of Broad-Based Black Economic Empowerment Deals</w:t>
      </w:r>
      <w:r w:rsidR="004B01DF">
        <w:rPr>
          <w:rFonts w:ascii="Times New Roman" w:hAnsi="Times New Roman" w:cs="Times New Roman"/>
          <w:sz w:val="22"/>
        </w:rPr>
        <w:t>)</w:t>
      </w:r>
      <w:r>
        <w:rPr>
          <w:rFonts w:ascii="Times New Roman" w:hAnsi="Times New Roman" w:cs="Times New Roman"/>
          <w:sz w:val="22"/>
        </w:rPr>
        <w:t xml:space="preserve">. It will also </w:t>
      </w:r>
      <w:r w:rsidR="00066566">
        <w:rPr>
          <w:rFonts w:ascii="Times New Roman" w:hAnsi="Times New Roman" w:cs="Times New Roman"/>
          <w:sz w:val="22"/>
        </w:rPr>
        <w:t>allow for the creation of the</w:t>
      </w:r>
      <w:r>
        <w:rPr>
          <w:rFonts w:ascii="Times New Roman" w:hAnsi="Times New Roman" w:cs="Times New Roman"/>
          <w:sz w:val="22"/>
        </w:rPr>
        <w:t xml:space="preserve"> link between the funding </w:t>
      </w:r>
      <w:r w:rsidR="00066566">
        <w:rPr>
          <w:rFonts w:ascii="Times New Roman" w:hAnsi="Times New Roman" w:cs="Times New Roman"/>
          <w:sz w:val="22"/>
        </w:rPr>
        <w:t xml:space="preserve">structures used by companies and the </w:t>
      </w:r>
      <w:r>
        <w:rPr>
          <w:rFonts w:ascii="Times New Roman" w:hAnsi="Times New Roman" w:cs="Times New Roman"/>
          <w:sz w:val="22"/>
        </w:rPr>
        <w:t>n</w:t>
      </w:r>
      <w:r w:rsidR="00066566">
        <w:rPr>
          <w:rFonts w:ascii="Times New Roman" w:hAnsi="Times New Roman" w:cs="Times New Roman"/>
          <w:sz w:val="22"/>
        </w:rPr>
        <w:t xml:space="preserve">eed for </w:t>
      </w:r>
      <w:r>
        <w:rPr>
          <w:rFonts w:ascii="Times New Roman" w:hAnsi="Times New Roman" w:cs="Times New Roman"/>
          <w:sz w:val="22"/>
        </w:rPr>
        <w:t>regular payments of dividends</w:t>
      </w:r>
      <w:r w:rsidR="00066566">
        <w:rPr>
          <w:rFonts w:ascii="Times New Roman" w:hAnsi="Times New Roman" w:cs="Times New Roman"/>
          <w:sz w:val="22"/>
        </w:rPr>
        <w:t xml:space="preserve"> by BBBEE beneficiaries</w:t>
      </w:r>
      <w:r>
        <w:rPr>
          <w:rFonts w:ascii="Times New Roman" w:hAnsi="Times New Roman" w:cs="Times New Roman"/>
          <w:sz w:val="22"/>
        </w:rPr>
        <w:t xml:space="preserve">. </w:t>
      </w:r>
    </w:p>
    <w:p w14:paraId="748C9E03" w14:textId="77777777" w:rsidR="00721AB8" w:rsidRDefault="00721AB8" w:rsidP="00536234">
      <w:pPr>
        <w:spacing w:line="480" w:lineRule="auto"/>
        <w:ind w:left="0" w:firstLine="0"/>
        <w:rPr>
          <w:rFonts w:ascii="Times New Roman" w:hAnsi="Times New Roman" w:cs="Times New Roman"/>
          <w:sz w:val="22"/>
        </w:rPr>
      </w:pPr>
      <w:r>
        <w:rPr>
          <w:rFonts w:ascii="Times New Roman" w:hAnsi="Times New Roman" w:cs="Times New Roman"/>
          <w:sz w:val="22"/>
        </w:rPr>
        <w:t>The next section will then look at existing dividend policy determinants in the case of minorities.</w:t>
      </w:r>
      <w:r w:rsidR="006218F1">
        <w:rPr>
          <w:rFonts w:ascii="Times New Roman" w:hAnsi="Times New Roman" w:cs="Times New Roman"/>
          <w:sz w:val="22"/>
        </w:rPr>
        <w:t xml:space="preserve">  </w:t>
      </w:r>
      <w:r w:rsidR="004B01DF">
        <w:rPr>
          <w:rFonts w:ascii="Times New Roman" w:hAnsi="Times New Roman" w:cs="Times New Roman"/>
          <w:sz w:val="22"/>
        </w:rPr>
        <w:t>It</w:t>
      </w:r>
      <w:r w:rsidR="006218F1">
        <w:rPr>
          <w:rFonts w:ascii="Times New Roman" w:hAnsi="Times New Roman" w:cs="Times New Roman"/>
          <w:sz w:val="22"/>
        </w:rPr>
        <w:t xml:space="preserve"> is </w:t>
      </w:r>
      <w:r>
        <w:rPr>
          <w:rFonts w:ascii="Times New Roman" w:hAnsi="Times New Roman" w:cs="Times New Roman"/>
          <w:sz w:val="22"/>
        </w:rPr>
        <w:t>importan</w:t>
      </w:r>
      <w:r w:rsidR="00066566">
        <w:rPr>
          <w:rFonts w:ascii="Times New Roman" w:hAnsi="Times New Roman" w:cs="Times New Roman"/>
          <w:sz w:val="22"/>
        </w:rPr>
        <w:t>t to assess the current claim to</w:t>
      </w:r>
      <w:r>
        <w:rPr>
          <w:rFonts w:ascii="Times New Roman" w:hAnsi="Times New Roman" w:cs="Times New Roman"/>
          <w:sz w:val="22"/>
        </w:rPr>
        <w:t xml:space="preserve"> dividends currently possessed by minority shareholders, together with the propensity </w:t>
      </w:r>
      <w:r w:rsidR="00066566">
        <w:rPr>
          <w:rFonts w:ascii="Times New Roman" w:hAnsi="Times New Roman" w:cs="Times New Roman"/>
          <w:sz w:val="22"/>
        </w:rPr>
        <w:t xml:space="preserve">and desire of </w:t>
      </w:r>
      <w:r w:rsidR="006218F1">
        <w:rPr>
          <w:rFonts w:ascii="Times New Roman" w:hAnsi="Times New Roman" w:cs="Times New Roman"/>
          <w:sz w:val="22"/>
        </w:rPr>
        <w:t xml:space="preserve">companies </w:t>
      </w:r>
      <w:r w:rsidR="00066566">
        <w:rPr>
          <w:rFonts w:ascii="Times New Roman" w:hAnsi="Times New Roman" w:cs="Times New Roman"/>
          <w:sz w:val="22"/>
        </w:rPr>
        <w:t>to satisfy this need for dividend payment</w:t>
      </w:r>
      <w:r w:rsidR="004B01DF">
        <w:rPr>
          <w:rFonts w:ascii="Times New Roman" w:hAnsi="Times New Roman" w:cs="Times New Roman"/>
          <w:sz w:val="22"/>
        </w:rPr>
        <w:t>s</w:t>
      </w:r>
      <w:r>
        <w:rPr>
          <w:rFonts w:ascii="Times New Roman" w:hAnsi="Times New Roman" w:cs="Times New Roman"/>
          <w:sz w:val="22"/>
        </w:rPr>
        <w:t>.  A review of dividends from the perspective of the minority is</w:t>
      </w:r>
      <w:r w:rsidR="00DC6A6A">
        <w:rPr>
          <w:rFonts w:ascii="Times New Roman" w:hAnsi="Times New Roman" w:cs="Times New Roman"/>
          <w:sz w:val="22"/>
        </w:rPr>
        <w:t xml:space="preserve"> especially</w:t>
      </w:r>
      <w:r>
        <w:rPr>
          <w:rFonts w:ascii="Times New Roman" w:hAnsi="Times New Roman" w:cs="Times New Roman"/>
          <w:sz w:val="22"/>
        </w:rPr>
        <w:t xml:space="preserve"> important as this will likely be the position taken up by </w:t>
      </w:r>
      <w:r w:rsidR="006218F1">
        <w:rPr>
          <w:rFonts w:ascii="Times New Roman" w:hAnsi="Times New Roman" w:cs="Times New Roman"/>
          <w:sz w:val="22"/>
        </w:rPr>
        <w:t>beneficiaries</w:t>
      </w:r>
      <w:r>
        <w:rPr>
          <w:rFonts w:ascii="Times New Roman" w:hAnsi="Times New Roman" w:cs="Times New Roman"/>
          <w:sz w:val="22"/>
        </w:rPr>
        <w:t xml:space="preserve"> upon engagement in the transaction</w:t>
      </w:r>
      <w:r w:rsidR="0093270B">
        <w:rPr>
          <w:rFonts w:ascii="Times New Roman" w:hAnsi="Times New Roman" w:cs="Times New Roman"/>
          <w:sz w:val="22"/>
        </w:rPr>
        <w:t xml:space="preserve"> (Intellidex, 2015)</w:t>
      </w:r>
      <w:r>
        <w:rPr>
          <w:rFonts w:ascii="Times New Roman" w:hAnsi="Times New Roman" w:cs="Times New Roman"/>
          <w:sz w:val="22"/>
        </w:rPr>
        <w:t>.</w:t>
      </w:r>
      <w:r w:rsidR="00066566">
        <w:rPr>
          <w:rFonts w:ascii="Times New Roman" w:hAnsi="Times New Roman" w:cs="Times New Roman"/>
          <w:sz w:val="22"/>
        </w:rPr>
        <w:t xml:space="preserve"> A minority shareholder can be described as one which does not own the majority shareholding of a particular company.</w:t>
      </w:r>
      <w:r>
        <w:rPr>
          <w:rFonts w:ascii="Times New Roman" w:hAnsi="Times New Roman" w:cs="Times New Roman"/>
          <w:sz w:val="22"/>
        </w:rPr>
        <w:t xml:space="preserve"> In doing this</w:t>
      </w:r>
      <w:r w:rsidR="004B01DF">
        <w:rPr>
          <w:rFonts w:ascii="Times New Roman" w:hAnsi="Times New Roman" w:cs="Times New Roman"/>
          <w:sz w:val="22"/>
        </w:rPr>
        <w:t>,</w:t>
      </w:r>
      <w:r>
        <w:rPr>
          <w:rFonts w:ascii="Times New Roman" w:hAnsi="Times New Roman" w:cs="Times New Roman"/>
          <w:sz w:val="22"/>
        </w:rPr>
        <w:t xml:space="preserve"> </w:t>
      </w:r>
      <w:r w:rsidR="004B01DF">
        <w:rPr>
          <w:rFonts w:ascii="Times New Roman" w:hAnsi="Times New Roman" w:cs="Times New Roman"/>
          <w:sz w:val="22"/>
        </w:rPr>
        <w:t>it will be possible</w:t>
      </w:r>
      <w:r>
        <w:rPr>
          <w:rFonts w:ascii="Times New Roman" w:hAnsi="Times New Roman" w:cs="Times New Roman"/>
          <w:sz w:val="22"/>
        </w:rPr>
        <w:t xml:space="preserve"> to understand </w:t>
      </w:r>
      <w:r w:rsidR="006218F1">
        <w:rPr>
          <w:rFonts w:ascii="Times New Roman" w:hAnsi="Times New Roman" w:cs="Times New Roman"/>
          <w:sz w:val="22"/>
        </w:rPr>
        <w:t>potential changes,</w:t>
      </w:r>
      <w:r>
        <w:rPr>
          <w:rFonts w:ascii="Times New Roman" w:hAnsi="Times New Roman" w:cs="Times New Roman"/>
          <w:sz w:val="22"/>
        </w:rPr>
        <w:t xml:space="preserve"> if any, </w:t>
      </w:r>
      <w:r w:rsidR="00DC6A6A">
        <w:rPr>
          <w:rFonts w:ascii="Times New Roman" w:hAnsi="Times New Roman" w:cs="Times New Roman"/>
          <w:sz w:val="22"/>
        </w:rPr>
        <w:t xml:space="preserve">that </w:t>
      </w:r>
      <w:r w:rsidR="006218F1">
        <w:rPr>
          <w:rFonts w:ascii="Times New Roman" w:hAnsi="Times New Roman" w:cs="Times New Roman"/>
          <w:sz w:val="22"/>
        </w:rPr>
        <w:t>will</w:t>
      </w:r>
      <w:r w:rsidR="00DC6A6A">
        <w:rPr>
          <w:rFonts w:ascii="Times New Roman" w:hAnsi="Times New Roman" w:cs="Times New Roman"/>
          <w:sz w:val="22"/>
        </w:rPr>
        <w:t xml:space="preserve"> </w:t>
      </w:r>
      <w:r w:rsidR="003E1512">
        <w:rPr>
          <w:rFonts w:ascii="Times New Roman" w:hAnsi="Times New Roman" w:cs="Times New Roman"/>
          <w:sz w:val="22"/>
        </w:rPr>
        <w:t>affect a</w:t>
      </w:r>
      <w:r>
        <w:rPr>
          <w:rFonts w:ascii="Times New Roman" w:hAnsi="Times New Roman" w:cs="Times New Roman"/>
          <w:sz w:val="22"/>
        </w:rPr>
        <w:t xml:space="preserve"> company’s dividend policy in light of the existence of BBBEE deals. </w:t>
      </w:r>
    </w:p>
    <w:p w14:paraId="5196CD61" w14:textId="77777777" w:rsidR="00FA26C0" w:rsidRPr="00A14BA6" w:rsidRDefault="0093270B" w:rsidP="00536234">
      <w:pPr>
        <w:pStyle w:val="Heading2"/>
        <w:ind w:left="0"/>
        <w:rPr>
          <w:rFonts w:ascii="Times New Roman" w:hAnsi="Times New Roman" w:cs="Times New Roman"/>
          <w:b/>
          <w:color w:val="auto"/>
          <w:sz w:val="24"/>
        </w:rPr>
      </w:pPr>
      <w:bookmarkStart w:id="24" w:name="_Toc506717770"/>
      <w:r w:rsidRPr="00A14BA6">
        <w:rPr>
          <w:rFonts w:ascii="Times New Roman" w:hAnsi="Times New Roman" w:cs="Times New Roman"/>
          <w:b/>
          <w:color w:val="auto"/>
          <w:sz w:val="24"/>
        </w:rPr>
        <w:t>2.2</w:t>
      </w:r>
      <w:r w:rsidR="00FA26C0" w:rsidRPr="00A14BA6">
        <w:rPr>
          <w:rFonts w:ascii="Times New Roman" w:hAnsi="Times New Roman" w:cs="Times New Roman"/>
          <w:b/>
          <w:color w:val="auto"/>
          <w:sz w:val="24"/>
        </w:rPr>
        <w:tab/>
        <w:t>Funding Institutions</w:t>
      </w:r>
      <w:bookmarkEnd w:id="24"/>
    </w:p>
    <w:p w14:paraId="2151D87C" w14:textId="77777777" w:rsidR="00FA26C0" w:rsidRDefault="00FA26C0" w:rsidP="00536234">
      <w:pPr>
        <w:spacing w:line="480" w:lineRule="auto"/>
        <w:ind w:left="0" w:firstLine="0"/>
        <w:rPr>
          <w:rFonts w:ascii="Times New Roman" w:hAnsi="Times New Roman" w:cs="Times New Roman"/>
          <w:sz w:val="22"/>
        </w:rPr>
      </w:pPr>
      <w:r>
        <w:rPr>
          <w:rFonts w:ascii="Times New Roman" w:hAnsi="Times New Roman" w:cs="Times New Roman"/>
          <w:sz w:val="22"/>
        </w:rPr>
        <w:t>The need for BBBEE funding institutions came as a result of the lack of capital and collateral possessed by</w:t>
      </w:r>
      <w:r w:rsidR="003E1512">
        <w:rPr>
          <w:rFonts w:ascii="Times New Roman" w:hAnsi="Times New Roman" w:cs="Times New Roman"/>
          <w:sz w:val="22"/>
        </w:rPr>
        <w:t xml:space="preserve"> Black</w:t>
      </w:r>
      <w:r>
        <w:rPr>
          <w:rFonts w:ascii="Times New Roman" w:hAnsi="Times New Roman" w:cs="Times New Roman"/>
          <w:sz w:val="22"/>
        </w:rPr>
        <w:t xml:space="preserve"> beneficiaries. </w:t>
      </w:r>
      <w:r w:rsidR="004B01DF">
        <w:rPr>
          <w:rFonts w:ascii="Times New Roman" w:hAnsi="Times New Roman" w:cs="Times New Roman"/>
          <w:sz w:val="22"/>
        </w:rPr>
        <w:t>Government, one of the most prominent funding institutions,</w:t>
      </w:r>
      <w:r>
        <w:rPr>
          <w:rFonts w:ascii="Times New Roman" w:hAnsi="Times New Roman" w:cs="Times New Roman"/>
          <w:sz w:val="22"/>
        </w:rPr>
        <w:t xml:space="preserve"> </w:t>
      </w:r>
      <w:r w:rsidR="004B01DF">
        <w:rPr>
          <w:rFonts w:ascii="Times New Roman" w:hAnsi="Times New Roman" w:cs="Times New Roman"/>
          <w:sz w:val="22"/>
        </w:rPr>
        <w:t xml:space="preserve">took it </w:t>
      </w:r>
      <w:r>
        <w:rPr>
          <w:rFonts w:ascii="Times New Roman" w:hAnsi="Times New Roman" w:cs="Times New Roman"/>
          <w:sz w:val="22"/>
        </w:rPr>
        <w:t xml:space="preserve">upon </w:t>
      </w:r>
      <w:r w:rsidR="004B01DF">
        <w:rPr>
          <w:rFonts w:ascii="Times New Roman" w:hAnsi="Times New Roman" w:cs="Times New Roman"/>
          <w:sz w:val="22"/>
        </w:rPr>
        <w:t>themselves</w:t>
      </w:r>
      <w:r>
        <w:rPr>
          <w:rFonts w:ascii="Times New Roman" w:hAnsi="Times New Roman" w:cs="Times New Roman"/>
          <w:sz w:val="22"/>
        </w:rPr>
        <w:t xml:space="preserve"> to set up a wide range of funding</w:t>
      </w:r>
      <w:r w:rsidR="003E1512">
        <w:rPr>
          <w:rFonts w:ascii="Times New Roman" w:hAnsi="Times New Roman" w:cs="Times New Roman"/>
          <w:sz w:val="22"/>
        </w:rPr>
        <w:t xml:space="preserve"> institutions</w:t>
      </w:r>
      <w:r w:rsidR="004B01DF">
        <w:rPr>
          <w:rFonts w:ascii="Times New Roman" w:hAnsi="Times New Roman" w:cs="Times New Roman"/>
          <w:sz w:val="22"/>
        </w:rPr>
        <w:t>,</w:t>
      </w:r>
      <w:r w:rsidR="003E1512">
        <w:rPr>
          <w:rFonts w:ascii="Times New Roman" w:hAnsi="Times New Roman" w:cs="Times New Roman"/>
          <w:sz w:val="22"/>
        </w:rPr>
        <w:t xml:space="preserve"> so as to assist with the promotion of </w:t>
      </w:r>
      <w:r>
        <w:rPr>
          <w:rFonts w:ascii="Times New Roman" w:hAnsi="Times New Roman" w:cs="Times New Roman"/>
          <w:sz w:val="22"/>
        </w:rPr>
        <w:t>deals</w:t>
      </w:r>
      <w:r w:rsidR="00451545">
        <w:rPr>
          <w:rFonts w:ascii="Times New Roman" w:hAnsi="Times New Roman" w:cs="Times New Roman"/>
          <w:sz w:val="22"/>
        </w:rPr>
        <w:t xml:space="preserve"> </w:t>
      </w:r>
      <w:r w:rsidR="00451545" w:rsidRPr="00451545">
        <w:rPr>
          <w:rFonts w:ascii="Times New Roman" w:hAnsi="Times New Roman" w:cs="Times New Roman"/>
          <w:sz w:val="22"/>
        </w:rPr>
        <w:t>(Ngubane, 2010)</w:t>
      </w:r>
      <w:r>
        <w:rPr>
          <w:rFonts w:ascii="Times New Roman" w:hAnsi="Times New Roman" w:cs="Times New Roman"/>
          <w:sz w:val="22"/>
        </w:rPr>
        <w:t xml:space="preserve">. This gave rise to two </w:t>
      </w:r>
      <w:r w:rsidR="004B01DF">
        <w:rPr>
          <w:rFonts w:ascii="Times New Roman" w:hAnsi="Times New Roman" w:cs="Times New Roman"/>
          <w:sz w:val="22"/>
        </w:rPr>
        <w:t>well-known</w:t>
      </w:r>
      <w:r>
        <w:rPr>
          <w:rFonts w:ascii="Times New Roman" w:hAnsi="Times New Roman" w:cs="Times New Roman"/>
          <w:sz w:val="22"/>
        </w:rPr>
        <w:t xml:space="preserve"> government backed funding institutions</w:t>
      </w:r>
      <w:r w:rsidR="004B01DF">
        <w:rPr>
          <w:rFonts w:ascii="Times New Roman" w:hAnsi="Times New Roman" w:cs="Times New Roman"/>
          <w:sz w:val="22"/>
        </w:rPr>
        <w:t xml:space="preserve"> still being</w:t>
      </w:r>
      <w:r>
        <w:rPr>
          <w:rFonts w:ascii="Times New Roman" w:hAnsi="Times New Roman" w:cs="Times New Roman"/>
          <w:sz w:val="22"/>
        </w:rPr>
        <w:t xml:space="preserve"> </w:t>
      </w:r>
      <w:r w:rsidR="003E1512">
        <w:rPr>
          <w:rFonts w:ascii="Times New Roman" w:hAnsi="Times New Roman" w:cs="Times New Roman"/>
          <w:sz w:val="22"/>
        </w:rPr>
        <w:t>used today</w:t>
      </w:r>
      <w:r>
        <w:rPr>
          <w:rFonts w:ascii="Times New Roman" w:hAnsi="Times New Roman" w:cs="Times New Roman"/>
          <w:sz w:val="22"/>
        </w:rPr>
        <w:t xml:space="preserve">. </w:t>
      </w:r>
      <w:r w:rsidR="009C3D4B">
        <w:rPr>
          <w:rFonts w:ascii="Times New Roman" w:hAnsi="Times New Roman" w:cs="Times New Roman"/>
          <w:sz w:val="22"/>
        </w:rPr>
        <w:t>These two institutions are the National Empowerment Fund and the Industrial Development Corporation</w:t>
      </w:r>
      <w:r w:rsidR="00451545">
        <w:rPr>
          <w:rFonts w:ascii="Times New Roman" w:hAnsi="Times New Roman" w:cs="Times New Roman"/>
          <w:sz w:val="22"/>
        </w:rPr>
        <w:t xml:space="preserve"> (Bwakira &amp; Khumalo, 2004)</w:t>
      </w:r>
      <w:r w:rsidR="003E1512">
        <w:rPr>
          <w:rFonts w:ascii="Times New Roman" w:hAnsi="Times New Roman" w:cs="Times New Roman"/>
          <w:sz w:val="22"/>
        </w:rPr>
        <w:t xml:space="preserve">. The mandate of both </w:t>
      </w:r>
      <w:r w:rsidR="009C3D4B">
        <w:rPr>
          <w:rFonts w:ascii="Times New Roman" w:hAnsi="Times New Roman" w:cs="Times New Roman"/>
          <w:sz w:val="22"/>
        </w:rPr>
        <w:t>institutions has had a big impact on the rate at which beneficiaries have been able to gain access to capital</w:t>
      </w:r>
      <w:r w:rsidR="003E1512">
        <w:rPr>
          <w:rFonts w:ascii="Times New Roman" w:hAnsi="Times New Roman" w:cs="Times New Roman"/>
          <w:sz w:val="22"/>
        </w:rPr>
        <w:t>,</w:t>
      </w:r>
      <w:r w:rsidR="004B01DF">
        <w:rPr>
          <w:rFonts w:ascii="Times New Roman" w:hAnsi="Times New Roman" w:cs="Times New Roman"/>
          <w:sz w:val="22"/>
        </w:rPr>
        <w:t xml:space="preserve"> and has had an overall </w:t>
      </w:r>
      <w:r w:rsidR="009C3D4B">
        <w:rPr>
          <w:rFonts w:ascii="Times New Roman" w:hAnsi="Times New Roman" w:cs="Times New Roman"/>
          <w:sz w:val="22"/>
        </w:rPr>
        <w:t xml:space="preserve">positive impact on BBBEE deal productivity. </w:t>
      </w:r>
    </w:p>
    <w:p w14:paraId="5BEAC325" w14:textId="66A577CC" w:rsidR="00E22D82" w:rsidRDefault="001C43D1" w:rsidP="00536234">
      <w:pPr>
        <w:spacing w:line="480" w:lineRule="auto"/>
        <w:ind w:left="0" w:firstLine="0"/>
        <w:rPr>
          <w:rFonts w:ascii="Times New Roman" w:hAnsi="Times New Roman" w:cs="Times New Roman"/>
          <w:sz w:val="22"/>
        </w:rPr>
      </w:pPr>
      <w:r>
        <w:rPr>
          <w:rFonts w:ascii="Times New Roman" w:hAnsi="Times New Roman" w:cs="Times New Roman"/>
          <w:sz w:val="22"/>
        </w:rPr>
        <w:lastRenderedPageBreak/>
        <w:t xml:space="preserve">Together with government funding institutions, </w:t>
      </w:r>
      <w:r w:rsidR="00675F64">
        <w:rPr>
          <w:rFonts w:ascii="Times New Roman" w:hAnsi="Times New Roman" w:cs="Times New Roman"/>
          <w:sz w:val="22"/>
        </w:rPr>
        <w:t>it has</w:t>
      </w:r>
      <w:r w:rsidR="003E1512">
        <w:rPr>
          <w:rFonts w:ascii="Times New Roman" w:hAnsi="Times New Roman" w:cs="Times New Roman"/>
          <w:sz w:val="22"/>
        </w:rPr>
        <w:t xml:space="preserve"> further</w:t>
      </w:r>
      <w:r w:rsidR="00675F64">
        <w:rPr>
          <w:rFonts w:ascii="Times New Roman" w:hAnsi="Times New Roman" w:cs="Times New Roman"/>
          <w:sz w:val="22"/>
        </w:rPr>
        <w:t xml:space="preserve"> been </w:t>
      </w:r>
      <w:r>
        <w:rPr>
          <w:rFonts w:ascii="Times New Roman" w:hAnsi="Times New Roman" w:cs="Times New Roman"/>
          <w:sz w:val="22"/>
        </w:rPr>
        <w:t xml:space="preserve">found that commercial banks also play a significant role in </w:t>
      </w:r>
      <w:r w:rsidR="004B01DF">
        <w:rPr>
          <w:rFonts w:ascii="Times New Roman" w:hAnsi="Times New Roman" w:cs="Times New Roman"/>
          <w:sz w:val="22"/>
        </w:rPr>
        <w:t>the facilitation of</w:t>
      </w:r>
      <w:r>
        <w:rPr>
          <w:rFonts w:ascii="Times New Roman" w:hAnsi="Times New Roman" w:cs="Times New Roman"/>
          <w:sz w:val="22"/>
        </w:rPr>
        <w:t xml:space="preserve"> BBBEE deals</w:t>
      </w:r>
      <w:r w:rsidR="00675F64">
        <w:rPr>
          <w:rFonts w:ascii="Times New Roman" w:hAnsi="Times New Roman" w:cs="Times New Roman"/>
          <w:sz w:val="22"/>
        </w:rPr>
        <w:t xml:space="preserve"> </w:t>
      </w:r>
      <w:r w:rsidR="00BB336D">
        <w:rPr>
          <w:rFonts w:ascii="Times New Roman" w:hAnsi="Times New Roman" w:cs="Times New Roman"/>
          <w:sz w:val="22"/>
        </w:rPr>
        <w:t>(Ackermann &amp; Meyer, 2007</w:t>
      </w:r>
      <w:r w:rsidR="00451545">
        <w:rPr>
          <w:rFonts w:ascii="Times New Roman" w:hAnsi="Times New Roman" w:cs="Times New Roman"/>
          <w:sz w:val="22"/>
        </w:rPr>
        <w:t>; Balshaw &amp; Goldberg, 2005</w:t>
      </w:r>
      <w:r w:rsidR="00675F64" w:rsidRPr="00675F64">
        <w:rPr>
          <w:rFonts w:ascii="Times New Roman" w:hAnsi="Times New Roman" w:cs="Times New Roman"/>
          <w:sz w:val="22"/>
        </w:rPr>
        <w:t>)</w:t>
      </w:r>
      <w:r w:rsidR="00E22D82">
        <w:rPr>
          <w:rFonts w:ascii="Times New Roman" w:hAnsi="Times New Roman" w:cs="Times New Roman"/>
          <w:sz w:val="22"/>
        </w:rPr>
        <w:t xml:space="preserve">. This is seen </w:t>
      </w:r>
      <w:r w:rsidR="004B01DF">
        <w:rPr>
          <w:rFonts w:ascii="Times New Roman" w:hAnsi="Times New Roman" w:cs="Times New Roman"/>
          <w:sz w:val="22"/>
        </w:rPr>
        <w:t>by</w:t>
      </w:r>
      <w:r w:rsidR="00E22D82">
        <w:rPr>
          <w:rFonts w:ascii="Times New Roman" w:hAnsi="Times New Roman" w:cs="Times New Roman"/>
          <w:sz w:val="22"/>
        </w:rPr>
        <w:t xml:space="preserve"> the significant amounts of </w:t>
      </w:r>
      <w:r>
        <w:rPr>
          <w:rFonts w:ascii="Times New Roman" w:hAnsi="Times New Roman" w:cs="Times New Roman"/>
          <w:sz w:val="22"/>
        </w:rPr>
        <w:t xml:space="preserve">debt funding provided by </w:t>
      </w:r>
      <w:r w:rsidR="00E22D82">
        <w:rPr>
          <w:rFonts w:ascii="Times New Roman" w:hAnsi="Times New Roman" w:cs="Times New Roman"/>
          <w:sz w:val="22"/>
        </w:rPr>
        <w:t>commercial</w:t>
      </w:r>
      <w:r w:rsidR="00642C32">
        <w:rPr>
          <w:rFonts w:ascii="Times New Roman" w:hAnsi="Times New Roman" w:cs="Times New Roman"/>
          <w:sz w:val="22"/>
        </w:rPr>
        <w:t xml:space="preserve"> banks</w:t>
      </w:r>
      <w:r>
        <w:rPr>
          <w:rFonts w:ascii="Times New Roman" w:hAnsi="Times New Roman" w:cs="Times New Roman"/>
          <w:sz w:val="22"/>
        </w:rPr>
        <w:t xml:space="preserve"> to beneficiaries</w:t>
      </w:r>
      <w:r w:rsidR="004B01DF">
        <w:rPr>
          <w:rFonts w:ascii="Times New Roman" w:hAnsi="Times New Roman" w:cs="Times New Roman"/>
          <w:sz w:val="22"/>
        </w:rPr>
        <w:t xml:space="preserve"> over time</w:t>
      </w:r>
      <w:r>
        <w:rPr>
          <w:rFonts w:ascii="Times New Roman" w:hAnsi="Times New Roman" w:cs="Times New Roman"/>
          <w:sz w:val="22"/>
        </w:rPr>
        <w:t xml:space="preserve">. </w:t>
      </w:r>
      <w:r w:rsidR="008E5542">
        <w:rPr>
          <w:rFonts w:ascii="Times New Roman" w:hAnsi="Times New Roman" w:cs="Times New Roman"/>
          <w:sz w:val="22"/>
        </w:rPr>
        <w:t xml:space="preserve">Further, although banks make a significant contribution by providing funding to BBBEE beneficiaries, the banks apply uniform credit-worthiness criteria to all potential clients whether they are BBBEE beneficiaries or not. This may result in potential BBBEE beneficiaries not qualifying for loans. </w:t>
      </w:r>
    </w:p>
    <w:p w14:paraId="26E31E43" w14:textId="77777777" w:rsidR="00721AB8" w:rsidRPr="00A14BA6" w:rsidRDefault="00FA26C0" w:rsidP="00536234">
      <w:pPr>
        <w:pStyle w:val="Heading2"/>
        <w:ind w:left="0"/>
        <w:rPr>
          <w:rFonts w:ascii="Times New Roman" w:hAnsi="Times New Roman" w:cs="Times New Roman"/>
          <w:b/>
          <w:color w:val="auto"/>
          <w:sz w:val="24"/>
        </w:rPr>
      </w:pPr>
      <w:bookmarkStart w:id="25" w:name="_Toc506717771"/>
      <w:r w:rsidRPr="00A14BA6">
        <w:rPr>
          <w:rFonts w:ascii="Times New Roman" w:hAnsi="Times New Roman" w:cs="Times New Roman"/>
          <w:b/>
          <w:color w:val="auto"/>
          <w:sz w:val="24"/>
        </w:rPr>
        <w:t>2.3.1</w:t>
      </w:r>
      <w:r w:rsidR="00066566" w:rsidRPr="00A14BA6">
        <w:rPr>
          <w:rFonts w:ascii="Times New Roman" w:hAnsi="Times New Roman" w:cs="Times New Roman"/>
          <w:b/>
          <w:color w:val="auto"/>
          <w:sz w:val="24"/>
        </w:rPr>
        <w:tab/>
        <w:t>Types of Broad-Based Black Economic Empowerment Funding Models</w:t>
      </w:r>
      <w:bookmarkEnd w:id="25"/>
    </w:p>
    <w:p w14:paraId="720CA550" w14:textId="47F53635" w:rsidR="002D315A" w:rsidRDefault="00066566" w:rsidP="00536234">
      <w:pPr>
        <w:spacing w:line="480" w:lineRule="auto"/>
        <w:ind w:left="0" w:firstLine="0"/>
        <w:rPr>
          <w:rFonts w:ascii="Times New Roman" w:hAnsi="Times New Roman" w:cs="Times New Roman"/>
          <w:sz w:val="22"/>
        </w:rPr>
      </w:pPr>
      <w:r>
        <w:rPr>
          <w:rFonts w:ascii="Times New Roman" w:hAnsi="Times New Roman" w:cs="Times New Roman"/>
          <w:sz w:val="22"/>
        </w:rPr>
        <w:t>The lack of capital possessed by BBBEE participants has given rise to the creation of various different funding models</w:t>
      </w:r>
      <w:r w:rsidR="001E5B09">
        <w:rPr>
          <w:rFonts w:ascii="Times New Roman" w:hAnsi="Times New Roman" w:cs="Times New Roman"/>
          <w:sz w:val="22"/>
        </w:rPr>
        <w:t xml:space="preserve"> </w:t>
      </w:r>
      <w:r w:rsidR="00F37650">
        <w:rPr>
          <w:rFonts w:ascii="Times New Roman" w:hAnsi="Times New Roman" w:cs="Times New Roman"/>
          <w:sz w:val="22"/>
        </w:rPr>
        <w:t>(</w:t>
      </w:r>
      <w:r w:rsidR="00A53BD2">
        <w:rPr>
          <w:rFonts w:ascii="Times New Roman" w:hAnsi="Times New Roman" w:cs="Times New Roman"/>
          <w:sz w:val="22"/>
        </w:rPr>
        <w:t xml:space="preserve">E. </w:t>
      </w:r>
      <w:r w:rsidR="00F37650">
        <w:rPr>
          <w:rFonts w:ascii="Times New Roman" w:hAnsi="Times New Roman" w:cs="Times New Roman"/>
          <w:sz w:val="22"/>
        </w:rPr>
        <w:t>Burger</w:t>
      </w:r>
      <w:r w:rsidR="009A04FC">
        <w:rPr>
          <w:rFonts w:ascii="Times New Roman" w:hAnsi="Times New Roman" w:cs="Times New Roman"/>
          <w:sz w:val="22"/>
        </w:rPr>
        <w:t>,</w:t>
      </w:r>
      <w:r w:rsidR="00F37650">
        <w:rPr>
          <w:rFonts w:ascii="Times New Roman" w:hAnsi="Times New Roman" w:cs="Times New Roman"/>
          <w:sz w:val="22"/>
        </w:rPr>
        <w:t xml:space="preserve"> Munian</w:t>
      </w:r>
      <w:r w:rsidR="009A04FC">
        <w:rPr>
          <w:rFonts w:ascii="Times New Roman" w:hAnsi="Times New Roman" w:cs="Times New Roman"/>
          <w:sz w:val="22"/>
        </w:rPr>
        <w:t>,</w:t>
      </w:r>
      <w:r w:rsidR="00F37650">
        <w:rPr>
          <w:rFonts w:ascii="Times New Roman" w:hAnsi="Times New Roman" w:cs="Times New Roman"/>
          <w:sz w:val="22"/>
        </w:rPr>
        <w:t xml:space="preserve"> &amp; Groot, 2003</w:t>
      </w:r>
      <w:r w:rsidR="001E5B09" w:rsidRPr="001E5B09">
        <w:rPr>
          <w:rFonts w:ascii="Times New Roman" w:hAnsi="Times New Roman" w:cs="Times New Roman"/>
          <w:sz w:val="22"/>
        </w:rPr>
        <w:t>)</w:t>
      </w:r>
      <w:r>
        <w:rPr>
          <w:rFonts w:ascii="Times New Roman" w:hAnsi="Times New Roman" w:cs="Times New Roman"/>
          <w:sz w:val="22"/>
        </w:rPr>
        <w:t xml:space="preserve">. This issue regarding the lack of capital at the hands of </w:t>
      </w:r>
      <w:r w:rsidR="00642C32">
        <w:rPr>
          <w:rFonts w:ascii="Times New Roman" w:hAnsi="Times New Roman" w:cs="Times New Roman"/>
          <w:sz w:val="22"/>
        </w:rPr>
        <w:t>beneficiaries</w:t>
      </w:r>
      <w:r>
        <w:rPr>
          <w:rFonts w:ascii="Times New Roman" w:hAnsi="Times New Roman" w:cs="Times New Roman"/>
          <w:sz w:val="22"/>
        </w:rPr>
        <w:t xml:space="preserve"> has also been made worse by the lack of coll</w:t>
      </w:r>
      <w:r w:rsidR="00F00943">
        <w:rPr>
          <w:rFonts w:ascii="Times New Roman" w:hAnsi="Times New Roman" w:cs="Times New Roman"/>
          <w:sz w:val="22"/>
        </w:rPr>
        <w:t xml:space="preserve">ateral at their disposal </w:t>
      </w:r>
      <w:r w:rsidR="00E966CB">
        <w:rPr>
          <w:rFonts w:ascii="Times New Roman" w:hAnsi="Times New Roman" w:cs="Times New Roman"/>
          <w:sz w:val="22"/>
        </w:rPr>
        <w:t>to</w:t>
      </w:r>
      <w:r w:rsidR="00F00943">
        <w:rPr>
          <w:rFonts w:ascii="Times New Roman" w:hAnsi="Times New Roman" w:cs="Times New Roman"/>
          <w:sz w:val="22"/>
        </w:rPr>
        <w:t xml:space="preserve"> be used as security f</w:t>
      </w:r>
      <w:r w:rsidR="009F72E4">
        <w:rPr>
          <w:rFonts w:ascii="Times New Roman" w:hAnsi="Times New Roman" w:cs="Times New Roman"/>
          <w:sz w:val="22"/>
        </w:rPr>
        <w:t>or the financing to be obtained, together with the fact that many bene</w:t>
      </w:r>
      <w:r w:rsidR="001E5B09">
        <w:rPr>
          <w:rFonts w:ascii="Times New Roman" w:hAnsi="Times New Roman" w:cs="Times New Roman"/>
          <w:sz w:val="22"/>
        </w:rPr>
        <w:t xml:space="preserve">ficiaries </w:t>
      </w:r>
      <w:r w:rsidR="009F72E4">
        <w:rPr>
          <w:rFonts w:ascii="Times New Roman" w:hAnsi="Times New Roman" w:cs="Times New Roman"/>
          <w:sz w:val="22"/>
        </w:rPr>
        <w:t>c</w:t>
      </w:r>
      <w:r w:rsidR="001E5B09">
        <w:rPr>
          <w:rFonts w:ascii="Times New Roman" w:hAnsi="Times New Roman" w:cs="Times New Roman"/>
          <w:sz w:val="22"/>
        </w:rPr>
        <w:t>o</w:t>
      </w:r>
      <w:r w:rsidR="009F72E4">
        <w:rPr>
          <w:rFonts w:ascii="Times New Roman" w:hAnsi="Times New Roman" w:cs="Times New Roman"/>
          <w:sz w:val="22"/>
        </w:rPr>
        <w:t>me from different backgrounds</w:t>
      </w:r>
      <w:r w:rsidR="001E5B09">
        <w:rPr>
          <w:rFonts w:ascii="Times New Roman" w:hAnsi="Times New Roman" w:cs="Times New Roman"/>
          <w:sz w:val="22"/>
        </w:rPr>
        <w:t xml:space="preserve"> </w:t>
      </w:r>
      <w:r w:rsidR="001E5B09" w:rsidRPr="001E5B09">
        <w:rPr>
          <w:rFonts w:ascii="Times New Roman" w:hAnsi="Times New Roman" w:cs="Times New Roman"/>
          <w:sz w:val="22"/>
        </w:rPr>
        <w:t>(Nhlapo, 2008)</w:t>
      </w:r>
      <w:r w:rsidR="001E5B09">
        <w:rPr>
          <w:rFonts w:ascii="Times New Roman" w:hAnsi="Times New Roman" w:cs="Times New Roman"/>
          <w:sz w:val="22"/>
        </w:rPr>
        <w:t>. The fact that many beneficiaries come from different backgrounds</w:t>
      </w:r>
      <w:r w:rsidR="00642C32">
        <w:rPr>
          <w:rFonts w:ascii="Times New Roman" w:hAnsi="Times New Roman" w:cs="Times New Roman"/>
          <w:sz w:val="22"/>
        </w:rPr>
        <w:t xml:space="preserve"> further</w:t>
      </w:r>
      <w:r w:rsidR="009F72E4">
        <w:rPr>
          <w:rFonts w:ascii="Times New Roman" w:hAnsi="Times New Roman" w:cs="Times New Roman"/>
          <w:sz w:val="22"/>
        </w:rPr>
        <w:t xml:space="preserve"> </w:t>
      </w:r>
      <w:r w:rsidR="00642C32">
        <w:rPr>
          <w:rFonts w:ascii="Times New Roman" w:hAnsi="Times New Roman" w:cs="Times New Roman"/>
          <w:sz w:val="22"/>
        </w:rPr>
        <w:t>complicates</w:t>
      </w:r>
      <w:r w:rsidR="009F72E4">
        <w:rPr>
          <w:rFonts w:ascii="Times New Roman" w:hAnsi="Times New Roman" w:cs="Times New Roman"/>
          <w:sz w:val="22"/>
        </w:rPr>
        <w:t xml:space="preserve"> communication</w:t>
      </w:r>
      <w:r w:rsidR="00E966CB">
        <w:rPr>
          <w:rFonts w:ascii="Times New Roman" w:hAnsi="Times New Roman" w:cs="Times New Roman"/>
          <w:sz w:val="22"/>
        </w:rPr>
        <w:t xml:space="preserve"> between them</w:t>
      </w:r>
      <w:r w:rsidR="009F72E4">
        <w:rPr>
          <w:rFonts w:ascii="Times New Roman" w:hAnsi="Times New Roman" w:cs="Times New Roman"/>
          <w:sz w:val="22"/>
        </w:rPr>
        <w:t xml:space="preserve"> regarding issues of collateral.</w:t>
      </w:r>
      <w:r w:rsidR="00F00943">
        <w:rPr>
          <w:rFonts w:ascii="Times New Roman" w:hAnsi="Times New Roman" w:cs="Times New Roman"/>
          <w:sz w:val="22"/>
        </w:rPr>
        <w:t xml:space="preserve"> In order to </w:t>
      </w:r>
      <w:r w:rsidR="00642C32">
        <w:rPr>
          <w:rFonts w:ascii="Times New Roman" w:hAnsi="Times New Roman" w:cs="Times New Roman"/>
          <w:sz w:val="22"/>
        </w:rPr>
        <w:t>address</w:t>
      </w:r>
      <w:r w:rsidR="00F00943">
        <w:rPr>
          <w:rFonts w:ascii="Times New Roman" w:hAnsi="Times New Roman" w:cs="Times New Roman"/>
          <w:sz w:val="22"/>
        </w:rPr>
        <w:t xml:space="preserve"> this, the rise of BBBEE deals has brought along with it extremely unique forms of financing. </w:t>
      </w:r>
      <w:r w:rsidR="001E5B09">
        <w:rPr>
          <w:rFonts w:ascii="Times New Roman" w:hAnsi="Times New Roman" w:cs="Times New Roman"/>
          <w:sz w:val="22"/>
        </w:rPr>
        <w:t>Many of these</w:t>
      </w:r>
      <w:r w:rsidR="00642C32">
        <w:rPr>
          <w:rFonts w:ascii="Times New Roman" w:hAnsi="Times New Roman" w:cs="Times New Roman"/>
          <w:sz w:val="22"/>
        </w:rPr>
        <w:t xml:space="preserve"> forms of financing </w:t>
      </w:r>
      <w:r w:rsidR="001E5B09">
        <w:rPr>
          <w:rFonts w:ascii="Times New Roman" w:hAnsi="Times New Roman" w:cs="Times New Roman"/>
          <w:sz w:val="22"/>
        </w:rPr>
        <w:t>even</w:t>
      </w:r>
      <w:r w:rsidR="00E966CB">
        <w:rPr>
          <w:rFonts w:ascii="Times New Roman" w:hAnsi="Times New Roman" w:cs="Times New Roman"/>
          <w:sz w:val="22"/>
        </w:rPr>
        <w:t xml:space="preserve"> being</w:t>
      </w:r>
      <w:r w:rsidR="00F00943">
        <w:rPr>
          <w:rFonts w:ascii="Times New Roman" w:hAnsi="Times New Roman" w:cs="Times New Roman"/>
          <w:sz w:val="22"/>
        </w:rPr>
        <w:t xml:space="preserve"> developed solely for the purpose of assisting with the facilitation of deals</w:t>
      </w:r>
      <w:r w:rsidR="002D315A">
        <w:rPr>
          <w:rFonts w:ascii="Times New Roman" w:hAnsi="Times New Roman" w:cs="Times New Roman"/>
          <w:sz w:val="22"/>
        </w:rPr>
        <w:t xml:space="preserve"> </w:t>
      </w:r>
      <w:r w:rsidR="002D315A" w:rsidRPr="002D315A">
        <w:rPr>
          <w:rFonts w:ascii="Times New Roman" w:hAnsi="Times New Roman" w:cs="Times New Roman"/>
          <w:sz w:val="22"/>
        </w:rPr>
        <w:t>(Nhlapo, 2008</w:t>
      </w:r>
      <w:r w:rsidR="00675F64">
        <w:rPr>
          <w:rFonts w:ascii="Times New Roman" w:hAnsi="Times New Roman" w:cs="Times New Roman"/>
          <w:sz w:val="22"/>
        </w:rPr>
        <w:t>; Plaatjies, 2014</w:t>
      </w:r>
      <w:r w:rsidR="002D315A" w:rsidRPr="002D315A">
        <w:rPr>
          <w:rFonts w:ascii="Times New Roman" w:hAnsi="Times New Roman" w:cs="Times New Roman"/>
          <w:sz w:val="22"/>
        </w:rPr>
        <w:t>)</w:t>
      </w:r>
      <w:r w:rsidR="00F00943">
        <w:rPr>
          <w:rFonts w:ascii="Times New Roman" w:hAnsi="Times New Roman" w:cs="Times New Roman"/>
          <w:sz w:val="22"/>
        </w:rPr>
        <w:t>.</w:t>
      </w:r>
      <w:r w:rsidR="009F72E4">
        <w:rPr>
          <w:rFonts w:ascii="Times New Roman" w:hAnsi="Times New Roman" w:cs="Times New Roman"/>
          <w:sz w:val="22"/>
        </w:rPr>
        <w:t xml:space="preserve"> </w:t>
      </w:r>
    </w:p>
    <w:p w14:paraId="6A2ED802" w14:textId="77777777" w:rsidR="00721AB8" w:rsidRDefault="001E5B09" w:rsidP="00536234">
      <w:pPr>
        <w:spacing w:line="480" w:lineRule="auto"/>
        <w:ind w:left="0" w:firstLine="0"/>
        <w:rPr>
          <w:rFonts w:ascii="Times New Roman" w:hAnsi="Times New Roman" w:cs="Times New Roman"/>
          <w:sz w:val="22"/>
        </w:rPr>
      </w:pPr>
      <w:r>
        <w:rPr>
          <w:rFonts w:ascii="Times New Roman" w:hAnsi="Times New Roman" w:cs="Times New Roman"/>
          <w:sz w:val="22"/>
        </w:rPr>
        <w:t>W</w:t>
      </w:r>
      <w:r w:rsidR="002D315A">
        <w:rPr>
          <w:rFonts w:ascii="Times New Roman" w:hAnsi="Times New Roman" w:cs="Times New Roman"/>
          <w:sz w:val="22"/>
        </w:rPr>
        <w:t xml:space="preserve">ith regards to the structure of </w:t>
      </w:r>
      <w:r w:rsidR="00642C32">
        <w:rPr>
          <w:rFonts w:ascii="Times New Roman" w:hAnsi="Times New Roman" w:cs="Times New Roman"/>
          <w:sz w:val="22"/>
        </w:rPr>
        <w:t>the deals to be mentioned</w:t>
      </w:r>
      <w:r>
        <w:rPr>
          <w:rFonts w:ascii="Times New Roman" w:hAnsi="Times New Roman" w:cs="Times New Roman"/>
          <w:sz w:val="22"/>
        </w:rPr>
        <w:t xml:space="preserve">, many </w:t>
      </w:r>
      <w:r w:rsidR="009F72E4">
        <w:rPr>
          <w:rFonts w:ascii="Times New Roman" w:hAnsi="Times New Roman" w:cs="Times New Roman"/>
          <w:sz w:val="22"/>
        </w:rPr>
        <w:t>have</w:t>
      </w:r>
      <w:r w:rsidR="00E966CB">
        <w:rPr>
          <w:rFonts w:ascii="Times New Roman" w:hAnsi="Times New Roman" w:cs="Times New Roman"/>
          <w:sz w:val="22"/>
        </w:rPr>
        <w:t xml:space="preserve"> further</w:t>
      </w:r>
      <w:r w:rsidR="009F72E4">
        <w:rPr>
          <w:rFonts w:ascii="Times New Roman" w:hAnsi="Times New Roman" w:cs="Times New Roman"/>
          <w:sz w:val="22"/>
        </w:rPr>
        <w:t xml:space="preserve"> </w:t>
      </w:r>
      <w:r>
        <w:rPr>
          <w:rFonts w:ascii="Times New Roman" w:hAnsi="Times New Roman" w:cs="Times New Roman"/>
          <w:sz w:val="22"/>
        </w:rPr>
        <w:t xml:space="preserve">been created </w:t>
      </w:r>
      <w:r w:rsidR="002D315A">
        <w:rPr>
          <w:rFonts w:ascii="Times New Roman" w:hAnsi="Times New Roman" w:cs="Times New Roman"/>
          <w:sz w:val="22"/>
        </w:rPr>
        <w:t>with the goal of reducing</w:t>
      </w:r>
      <w:r>
        <w:rPr>
          <w:rFonts w:ascii="Times New Roman" w:hAnsi="Times New Roman" w:cs="Times New Roman"/>
          <w:sz w:val="22"/>
        </w:rPr>
        <w:t xml:space="preserve"> the</w:t>
      </w:r>
      <w:r w:rsidR="009F72E4">
        <w:rPr>
          <w:rFonts w:ascii="Times New Roman" w:hAnsi="Times New Roman" w:cs="Times New Roman"/>
          <w:sz w:val="22"/>
        </w:rPr>
        <w:t xml:space="preserve"> liability of beneficiar</w:t>
      </w:r>
      <w:r w:rsidR="002D315A">
        <w:rPr>
          <w:rFonts w:ascii="Times New Roman" w:hAnsi="Times New Roman" w:cs="Times New Roman"/>
          <w:sz w:val="22"/>
        </w:rPr>
        <w:t>ies</w:t>
      </w:r>
      <w:r w:rsidR="009F72E4">
        <w:rPr>
          <w:rFonts w:ascii="Times New Roman" w:hAnsi="Times New Roman" w:cs="Times New Roman"/>
          <w:sz w:val="22"/>
        </w:rPr>
        <w:t xml:space="preserve"> </w:t>
      </w:r>
      <w:r w:rsidR="002D315A">
        <w:rPr>
          <w:rFonts w:ascii="Times New Roman" w:hAnsi="Times New Roman" w:cs="Times New Roman"/>
          <w:sz w:val="22"/>
        </w:rPr>
        <w:t xml:space="preserve">in the event of failure by them to repay amounts outstanding to the holder of the obligation </w:t>
      </w:r>
      <w:r w:rsidR="002D315A" w:rsidRPr="002D315A">
        <w:rPr>
          <w:rFonts w:ascii="Times New Roman" w:hAnsi="Times New Roman" w:cs="Times New Roman"/>
          <w:sz w:val="22"/>
        </w:rPr>
        <w:t>(Nhlapo, 2008)</w:t>
      </w:r>
      <w:r w:rsidR="009F72E4">
        <w:rPr>
          <w:rFonts w:ascii="Times New Roman" w:hAnsi="Times New Roman" w:cs="Times New Roman"/>
          <w:sz w:val="22"/>
        </w:rPr>
        <w:t xml:space="preserve">. </w:t>
      </w:r>
      <w:r w:rsidR="00F00943">
        <w:rPr>
          <w:rFonts w:ascii="Times New Roman" w:hAnsi="Times New Roman" w:cs="Times New Roman"/>
          <w:sz w:val="22"/>
        </w:rPr>
        <w:t xml:space="preserve"> As such, it can be said that BBBEE has played a role in the promotion </w:t>
      </w:r>
      <w:r w:rsidR="00E966CB">
        <w:rPr>
          <w:rFonts w:ascii="Times New Roman" w:hAnsi="Times New Roman" w:cs="Times New Roman"/>
          <w:sz w:val="22"/>
        </w:rPr>
        <w:t xml:space="preserve">of easy and fair </w:t>
      </w:r>
      <w:r w:rsidR="00F00943">
        <w:rPr>
          <w:rFonts w:ascii="Times New Roman" w:hAnsi="Times New Roman" w:cs="Times New Roman"/>
          <w:sz w:val="22"/>
        </w:rPr>
        <w:t xml:space="preserve">access to funding for Black individuals. </w:t>
      </w:r>
    </w:p>
    <w:p w14:paraId="2221BEF0" w14:textId="77777777" w:rsidR="001C67FF" w:rsidRPr="00A14BA6" w:rsidRDefault="00FA26C0" w:rsidP="00536234">
      <w:pPr>
        <w:pStyle w:val="Heading2"/>
        <w:ind w:left="0"/>
        <w:rPr>
          <w:rFonts w:ascii="Times New Roman" w:hAnsi="Times New Roman" w:cs="Times New Roman"/>
          <w:b/>
          <w:color w:val="auto"/>
          <w:sz w:val="24"/>
        </w:rPr>
      </w:pPr>
      <w:bookmarkStart w:id="26" w:name="_Toc506717772"/>
      <w:r w:rsidRPr="00A14BA6">
        <w:rPr>
          <w:rFonts w:ascii="Times New Roman" w:hAnsi="Times New Roman" w:cs="Times New Roman"/>
          <w:b/>
          <w:color w:val="auto"/>
          <w:sz w:val="24"/>
        </w:rPr>
        <w:t>2.3</w:t>
      </w:r>
      <w:r w:rsidR="001C67FF" w:rsidRPr="00A14BA6">
        <w:rPr>
          <w:rFonts w:ascii="Times New Roman" w:hAnsi="Times New Roman" w:cs="Times New Roman"/>
          <w:b/>
          <w:color w:val="auto"/>
          <w:sz w:val="24"/>
        </w:rPr>
        <w:t>.2</w:t>
      </w:r>
      <w:r w:rsidR="001C67FF" w:rsidRPr="00A14BA6">
        <w:rPr>
          <w:rFonts w:ascii="Times New Roman" w:hAnsi="Times New Roman" w:cs="Times New Roman"/>
          <w:b/>
          <w:color w:val="auto"/>
          <w:sz w:val="24"/>
        </w:rPr>
        <w:tab/>
        <w:t>First Phase of Funding Models</w:t>
      </w:r>
      <w:bookmarkEnd w:id="26"/>
    </w:p>
    <w:p w14:paraId="03A6BA7C" w14:textId="77777777" w:rsidR="001C67FF" w:rsidRDefault="001C67FF"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first phase of BBBEE funding models took place during </w:t>
      </w:r>
      <w:r w:rsidR="00642C32">
        <w:rPr>
          <w:rFonts w:ascii="Times New Roman" w:hAnsi="Times New Roman" w:cs="Times New Roman"/>
          <w:sz w:val="22"/>
        </w:rPr>
        <w:t>a period</w:t>
      </w:r>
      <w:r>
        <w:rPr>
          <w:rFonts w:ascii="Times New Roman" w:hAnsi="Times New Roman" w:cs="Times New Roman"/>
          <w:sz w:val="22"/>
        </w:rPr>
        <w:t xml:space="preserve"> </w:t>
      </w:r>
      <w:r w:rsidR="00642C32">
        <w:rPr>
          <w:rFonts w:ascii="Times New Roman" w:hAnsi="Times New Roman" w:cs="Times New Roman"/>
          <w:sz w:val="22"/>
        </w:rPr>
        <w:t xml:space="preserve">of </w:t>
      </w:r>
      <w:r w:rsidR="00097CA6">
        <w:rPr>
          <w:rFonts w:ascii="Times New Roman" w:hAnsi="Times New Roman" w:cs="Times New Roman"/>
          <w:sz w:val="22"/>
        </w:rPr>
        <w:t xml:space="preserve">significant </w:t>
      </w:r>
      <w:r w:rsidR="00642C32">
        <w:rPr>
          <w:rFonts w:ascii="Times New Roman" w:hAnsi="Times New Roman" w:cs="Times New Roman"/>
          <w:sz w:val="22"/>
        </w:rPr>
        <w:t>economic change in South Africa</w:t>
      </w:r>
      <w:r w:rsidR="002D315A">
        <w:rPr>
          <w:rFonts w:ascii="Times New Roman" w:hAnsi="Times New Roman" w:cs="Times New Roman"/>
          <w:sz w:val="22"/>
        </w:rPr>
        <w:t xml:space="preserve"> </w:t>
      </w:r>
      <w:r w:rsidR="002D315A" w:rsidRPr="002D315A">
        <w:rPr>
          <w:rFonts w:ascii="Times New Roman" w:hAnsi="Times New Roman" w:cs="Times New Roman"/>
          <w:sz w:val="22"/>
        </w:rPr>
        <w:t>(Nhlapo, 2008)</w:t>
      </w:r>
      <w:r>
        <w:rPr>
          <w:rFonts w:ascii="Times New Roman" w:hAnsi="Times New Roman" w:cs="Times New Roman"/>
          <w:sz w:val="22"/>
        </w:rPr>
        <w:t>. The first years post the Apartheid</w:t>
      </w:r>
      <w:r w:rsidR="00097CA6">
        <w:rPr>
          <w:rFonts w:ascii="Times New Roman" w:hAnsi="Times New Roman" w:cs="Times New Roman"/>
          <w:sz w:val="22"/>
        </w:rPr>
        <w:t xml:space="preserve"> era saw the </w:t>
      </w:r>
      <w:r>
        <w:rPr>
          <w:rFonts w:ascii="Times New Roman" w:hAnsi="Times New Roman" w:cs="Times New Roman"/>
          <w:sz w:val="22"/>
        </w:rPr>
        <w:t>acquisition, by Black South Africans, of portions of large companies which were previously</w:t>
      </w:r>
      <w:r w:rsidR="002D315A">
        <w:rPr>
          <w:rFonts w:ascii="Times New Roman" w:hAnsi="Times New Roman" w:cs="Times New Roman"/>
          <w:sz w:val="22"/>
        </w:rPr>
        <w:t xml:space="preserve"> solely owned and</w:t>
      </w:r>
      <w:r>
        <w:rPr>
          <w:rFonts w:ascii="Times New Roman" w:hAnsi="Times New Roman" w:cs="Times New Roman"/>
          <w:sz w:val="22"/>
        </w:rPr>
        <w:t xml:space="preserve"> controlled by White </w:t>
      </w:r>
      <w:r w:rsidR="00E966CB">
        <w:rPr>
          <w:rFonts w:ascii="Times New Roman" w:hAnsi="Times New Roman" w:cs="Times New Roman"/>
          <w:sz w:val="22"/>
        </w:rPr>
        <w:t xml:space="preserve">South Africans </w:t>
      </w:r>
      <w:r w:rsidR="00E966CB" w:rsidRPr="00E966CB">
        <w:rPr>
          <w:rFonts w:ascii="Times New Roman" w:hAnsi="Times New Roman" w:cs="Times New Roman"/>
          <w:sz w:val="22"/>
        </w:rPr>
        <w:t>(Nhlapo, 2008; Plaatjies, 2014)</w:t>
      </w:r>
      <w:r>
        <w:rPr>
          <w:rFonts w:ascii="Times New Roman" w:hAnsi="Times New Roman" w:cs="Times New Roman"/>
          <w:sz w:val="22"/>
        </w:rPr>
        <w:t xml:space="preserve">. The purpose of this, as mentioned before, was </w:t>
      </w:r>
      <w:r>
        <w:rPr>
          <w:rFonts w:ascii="Times New Roman" w:hAnsi="Times New Roman" w:cs="Times New Roman"/>
          <w:sz w:val="22"/>
        </w:rPr>
        <w:lastRenderedPageBreak/>
        <w:t>to slowly include Black individuals in the ownership of large corporations</w:t>
      </w:r>
      <w:r w:rsidR="00E966CB">
        <w:rPr>
          <w:rFonts w:ascii="Times New Roman" w:hAnsi="Times New Roman" w:cs="Times New Roman"/>
          <w:sz w:val="22"/>
        </w:rPr>
        <w:t xml:space="preserve"> and score BBBEE credits</w:t>
      </w:r>
      <w:r>
        <w:rPr>
          <w:rFonts w:ascii="Times New Roman" w:hAnsi="Times New Roman" w:cs="Times New Roman"/>
          <w:sz w:val="22"/>
        </w:rPr>
        <w:t>. In order to facilitate these acquisitions, the following were the most common forms of financing used:</w:t>
      </w:r>
    </w:p>
    <w:p w14:paraId="2E4CCA7D" w14:textId="77777777" w:rsidR="001C67FF" w:rsidRPr="00A14BA6" w:rsidRDefault="008A0FCE" w:rsidP="00536234">
      <w:pPr>
        <w:pStyle w:val="Heading3"/>
        <w:ind w:left="0"/>
        <w:rPr>
          <w:rFonts w:ascii="Times New Roman" w:hAnsi="Times New Roman" w:cs="Times New Roman"/>
          <w:i/>
          <w:color w:val="auto"/>
          <w:sz w:val="22"/>
        </w:rPr>
      </w:pPr>
      <w:bookmarkStart w:id="27" w:name="_Toc506717773"/>
      <w:r>
        <w:rPr>
          <w:rFonts w:ascii="Times New Roman" w:hAnsi="Times New Roman" w:cs="Times New Roman"/>
          <w:i/>
          <w:color w:val="auto"/>
          <w:sz w:val="22"/>
        </w:rPr>
        <w:t>2.3.2.1</w:t>
      </w:r>
      <w:r>
        <w:rPr>
          <w:rFonts w:ascii="Times New Roman" w:hAnsi="Times New Roman" w:cs="Times New Roman"/>
          <w:i/>
          <w:color w:val="auto"/>
          <w:sz w:val="22"/>
        </w:rPr>
        <w:tab/>
      </w:r>
      <w:r w:rsidR="002A199A" w:rsidRPr="00A14BA6">
        <w:rPr>
          <w:rFonts w:ascii="Times New Roman" w:hAnsi="Times New Roman" w:cs="Times New Roman"/>
          <w:i/>
          <w:color w:val="auto"/>
          <w:sz w:val="22"/>
        </w:rPr>
        <w:t>Special Purpose Vehicle</w:t>
      </w:r>
      <w:bookmarkEnd w:id="27"/>
    </w:p>
    <w:p w14:paraId="5300F407" w14:textId="77777777" w:rsidR="00097CA6" w:rsidRDefault="00097CA6" w:rsidP="00C5539D">
      <w:pPr>
        <w:spacing w:line="480" w:lineRule="auto"/>
        <w:ind w:left="0" w:firstLine="0"/>
        <w:rPr>
          <w:rFonts w:ascii="Times New Roman" w:hAnsi="Times New Roman" w:cs="Times New Roman"/>
          <w:sz w:val="22"/>
        </w:rPr>
      </w:pPr>
      <w:r>
        <w:rPr>
          <w:rFonts w:ascii="Times New Roman" w:hAnsi="Times New Roman" w:cs="Times New Roman"/>
          <w:sz w:val="22"/>
        </w:rPr>
        <w:t>Certain special purpose vehicles (SPV) were</w:t>
      </w:r>
      <w:r w:rsidR="002A199A">
        <w:rPr>
          <w:rFonts w:ascii="Times New Roman" w:hAnsi="Times New Roman" w:cs="Times New Roman"/>
          <w:sz w:val="22"/>
        </w:rPr>
        <w:t xml:space="preserve"> created by BBBEE beneficiaries solely for the purpose of acquiring shares in a company seeking BBBEE partnership</w:t>
      </w:r>
      <w:r w:rsidR="005A4BD4">
        <w:rPr>
          <w:rFonts w:ascii="Times New Roman" w:hAnsi="Times New Roman" w:cs="Times New Roman"/>
          <w:sz w:val="22"/>
        </w:rPr>
        <w:t xml:space="preserve"> (Van der Nest, </w:t>
      </w:r>
      <w:r w:rsidR="00C5539D">
        <w:rPr>
          <w:rFonts w:ascii="Times New Roman" w:hAnsi="Times New Roman" w:cs="Times New Roman"/>
          <w:sz w:val="22"/>
        </w:rPr>
        <w:t>2004</w:t>
      </w:r>
      <w:r w:rsidR="005A4BD4" w:rsidRPr="005A4BD4">
        <w:rPr>
          <w:rFonts w:ascii="Times New Roman" w:hAnsi="Times New Roman" w:cs="Times New Roman"/>
          <w:sz w:val="22"/>
        </w:rPr>
        <w:t>)</w:t>
      </w:r>
      <w:r w:rsidR="002A199A">
        <w:rPr>
          <w:rFonts w:ascii="Times New Roman" w:hAnsi="Times New Roman" w:cs="Times New Roman"/>
          <w:sz w:val="22"/>
        </w:rPr>
        <w:t>. As such, the</w:t>
      </w:r>
      <w:r w:rsidR="005A4BD4">
        <w:rPr>
          <w:rFonts w:ascii="Times New Roman" w:hAnsi="Times New Roman" w:cs="Times New Roman"/>
          <w:sz w:val="22"/>
        </w:rPr>
        <w:t xml:space="preserve"> BBBEE</w:t>
      </w:r>
      <w:r w:rsidR="002A199A">
        <w:rPr>
          <w:rFonts w:ascii="Times New Roman" w:hAnsi="Times New Roman" w:cs="Times New Roman"/>
          <w:sz w:val="22"/>
        </w:rPr>
        <w:t xml:space="preserve"> transaction would be entered into between the SPV and the company issuing the shares</w:t>
      </w:r>
      <w:r>
        <w:rPr>
          <w:rFonts w:ascii="Times New Roman" w:hAnsi="Times New Roman" w:cs="Times New Roman"/>
          <w:sz w:val="22"/>
        </w:rPr>
        <w:t xml:space="preserve"> to which the SPV would subscribe</w:t>
      </w:r>
      <w:r w:rsidR="002A199A">
        <w:rPr>
          <w:rFonts w:ascii="Times New Roman" w:hAnsi="Times New Roman" w:cs="Times New Roman"/>
          <w:sz w:val="22"/>
        </w:rPr>
        <w:t>. Banks and oth</w:t>
      </w:r>
      <w:r>
        <w:rPr>
          <w:rFonts w:ascii="Times New Roman" w:hAnsi="Times New Roman" w:cs="Times New Roman"/>
          <w:sz w:val="22"/>
        </w:rPr>
        <w:t>er financial institutions would then provide the SPV with the required funding so as</w:t>
      </w:r>
      <w:r w:rsidR="0013279B">
        <w:rPr>
          <w:rFonts w:ascii="Times New Roman" w:hAnsi="Times New Roman" w:cs="Times New Roman"/>
          <w:sz w:val="22"/>
        </w:rPr>
        <w:t xml:space="preserve"> to allow </w:t>
      </w:r>
      <w:r>
        <w:rPr>
          <w:rFonts w:ascii="Times New Roman" w:hAnsi="Times New Roman" w:cs="Times New Roman"/>
          <w:sz w:val="22"/>
        </w:rPr>
        <w:t>them</w:t>
      </w:r>
      <w:r w:rsidR="0013279B">
        <w:rPr>
          <w:rFonts w:ascii="Times New Roman" w:hAnsi="Times New Roman" w:cs="Times New Roman"/>
          <w:sz w:val="22"/>
        </w:rPr>
        <w:t xml:space="preserve"> to acquire shares in the issuing company</w:t>
      </w:r>
      <w:r w:rsidR="005A4BD4">
        <w:rPr>
          <w:rFonts w:ascii="Times New Roman" w:hAnsi="Times New Roman" w:cs="Times New Roman"/>
          <w:sz w:val="22"/>
        </w:rPr>
        <w:t xml:space="preserve"> (</w:t>
      </w:r>
      <w:r w:rsidR="00C33190">
        <w:rPr>
          <w:rFonts w:ascii="Times New Roman" w:hAnsi="Times New Roman" w:cs="Times New Roman"/>
          <w:sz w:val="22"/>
        </w:rPr>
        <w:t>Batchelor &amp; Dunne, 1999)</w:t>
      </w:r>
      <w:r w:rsidR="0013279B">
        <w:rPr>
          <w:rFonts w:ascii="Times New Roman" w:hAnsi="Times New Roman" w:cs="Times New Roman"/>
          <w:sz w:val="22"/>
        </w:rPr>
        <w:t xml:space="preserve">. </w:t>
      </w:r>
      <w:r>
        <w:rPr>
          <w:rFonts w:ascii="Times New Roman" w:hAnsi="Times New Roman" w:cs="Times New Roman"/>
          <w:sz w:val="22"/>
        </w:rPr>
        <w:t>The most common form of financing being a</w:t>
      </w:r>
      <w:r w:rsidR="0013279B">
        <w:rPr>
          <w:rFonts w:ascii="Times New Roman" w:hAnsi="Times New Roman" w:cs="Times New Roman"/>
          <w:sz w:val="22"/>
        </w:rPr>
        <w:t xml:space="preserve"> 100% loan provided by the financial institution</w:t>
      </w:r>
      <w:r w:rsidR="00C33190">
        <w:rPr>
          <w:rFonts w:ascii="Times New Roman" w:hAnsi="Times New Roman" w:cs="Times New Roman"/>
          <w:sz w:val="22"/>
        </w:rPr>
        <w:t xml:space="preserve"> </w:t>
      </w:r>
      <w:r w:rsidR="00C33190" w:rsidRPr="00C33190">
        <w:rPr>
          <w:rFonts w:ascii="Times New Roman" w:hAnsi="Times New Roman" w:cs="Times New Roman"/>
          <w:sz w:val="22"/>
        </w:rPr>
        <w:t>(Nhlapo, 2008)</w:t>
      </w:r>
      <w:r w:rsidR="0013279B">
        <w:rPr>
          <w:rFonts w:ascii="Times New Roman" w:hAnsi="Times New Roman" w:cs="Times New Roman"/>
          <w:sz w:val="22"/>
        </w:rPr>
        <w:t>.</w:t>
      </w:r>
      <w:r w:rsidR="009C3D4B">
        <w:rPr>
          <w:rFonts w:ascii="Times New Roman" w:hAnsi="Times New Roman" w:cs="Times New Roman"/>
          <w:sz w:val="22"/>
        </w:rPr>
        <w:t xml:space="preserve"> Other forms of financing came through the use of instruments such as: mezzanine debt, vendor financing, notional loans, a</w:t>
      </w:r>
      <w:r>
        <w:rPr>
          <w:rFonts w:ascii="Times New Roman" w:hAnsi="Times New Roman" w:cs="Times New Roman"/>
          <w:sz w:val="22"/>
        </w:rPr>
        <w:t xml:space="preserve">s well as other senior debt instruments </w:t>
      </w:r>
      <w:r w:rsidR="009036E6">
        <w:rPr>
          <w:rFonts w:ascii="Times New Roman" w:hAnsi="Times New Roman" w:cs="Times New Roman"/>
          <w:sz w:val="22"/>
        </w:rPr>
        <w:t>(Gradidge, 2009)</w:t>
      </w:r>
      <w:r w:rsidR="009C3D4B">
        <w:rPr>
          <w:rFonts w:ascii="Times New Roman" w:hAnsi="Times New Roman" w:cs="Times New Roman"/>
          <w:sz w:val="22"/>
        </w:rPr>
        <w:t>.</w:t>
      </w:r>
    </w:p>
    <w:p w14:paraId="669E897B" w14:textId="77777777" w:rsidR="005332A1" w:rsidRDefault="009C3D4B" w:rsidP="00536234">
      <w:pPr>
        <w:spacing w:line="480" w:lineRule="auto"/>
        <w:ind w:left="0" w:firstLine="0"/>
        <w:rPr>
          <w:rFonts w:ascii="Times New Roman" w:hAnsi="Times New Roman" w:cs="Times New Roman"/>
          <w:sz w:val="22"/>
        </w:rPr>
      </w:pPr>
      <w:r>
        <w:rPr>
          <w:rFonts w:ascii="Times New Roman" w:hAnsi="Times New Roman" w:cs="Times New Roman"/>
          <w:sz w:val="22"/>
        </w:rPr>
        <w:t>In th</w:t>
      </w:r>
      <w:r w:rsidR="00097CA6">
        <w:rPr>
          <w:rFonts w:ascii="Times New Roman" w:hAnsi="Times New Roman" w:cs="Times New Roman"/>
          <w:sz w:val="22"/>
        </w:rPr>
        <w:t xml:space="preserve">e case of a loan, the loan </w:t>
      </w:r>
      <w:r w:rsidR="00002C0E">
        <w:rPr>
          <w:rFonts w:ascii="Times New Roman" w:hAnsi="Times New Roman" w:cs="Times New Roman"/>
          <w:sz w:val="22"/>
        </w:rPr>
        <w:t>would</w:t>
      </w:r>
      <w:r w:rsidR="0013279B">
        <w:rPr>
          <w:rFonts w:ascii="Times New Roman" w:hAnsi="Times New Roman" w:cs="Times New Roman"/>
          <w:sz w:val="22"/>
        </w:rPr>
        <w:t xml:space="preserve"> be provided in exchange for preference shares issued by the SPV </w:t>
      </w:r>
      <w:r w:rsidR="00C5539D">
        <w:rPr>
          <w:rFonts w:ascii="Times New Roman" w:hAnsi="Times New Roman" w:cs="Times New Roman"/>
          <w:sz w:val="22"/>
        </w:rPr>
        <w:t xml:space="preserve">and </w:t>
      </w:r>
      <w:r w:rsidR="0013279B">
        <w:rPr>
          <w:rFonts w:ascii="Times New Roman" w:hAnsi="Times New Roman" w:cs="Times New Roman"/>
          <w:sz w:val="22"/>
        </w:rPr>
        <w:t>in the name of the financial institution</w:t>
      </w:r>
      <w:r w:rsidR="00C33190">
        <w:rPr>
          <w:rFonts w:ascii="Times New Roman" w:hAnsi="Times New Roman" w:cs="Times New Roman"/>
          <w:sz w:val="22"/>
        </w:rPr>
        <w:t xml:space="preserve"> </w:t>
      </w:r>
      <w:r w:rsidR="00C33190" w:rsidRPr="00C33190">
        <w:rPr>
          <w:rFonts w:ascii="Times New Roman" w:hAnsi="Times New Roman" w:cs="Times New Roman"/>
          <w:sz w:val="22"/>
        </w:rPr>
        <w:t>(Nhlapo, 2008)</w:t>
      </w:r>
      <w:r w:rsidR="0013279B">
        <w:rPr>
          <w:rFonts w:ascii="Times New Roman" w:hAnsi="Times New Roman" w:cs="Times New Roman"/>
          <w:sz w:val="22"/>
        </w:rPr>
        <w:t xml:space="preserve">. This </w:t>
      </w:r>
      <w:r w:rsidR="00C5539D">
        <w:rPr>
          <w:rFonts w:ascii="Times New Roman" w:hAnsi="Times New Roman" w:cs="Times New Roman"/>
          <w:sz w:val="22"/>
        </w:rPr>
        <w:t>ensured</w:t>
      </w:r>
      <w:r w:rsidR="00132EF9">
        <w:rPr>
          <w:rFonts w:ascii="Times New Roman" w:hAnsi="Times New Roman" w:cs="Times New Roman"/>
          <w:sz w:val="22"/>
        </w:rPr>
        <w:t xml:space="preserve"> that</w:t>
      </w:r>
      <w:r w:rsidR="0013279B">
        <w:rPr>
          <w:rFonts w:ascii="Times New Roman" w:hAnsi="Times New Roman" w:cs="Times New Roman"/>
          <w:sz w:val="22"/>
        </w:rPr>
        <w:t xml:space="preserve"> the original BBBEE beneficiary institutions, or natural persons, </w:t>
      </w:r>
      <w:r w:rsidR="00097CA6">
        <w:rPr>
          <w:rFonts w:ascii="Times New Roman" w:hAnsi="Times New Roman" w:cs="Times New Roman"/>
          <w:sz w:val="22"/>
        </w:rPr>
        <w:t>retained</w:t>
      </w:r>
      <w:r w:rsidR="0013279B">
        <w:rPr>
          <w:rFonts w:ascii="Times New Roman" w:hAnsi="Times New Roman" w:cs="Times New Roman"/>
          <w:sz w:val="22"/>
        </w:rPr>
        <w:t xml:space="preserve"> full control of the SPV in the form of ordinary shares held by them</w:t>
      </w:r>
      <w:r w:rsidR="00C33190">
        <w:rPr>
          <w:rFonts w:ascii="Times New Roman" w:hAnsi="Times New Roman" w:cs="Times New Roman"/>
          <w:sz w:val="22"/>
        </w:rPr>
        <w:t xml:space="preserve"> </w:t>
      </w:r>
      <w:r w:rsidR="00C33190" w:rsidRPr="00C33190">
        <w:rPr>
          <w:rFonts w:ascii="Times New Roman" w:hAnsi="Times New Roman" w:cs="Times New Roman"/>
          <w:sz w:val="22"/>
        </w:rPr>
        <w:t>(Nhlapo, 2008)</w:t>
      </w:r>
      <w:r w:rsidR="0013279B">
        <w:rPr>
          <w:rFonts w:ascii="Times New Roman" w:hAnsi="Times New Roman" w:cs="Times New Roman"/>
          <w:sz w:val="22"/>
        </w:rPr>
        <w:t xml:space="preserve">. The terms of the preference shares held by the financial institution </w:t>
      </w:r>
      <w:r w:rsidR="00002C0E">
        <w:rPr>
          <w:rFonts w:ascii="Times New Roman" w:hAnsi="Times New Roman" w:cs="Times New Roman"/>
          <w:sz w:val="22"/>
        </w:rPr>
        <w:t>provided</w:t>
      </w:r>
      <w:r w:rsidR="0013279B">
        <w:rPr>
          <w:rFonts w:ascii="Times New Roman" w:hAnsi="Times New Roman" w:cs="Times New Roman"/>
          <w:sz w:val="22"/>
        </w:rPr>
        <w:t xml:space="preserve"> for redeemable preference shares </w:t>
      </w:r>
      <w:r w:rsidR="00002C0E">
        <w:rPr>
          <w:rFonts w:ascii="Times New Roman" w:hAnsi="Times New Roman" w:cs="Times New Roman"/>
          <w:sz w:val="22"/>
        </w:rPr>
        <w:t>which entitled</w:t>
      </w:r>
      <w:r w:rsidR="0013279B">
        <w:rPr>
          <w:rFonts w:ascii="Times New Roman" w:hAnsi="Times New Roman" w:cs="Times New Roman"/>
          <w:sz w:val="22"/>
        </w:rPr>
        <w:t xml:space="preserve"> them to a contractually agreed upon dividend to be paid</w:t>
      </w:r>
      <w:r w:rsidR="00C5539D">
        <w:rPr>
          <w:rFonts w:ascii="Times New Roman" w:hAnsi="Times New Roman" w:cs="Times New Roman"/>
          <w:sz w:val="22"/>
        </w:rPr>
        <w:t xml:space="preserve"> out</w:t>
      </w:r>
      <w:r w:rsidR="0013279B">
        <w:rPr>
          <w:rFonts w:ascii="Times New Roman" w:hAnsi="Times New Roman" w:cs="Times New Roman"/>
          <w:sz w:val="22"/>
        </w:rPr>
        <w:t xml:space="preserve"> by the SPV</w:t>
      </w:r>
      <w:r w:rsidR="00C33190">
        <w:rPr>
          <w:rFonts w:ascii="Times New Roman" w:hAnsi="Times New Roman" w:cs="Times New Roman"/>
          <w:sz w:val="22"/>
        </w:rPr>
        <w:t xml:space="preserve"> </w:t>
      </w:r>
      <w:r w:rsidR="00C33190" w:rsidRPr="00C33190">
        <w:rPr>
          <w:rFonts w:ascii="Times New Roman" w:hAnsi="Times New Roman" w:cs="Times New Roman"/>
          <w:sz w:val="22"/>
        </w:rPr>
        <w:t>(Nhlapo, 2008)</w:t>
      </w:r>
      <w:r w:rsidR="0013279B">
        <w:rPr>
          <w:rFonts w:ascii="Times New Roman" w:hAnsi="Times New Roman" w:cs="Times New Roman"/>
          <w:sz w:val="22"/>
        </w:rPr>
        <w:t>. This contractually agreed upon dividend rate w</w:t>
      </w:r>
      <w:r w:rsidR="00002C0E">
        <w:rPr>
          <w:rFonts w:ascii="Times New Roman" w:hAnsi="Times New Roman" w:cs="Times New Roman"/>
          <w:sz w:val="22"/>
        </w:rPr>
        <w:t>as</w:t>
      </w:r>
      <w:r w:rsidR="0013279B">
        <w:rPr>
          <w:rFonts w:ascii="Times New Roman" w:hAnsi="Times New Roman" w:cs="Times New Roman"/>
          <w:sz w:val="22"/>
        </w:rPr>
        <w:t xml:space="preserve"> commonly expressed as a percentage of the prime lending rate</w:t>
      </w:r>
      <w:r w:rsidR="00002C0E">
        <w:rPr>
          <w:rFonts w:ascii="Times New Roman" w:hAnsi="Times New Roman" w:cs="Times New Roman"/>
          <w:sz w:val="22"/>
        </w:rPr>
        <w:t xml:space="preserve"> at the time</w:t>
      </w:r>
      <w:r w:rsidR="00C5539D">
        <w:rPr>
          <w:rFonts w:ascii="Times New Roman" w:hAnsi="Times New Roman" w:cs="Times New Roman"/>
          <w:sz w:val="22"/>
        </w:rPr>
        <w:t xml:space="preserve"> of entering into the contract</w:t>
      </w:r>
      <w:r w:rsidR="00C33190">
        <w:rPr>
          <w:rFonts w:ascii="Times New Roman" w:hAnsi="Times New Roman" w:cs="Times New Roman"/>
          <w:sz w:val="22"/>
        </w:rPr>
        <w:t xml:space="preserve"> </w:t>
      </w:r>
      <w:r w:rsidR="00C33190" w:rsidRPr="00C33190">
        <w:rPr>
          <w:rFonts w:ascii="Times New Roman" w:hAnsi="Times New Roman" w:cs="Times New Roman"/>
          <w:sz w:val="22"/>
        </w:rPr>
        <w:t>(Nhlapo, 2008)</w:t>
      </w:r>
      <w:r w:rsidR="0013279B">
        <w:rPr>
          <w:rFonts w:ascii="Times New Roman" w:hAnsi="Times New Roman" w:cs="Times New Roman"/>
          <w:sz w:val="22"/>
        </w:rPr>
        <w:t xml:space="preserve">. </w:t>
      </w:r>
      <w:r w:rsidR="005332A1">
        <w:rPr>
          <w:rFonts w:ascii="Times New Roman" w:hAnsi="Times New Roman" w:cs="Times New Roman"/>
          <w:sz w:val="22"/>
        </w:rPr>
        <w:t xml:space="preserve">Dividends paid out by the issuing company seeking BBBEE credentials </w:t>
      </w:r>
      <w:r w:rsidR="00002C0E">
        <w:rPr>
          <w:rFonts w:ascii="Times New Roman" w:hAnsi="Times New Roman" w:cs="Times New Roman"/>
          <w:sz w:val="22"/>
        </w:rPr>
        <w:t>would</w:t>
      </w:r>
      <w:r w:rsidR="00C5539D">
        <w:rPr>
          <w:rFonts w:ascii="Times New Roman" w:hAnsi="Times New Roman" w:cs="Times New Roman"/>
          <w:sz w:val="22"/>
        </w:rPr>
        <w:t xml:space="preserve"> then</w:t>
      </w:r>
      <w:r w:rsidR="005332A1">
        <w:rPr>
          <w:rFonts w:ascii="Times New Roman" w:hAnsi="Times New Roman" w:cs="Times New Roman"/>
          <w:sz w:val="22"/>
        </w:rPr>
        <w:t xml:space="preserve"> </w:t>
      </w:r>
      <w:r w:rsidR="00002C0E">
        <w:rPr>
          <w:rFonts w:ascii="Times New Roman" w:hAnsi="Times New Roman" w:cs="Times New Roman"/>
          <w:sz w:val="22"/>
        </w:rPr>
        <w:t>b</w:t>
      </w:r>
      <w:r w:rsidR="005332A1">
        <w:rPr>
          <w:rFonts w:ascii="Times New Roman" w:hAnsi="Times New Roman" w:cs="Times New Roman"/>
          <w:sz w:val="22"/>
        </w:rPr>
        <w:t>e paid out to the SPV and w</w:t>
      </w:r>
      <w:r w:rsidR="00002C0E">
        <w:rPr>
          <w:rFonts w:ascii="Times New Roman" w:hAnsi="Times New Roman" w:cs="Times New Roman"/>
          <w:sz w:val="22"/>
        </w:rPr>
        <w:t>ould</w:t>
      </w:r>
      <w:r w:rsidR="005332A1">
        <w:rPr>
          <w:rFonts w:ascii="Times New Roman" w:hAnsi="Times New Roman" w:cs="Times New Roman"/>
          <w:sz w:val="22"/>
        </w:rPr>
        <w:t xml:space="preserve"> be used by the SPV to pay the preference share dividend owed to the financial institution</w:t>
      </w:r>
      <w:r w:rsidR="00002C0E">
        <w:rPr>
          <w:rFonts w:ascii="Times New Roman" w:hAnsi="Times New Roman" w:cs="Times New Roman"/>
          <w:sz w:val="22"/>
        </w:rPr>
        <w:t xml:space="preserve"> </w:t>
      </w:r>
      <w:r w:rsidR="00002C0E" w:rsidRPr="00002C0E">
        <w:rPr>
          <w:rFonts w:ascii="Times New Roman" w:hAnsi="Times New Roman" w:cs="Times New Roman"/>
          <w:sz w:val="22"/>
        </w:rPr>
        <w:t>(Nhlapo, 2008</w:t>
      </w:r>
      <w:r w:rsidR="00002C0E">
        <w:rPr>
          <w:rFonts w:ascii="Times New Roman" w:hAnsi="Times New Roman" w:cs="Times New Roman"/>
          <w:sz w:val="22"/>
        </w:rPr>
        <w:t>)</w:t>
      </w:r>
      <w:r w:rsidR="005332A1">
        <w:rPr>
          <w:rFonts w:ascii="Times New Roman" w:hAnsi="Times New Roman" w:cs="Times New Roman"/>
          <w:sz w:val="22"/>
        </w:rPr>
        <w:t xml:space="preserve">. </w:t>
      </w:r>
    </w:p>
    <w:p w14:paraId="6B0D24D3" w14:textId="77777777" w:rsidR="005332A1" w:rsidRDefault="005332A1" w:rsidP="00536234">
      <w:pPr>
        <w:spacing w:line="480" w:lineRule="auto"/>
        <w:ind w:left="0" w:firstLine="0"/>
        <w:rPr>
          <w:rFonts w:ascii="Times New Roman" w:hAnsi="Times New Roman" w:cs="Times New Roman"/>
          <w:sz w:val="22"/>
        </w:rPr>
      </w:pPr>
      <w:r>
        <w:rPr>
          <w:rFonts w:ascii="Times New Roman" w:hAnsi="Times New Roman" w:cs="Times New Roman"/>
          <w:sz w:val="22"/>
        </w:rPr>
        <w:t>Many other m</w:t>
      </w:r>
      <w:r w:rsidR="00002C0E">
        <w:rPr>
          <w:rFonts w:ascii="Times New Roman" w:hAnsi="Times New Roman" w:cs="Times New Roman"/>
          <w:sz w:val="22"/>
        </w:rPr>
        <w:t>ethods</w:t>
      </w:r>
      <w:r>
        <w:rPr>
          <w:rFonts w:ascii="Times New Roman" w:hAnsi="Times New Roman" w:cs="Times New Roman"/>
          <w:sz w:val="22"/>
        </w:rPr>
        <w:t xml:space="preserve"> were also used to f</w:t>
      </w:r>
      <w:r w:rsidR="00C5539D">
        <w:rPr>
          <w:rFonts w:ascii="Times New Roman" w:hAnsi="Times New Roman" w:cs="Times New Roman"/>
          <w:sz w:val="22"/>
        </w:rPr>
        <w:t>und</w:t>
      </w:r>
      <w:r>
        <w:rPr>
          <w:rFonts w:ascii="Times New Roman" w:hAnsi="Times New Roman" w:cs="Times New Roman"/>
          <w:sz w:val="22"/>
        </w:rPr>
        <w:t xml:space="preserve"> SPVs, with funding provided by financial institutions not the only option </w:t>
      </w:r>
      <w:r w:rsidR="00002C0E">
        <w:rPr>
          <w:rFonts w:ascii="Times New Roman" w:hAnsi="Times New Roman" w:cs="Times New Roman"/>
          <w:sz w:val="22"/>
        </w:rPr>
        <w:t>available to beneficiaries</w:t>
      </w:r>
      <w:r>
        <w:rPr>
          <w:rFonts w:ascii="Times New Roman" w:hAnsi="Times New Roman" w:cs="Times New Roman"/>
          <w:sz w:val="22"/>
        </w:rPr>
        <w:t>. Other such measures include</w:t>
      </w:r>
      <w:r w:rsidR="00002C0E">
        <w:rPr>
          <w:rFonts w:ascii="Times New Roman" w:hAnsi="Times New Roman" w:cs="Times New Roman"/>
          <w:sz w:val="22"/>
        </w:rPr>
        <w:t>d</w:t>
      </w:r>
      <w:r>
        <w:rPr>
          <w:rFonts w:ascii="Times New Roman" w:hAnsi="Times New Roman" w:cs="Times New Roman"/>
          <w:sz w:val="22"/>
        </w:rPr>
        <w:t xml:space="preserve"> the creation of various SPVs in which assets would be sold between these various SPVs,</w:t>
      </w:r>
      <w:r w:rsidR="00C5539D">
        <w:rPr>
          <w:rFonts w:ascii="Times New Roman" w:hAnsi="Times New Roman" w:cs="Times New Roman"/>
          <w:sz w:val="22"/>
        </w:rPr>
        <w:t xml:space="preserve"> and</w:t>
      </w:r>
      <w:r>
        <w:rPr>
          <w:rFonts w:ascii="Times New Roman" w:hAnsi="Times New Roman" w:cs="Times New Roman"/>
          <w:sz w:val="22"/>
        </w:rPr>
        <w:t xml:space="preserve"> on a regular basis</w:t>
      </w:r>
      <w:r w:rsidR="00002C0E">
        <w:rPr>
          <w:rFonts w:ascii="Times New Roman" w:hAnsi="Times New Roman" w:cs="Times New Roman"/>
          <w:sz w:val="22"/>
        </w:rPr>
        <w:t xml:space="preserve"> so as</w:t>
      </w:r>
      <w:r>
        <w:rPr>
          <w:rFonts w:ascii="Times New Roman" w:hAnsi="Times New Roman" w:cs="Times New Roman"/>
          <w:sz w:val="22"/>
        </w:rPr>
        <w:t xml:space="preserve"> to fund the transaction</w:t>
      </w:r>
      <w:r w:rsidR="00F849FE">
        <w:rPr>
          <w:rFonts w:ascii="Times New Roman" w:hAnsi="Times New Roman" w:cs="Times New Roman"/>
          <w:sz w:val="22"/>
        </w:rPr>
        <w:t xml:space="preserve"> </w:t>
      </w:r>
      <w:r w:rsidR="00C33190" w:rsidRPr="00C33190">
        <w:rPr>
          <w:rFonts w:ascii="Times New Roman" w:hAnsi="Times New Roman" w:cs="Times New Roman"/>
          <w:sz w:val="22"/>
        </w:rPr>
        <w:t>(Nhlapo, 2008</w:t>
      </w:r>
      <w:r w:rsidR="00675F64">
        <w:rPr>
          <w:rFonts w:ascii="Times New Roman" w:hAnsi="Times New Roman" w:cs="Times New Roman"/>
          <w:sz w:val="22"/>
        </w:rPr>
        <w:t>; Plaatjies, 2014</w:t>
      </w:r>
      <w:r w:rsidR="00C33190" w:rsidRPr="00C33190">
        <w:rPr>
          <w:rFonts w:ascii="Times New Roman" w:hAnsi="Times New Roman" w:cs="Times New Roman"/>
          <w:sz w:val="22"/>
        </w:rPr>
        <w:t>)</w:t>
      </w:r>
      <w:r w:rsidR="00F849FE">
        <w:rPr>
          <w:rFonts w:ascii="Times New Roman" w:hAnsi="Times New Roman" w:cs="Times New Roman"/>
          <w:sz w:val="22"/>
        </w:rPr>
        <w:t>.</w:t>
      </w:r>
      <w:r>
        <w:rPr>
          <w:rFonts w:ascii="Times New Roman" w:hAnsi="Times New Roman" w:cs="Times New Roman"/>
          <w:sz w:val="22"/>
        </w:rPr>
        <w:t xml:space="preserve"> </w:t>
      </w:r>
      <w:r w:rsidR="00FE07C1">
        <w:rPr>
          <w:rFonts w:ascii="Times New Roman" w:hAnsi="Times New Roman" w:cs="Times New Roman"/>
          <w:sz w:val="22"/>
        </w:rPr>
        <w:t xml:space="preserve"> </w:t>
      </w:r>
    </w:p>
    <w:p w14:paraId="724A9721" w14:textId="77777777" w:rsidR="005332A1" w:rsidRPr="00A14BA6" w:rsidRDefault="008A0FCE" w:rsidP="00536234">
      <w:pPr>
        <w:pStyle w:val="Heading3"/>
        <w:ind w:left="0"/>
        <w:rPr>
          <w:rFonts w:ascii="Times New Roman" w:hAnsi="Times New Roman" w:cs="Times New Roman"/>
          <w:i/>
          <w:color w:val="auto"/>
          <w:sz w:val="22"/>
        </w:rPr>
      </w:pPr>
      <w:bookmarkStart w:id="28" w:name="_Toc506717774"/>
      <w:r>
        <w:rPr>
          <w:rFonts w:ascii="Times New Roman" w:hAnsi="Times New Roman" w:cs="Times New Roman"/>
          <w:i/>
          <w:color w:val="auto"/>
          <w:sz w:val="22"/>
        </w:rPr>
        <w:lastRenderedPageBreak/>
        <w:t>2.3.2.2</w:t>
      </w:r>
      <w:r>
        <w:rPr>
          <w:rFonts w:ascii="Times New Roman" w:hAnsi="Times New Roman" w:cs="Times New Roman"/>
          <w:i/>
          <w:color w:val="auto"/>
          <w:sz w:val="22"/>
        </w:rPr>
        <w:tab/>
      </w:r>
      <w:r w:rsidR="005332A1" w:rsidRPr="00A14BA6">
        <w:rPr>
          <w:rFonts w:ascii="Times New Roman" w:hAnsi="Times New Roman" w:cs="Times New Roman"/>
          <w:i/>
          <w:color w:val="auto"/>
          <w:sz w:val="22"/>
        </w:rPr>
        <w:t>Others Funding Models</w:t>
      </w:r>
      <w:bookmarkEnd w:id="28"/>
    </w:p>
    <w:p w14:paraId="3294BD28" w14:textId="77777777" w:rsidR="005332A1" w:rsidRDefault="005332A1"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While SPV’s were the most common form of financing used by beneficiaries to acquire shares in issuing companies, </w:t>
      </w:r>
      <w:r w:rsidR="00002C0E">
        <w:rPr>
          <w:rFonts w:ascii="Times New Roman" w:hAnsi="Times New Roman" w:cs="Times New Roman"/>
          <w:sz w:val="22"/>
        </w:rPr>
        <w:t xml:space="preserve">various </w:t>
      </w:r>
      <w:r w:rsidR="00FE07C1">
        <w:rPr>
          <w:rFonts w:ascii="Times New Roman" w:hAnsi="Times New Roman" w:cs="Times New Roman"/>
          <w:sz w:val="22"/>
        </w:rPr>
        <w:t xml:space="preserve">other models </w:t>
      </w:r>
      <w:r w:rsidR="00002C0E">
        <w:rPr>
          <w:rFonts w:ascii="Times New Roman" w:hAnsi="Times New Roman" w:cs="Times New Roman"/>
          <w:sz w:val="22"/>
        </w:rPr>
        <w:t>were also used to</w:t>
      </w:r>
      <w:r w:rsidR="00FE07C1">
        <w:rPr>
          <w:rFonts w:ascii="Times New Roman" w:hAnsi="Times New Roman" w:cs="Times New Roman"/>
          <w:sz w:val="22"/>
        </w:rPr>
        <w:t xml:space="preserve"> fund this type of transaction</w:t>
      </w:r>
      <w:r w:rsidR="00C33190">
        <w:rPr>
          <w:rFonts w:ascii="Times New Roman" w:hAnsi="Times New Roman" w:cs="Times New Roman"/>
          <w:sz w:val="22"/>
        </w:rPr>
        <w:t xml:space="preserve"> (Oyewole, 1996</w:t>
      </w:r>
      <w:r w:rsidR="00675F64">
        <w:rPr>
          <w:rFonts w:ascii="Times New Roman" w:hAnsi="Times New Roman" w:cs="Times New Roman"/>
          <w:sz w:val="22"/>
        </w:rPr>
        <w:t>; Plaatjies, 2014</w:t>
      </w:r>
      <w:r w:rsidR="00C33190" w:rsidRPr="00C33190">
        <w:rPr>
          <w:rFonts w:ascii="Times New Roman" w:hAnsi="Times New Roman" w:cs="Times New Roman"/>
          <w:sz w:val="22"/>
        </w:rPr>
        <w:t>)</w:t>
      </w:r>
      <w:r w:rsidR="00FE07C1">
        <w:rPr>
          <w:rFonts w:ascii="Times New Roman" w:hAnsi="Times New Roman" w:cs="Times New Roman"/>
          <w:sz w:val="22"/>
        </w:rPr>
        <w:t>.</w:t>
      </w:r>
      <w:r w:rsidR="007F3189">
        <w:rPr>
          <w:rFonts w:ascii="Times New Roman" w:hAnsi="Times New Roman" w:cs="Times New Roman"/>
          <w:sz w:val="22"/>
        </w:rPr>
        <w:t xml:space="preserve"> It was also not uncommon for the primary SPV structure</w:t>
      </w:r>
      <w:r w:rsidR="00C5539D">
        <w:rPr>
          <w:rFonts w:ascii="Times New Roman" w:hAnsi="Times New Roman" w:cs="Times New Roman"/>
          <w:sz w:val="22"/>
        </w:rPr>
        <w:t>,</w:t>
      </w:r>
      <w:r w:rsidR="007F3189">
        <w:rPr>
          <w:rFonts w:ascii="Times New Roman" w:hAnsi="Times New Roman" w:cs="Times New Roman"/>
          <w:sz w:val="22"/>
        </w:rPr>
        <w:t xml:space="preserve"> as described above</w:t>
      </w:r>
      <w:r w:rsidR="00C5539D">
        <w:rPr>
          <w:rFonts w:ascii="Times New Roman" w:hAnsi="Times New Roman" w:cs="Times New Roman"/>
          <w:sz w:val="22"/>
        </w:rPr>
        <w:t>,</w:t>
      </w:r>
      <w:r w:rsidR="007F3189">
        <w:rPr>
          <w:rFonts w:ascii="Times New Roman" w:hAnsi="Times New Roman" w:cs="Times New Roman"/>
          <w:sz w:val="22"/>
        </w:rPr>
        <w:t xml:space="preserve"> to have been combined with other funding methods.</w:t>
      </w:r>
      <w:r w:rsidR="00C33190">
        <w:rPr>
          <w:rFonts w:ascii="Times New Roman" w:hAnsi="Times New Roman" w:cs="Times New Roman"/>
          <w:sz w:val="22"/>
        </w:rPr>
        <w:t xml:space="preserve"> </w:t>
      </w:r>
      <w:r w:rsidR="00C5539D">
        <w:rPr>
          <w:rFonts w:ascii="Times New Roman" w:hAnsi="Times New Roman" w:cs="Times New Roman"/>
          <w:sz w:val="22"/>
        </w:rPr>
        <w:t xml:space="preserve"> These t</w:t>
      </w:r>
      <w:r w:rsidR="00C33190">
        <w:rPr>
          <w:rFonts w:ascii="Times New Roman" w:hAnsi="Times New Roman" w:cs="Times New Roman"/>
          <w:sz w:val="22"/>
        </w:rPr>
        <w:t>hree common alternative</w:t>
      </w:r>
      <w:r w:rsidR="00FE07C1">
        <w:rPr>
          <w:rFonts w:ascii="Times New Roman" w:hAnsi="Times New Roman" w:cs="Times New Roman"/>
          <w:sz w:val="22"/>
        </w:rPr>
        <w:t xml:space="preserve"> forms of financing which were also used throughout this period</w:t>
      </w:r>
      <w:r w:rsidR="00C5539D">
        <w:rPr>
          <w:rFonts w:ascii="Times New Roman" w:hAnsi="Times New Roman" w:cs="Times New Roman"/>
          <w:sz w:val="22"/>
        </w:rPr>
        <w:t>, and commonly combined with an SPV structure,</w:t>
      </w:r>
      <w:r w:rsidR="00C33190">
        <w:rPr>
          <w:rFonts w:ascii="Times New Roman" w:hAnsi="Times New Roman" w:cs="Times New Roman"/>
          <w:sz w:val="22"/>
        </w:rPr>
        <w:t xml:space="preserve"> </w:t>
      </w:r>
      <w:r w:rsidR="007F3189">
        <w:rPr>
          <w:rFonts w:ascii="Times New Roman" w:hAnsi="Times New Roman" w:cs="Times New Roman"/>
          <w:sz w:val="22"/>
        </w:rPr>
        <w:t>will now be discussed</w:t>
      </w:r>
      <w:r w:rsidR="00132EF9">
        <w:rPr>
          <w:rFonts w:ascii="Times New Roman" w:hAnsi="Times New Roman" w:cs="Times New Roman"/>
          <w:sz w:val="22"/>
        </w:rPr>
        <w:t>.</w:t>
      </w:r>
    </w:p>
    <w:p w14:paraId="0F297E3A" w14:textId="77777777" w:rsidR="00FE07C1" w:rsidRDefault="00FE07C1"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first </w:t>
      </w:r>
      <w:r w:rsidR="00C5539D">
        <w:rPr>
          <w:rFonts w:ascii="Times New Roman" w:hAnsi="Times New Roman" w:cs="Times New Roman"/>
          <w:sz w:val="22"/>
        </w:rPr>
        <w:t>such funding model</w:t>
      </w:r>
      <w:r>
        <w:rPr>
          <w:rFonts w:ascii="Times New Roman" w:hAnsi="Times New Roman" w:cs="Times New Roman"/>
          <w:sz w:val="22"/>
        </w:rPr>
        <w:t xml:space="preserve"> </w:t>
      </w:r>
      <w:r w:rsidR="00C5539D">
        <w:rPr>
          <w:rFonts w:ascii="Times New Roman" w:hAnsi="Times New Roman" w:cs="Times New Roman"/>
          <w:sz w:val="22"/>
        </w:rPr>
        <w:t>is</w:t>
      </w:r>
      <w:r>
        <w:rPr>
          <w:rFonts w:ascii="Times New Roman" w:hAnsi="Times New Roman" w:cs="Times New Roman"/>
          <w:sz w:val="22"/>
        </w:rPr>
        <w:t xml:space="preserve"> one which involves equity participation without economic facilitation</w:t>
      </w:r>
      <w:r w:rsidR="00C33190">
        <w:rPr>
          <w:rFonts w:ascii="Times New Roman" w:hAnsi="Times New Roman" w:cs="Times New Roman"/>
          <w:sz w:val="22"/>
        </w:rPr>
        <w:t xml:space="preserve"> (Oyewole, 1996</w:t>
      </w:r>
      <w:r w:rsidR="00675F64">
        <w:rPr>
          <w:rFonts w:ascii="Times New Roman" w:hAnsi="Times New Roman" w:cs="Times New Roman"/>
          <w:sz w:val="22"/>
        </w:rPr>
        <w:t>; Plaatjies, 2014</w:t>
      </w:r>
      <w:r w:rsidR="00C33190" w:rsidRPr="00C33190">
        <w:rPr>
          <w:rFonts w:ascii="Times New Roman" w:hAnsi="Times New Roman" w:cs="Times New Roman"/>
          <w:sz w:val="22"/>
        </w:rPr>
        <w:t>)</w:t>
      </w:r>
      <w:r>
        <w:rPr>
          <w:rFonts w:ascii="Times New Roman" w:hAnsi="Times New Roman" w:cs="Times New Roman"/>
          <w:sz w:val="22"/>
        </w:rPr>
        <w:t xml:space="preserve">. </w:t>
      </w:r>
      <w:r w:rsidR="007168DF">
        <w:rPr>
          <w:rFonts w:ascii="Times New Roman" w:hAnsi="Times New Roman" w:cs="Times New Roman"/>
          <w:sz w:val="22"/>
        </w:rPr>
        <w:t>With this type of financing</w:t>
      </w:r>
      <w:r w:rsidR="0053216A">
        <w:rPr>
          <w:rFonts w:ascii="Times New Roman" w:hAnsi="Times New Roman" w:cs="Times New Roman"/>
          <w:sz w:val="22"/>
        </w:rPr>
        <w:t>,</w:t>
      </w:r>
      <w:r>
        <w:rPr>
          <w:rFonts w:ascii="Times New Roman" w:hAnsi="Times New Roman" w:cs="Times New Roman"/>
          <w:sz w:val="22"/>
        </w:rPr>
        <w:t xml:space="preserve"> BBBEE participant</w:t>
      </w:r>
      <w:r w:rsidR="0053216A">
        <w:rPr>
          <w:rFonts w:ascii="Times New Roman" w:hAnsi="Times New Roman" w:cs="Times New Roman"/>
          <w:sz w:val="22"/>
        </w:rPr>
        <w:t>s</w:t>
      </w:r>
      <w:r>
        <w:rPr>
          <w:rFonts w:ascii="Times New Roman" w:hAnsi="Times New Roman" w:cs="Times New Roman"/>
          <w:sz w:val="22"/>
        </w:rPr>
        <w:t xml:space="preserve"> </w:t>
      </w:r>
      <w:r w:rsidR="007168DF">
        <w:rPr>
          <w:rFonts w:ascii="Times New Roman" w:hAnsi="Times New Roman" w:cs="Times New Roman"/>
          <w:sz w:val="22"/>
        </w:rPr>
        <w:t>purchased</w:t>
      </w:r>
      <w:r>
        <w:rPr>
          <w:rFonts w:ascii="Times New Roman" w:hAnsi="Times New Roman" w:cs="Times New Roman"/>
          <w:sz w:val="22"/>
        </w:rPr>
        <w:t xml:space="preserve"> shares in the issuing company after it h</w:t>
      </w:r>
      <w:r w:rsidR="007168DF">
        <w:rPr>
          <w:rFonts w:ascii="Times New Roman" w:hAnsi="Times New Roman" w:cs="Times New Roman"/>
          <w:sz w:val="22"/>
        </w:rPr>
        <w:t>ad</w:t>
      </w:r>
      <w:r>
        <w:rPr>
          <w:rFonts w:ascii="Times New Roman" w:hAnsi="Times New Roman" w:cs="Times New Roman"/>
          <w:sz w:val="22"/>
        </w:rPr>
        <w:t xml:space="preserve"> formed </w:t>
      </w:r>
      <w:r w:rsidR="007168DF">
        <w:rPr>
          <w:rFonts w:ascii="Times New Roman" w:hAnsi="Times New Roman" w:cs="Times New Roman"/>
          <w:sz w:val="22"/>
        </w:rPr>
        <w:t>the SPV structure described earlier</w:t>
      </w:r>
      <w:r w:rsidR="00C33190">
        <w:rPr>
          <w:rFonts w:ascii="Times New Roman" w:hAnsi="Times New Roman" w:cs="Times New Roman"/>
          <w:sz w:val="22"/>
        </w:rPr>
        <w:t xml:space="preserve"> (Oyewole, 1996</w:t>
      </w:r>
      <w:r w:rsidR="00C33190" w:rsidRPr="00C33190">
        <w:rPr>
          <w:rFonts w:ascii="Times New Roman" w:hAnsi="Times New Roman" w:cs="Times New Roman"/>
          <w:sz w:val="22"/>
        </w:rPr>
        <w:t>)</w:t>
      </w:r>
      <w:r w:rsidR="0053216A">
        <w:rPr>
          <w:rFonts w:ascii="Times New Roman" w:hAnsi="Times New Roman" w:cs="Times New Roman"/>
          <w:sz w:val="22"/>
        </w:rPr>
        <w:t>. However,</w:t>
      </w:r>
      <w:r>
        <w:rPr>
          <w:rFonts w:ascii="Times New Roman" w:hAnsi="Times New Roman" w:cs="Times New Roman"/>
          <w:sz w:val="22"/>
        </w:rPr>
        <w:t xml:space="preserve"> BBBEE beneficiaries </w:t>
      </w:r>
      <w:r w:rsidR="007168DF">
        <w:rPr>
          <w:rFonts w:ascii="Times New Roman" w:hAnsi="Times New Roman" w:cs="Times New Roman"/>
          <w:sz w:val="22"/>
        </w:rPr>
        <w:t>did</w:t>
      </w:r>
      <w:r>
        <w:rPr>
          <w:rFonts w:ascii="Times New Roman" w:hAnsi="Times New Roman" w:cs="Times New Roman"/>
          <w:sz w:val="22"/>
        </w:rPr>
        <w:t xml:space="preserve"> own the SPV at this point in time. This is because the creation of the SPV </w:t>
      </w:r>
      <w:r w:rsidR="00C5539D">
        <w:rPr>
          <w:rFonts w:ascii="Times New Roman" w:hAnsi="Times New Roman" w:cs="Times New Roman"/>
          <w:sz w:val="22"/>
        </w:rPr>
        <w:t>was</w:t>
      </w:r>
      <w:r>
        <w:rPr>
          <w:rFonts w:ascii="Times New Roman" w:hAnsi="Times New Roman" w:cs="Times New Roman"/>
          <w:sz w:val="22"/>
        </w:rPr>
        <w:t xml:space="preserve"> supported by the funding of several private investors. These private investors </w:t>
      </w:r>
      <w:r w:rsidR="00C5539D">
        <w:rPr>
          <w:rFonts w:ascii="Times New Roman" w:hAnsi="Times New Roman" w:cs="Times New Roman"/>
          <w:sz w:val="22"/>
        </w:rPr>
        <w:t>purchased</w:t>
      </w:r>
      <w:r>
        <w:rPr>
          <w:rFonts w:ascii="Times New Roman" w:hAnsi="Times New Roman" w:cs="Times New Roman"/>
          <w:sz w:val="22"/>
        </w:rPr>
        <w:t xml:space="preserve"> Class B shares in the SPV which g</w:t>
      </w:r>
      <w:r w:rsidR="007168DF">
        <w:rPr>
          <w:rFonts w:ascii="Times New Roman" w:hAnsi="Times New Roman" w:cs="Times New Roman"/>
          <w:sz w:val="22"/>
        </w:rPr>
        <w:t>ave</w:t>
      </w:r>
      <w:r>
        <w:rPr>
          <w:rFonts w:ascii="Times New Roman" w:hAnsi="Times New Roman" w:cs="Times New Roman"/>
          <w:sz w:val="22"/>
        </w:rPr>
        <w:t xml:space="preserve"> them right to the economic benefits generated</w:t>
      </w:r>
      <w:r w:rsidR="00C5539D">
        <w:rPr>
          <w:rFonts w:ascii="Times New Roman" w:hAnsi="Times New Roman" w:cs="Times New Roman"/>
          <w:sz w:val="22"/>
        </w:rPr>
        <w:t xml:space="preserve"> by the SPV,</w:t>
      </w:r>
      <w:r>
        <w:rPr>
          <w:rFonts w:ascii="Times New Roman" w:hAnsi="Times New Roman" w:cs="Times New Roman"/>
          <w:sz w:val="22"/>
        </w:rPr>
        <w:t xml:space="preserve"> </w:t>
      </w:r>
      <w:r w:rsidR="007168DF">
        <w:rPr>
          <w:rFonts w:ascii="Times New Roman" w:hAnsi="Times New Roman" w:cs="Times New Roman"/>
          <w:sz w:val="22"/>
        </w:rPr>
        <w:t>but did</w:t>
      </w:r>
      <w:r>
        <w:rPr>
          <w:rFonts w:ascii="Times New Roman" w:hAnsi="Times New Roman" w:cs="Times New Roman"/>
          <w:sz w:val="22"/>
        </w:rPr>
        <w:t xml:space="preserve"> not provide them with control</w:t>
      </w:r>
      <w:r w:rsidR="00C5539D">
        <w:rPr>
          <w:rFonts w:ascii="Times New Roman" w:hAnsi="Times New Roman" w:cs="Times New Roman"/>
          <w:sz w:val="22"/>
        </w:rPr>
        <w:t xml:space="preserve"> over the structure</w:t>
      </w:r>
      <w:r w:rsidR="00C33190">
        <w:rPr>
          <w:rFonts w:ascii="Times New Roman" w:hAnsi="Times New Roman" w:cs="Times New Roman"/>
          <w:sz w:val="22"/>
        </w:rPr>
        <w:t xml:space="preserve"> (Oyewole, 1996</w:t>
      </w:r>
      <w:r w:rsidR="00C33190" w:rsidRPr="00C33190">
        <w:rPr>
          <w:rFonts w:ascii="Times New Roman" w:hAnsi="Times New Roman" w:cs="Times New Roman"/>
          <w:sz w:val="22"/>
        </w:rPr>
        <w:t>)</w:t>
      </w:r>
      <w:r>
        <w:rPr>
          <w:rFonts w:ascii="Times New Roman" w:hAnsi="Times New Roman" w:cs="Times New Roman"/>
          <w:sz w:val="22"/>
        </w:rPr>
        <w:t xml:space="preserve">. </w:t>
      </w:r>
      <w:r w:rsidR="0053216A">
        <w:rPr>
          <w:rFonts w:ascii="Times New Roman" w:hAnsi="Times New Roman" w:cs="Times New Roman"/>
          <w:sz w:val="22"/>
        </w:rPr>
        <w:t xml:space="preserve">On the other hand, </w:t>
      </w:r>
      <w:r w:rsidR="00C5539D">
        <w:rPr>
          <w:rFonts w:ascii="Times New Roman" w:hAnsi="Times New Roman" w:cs="Times New Roman"/>
          <w:sz w:val="22"/>
        </w:rPr>
        <w:t xml:space="preserve">beneficiaries </w:t>
      </w:r>
      <w:r w:rsidR="007168DF">
        <w:rPr>
          <w:rFonts w:ascii="Times New Roman" w:hAnsi="Times New Roman" w:cs="Times New Roman"/>
          <w:sz w:val="22"/>
        </w:rPr>
        <w:t>retained</w:t>
      </w:r>
      <w:r>
        <w:rPr>
          <w:rFonts w:ascii="Times New Roman" w:hAnsi="Times New Roman" w:cs="Times New Roman"/>
          <w:sz w:val="22"/>
        </w:rPr>
        <w:t xml:space="preserve"> control through Class A votin</w:t>
      </w:r>
      <w:r w:rsidR="00C33190">
        <w:rPr>
          <w:rFonts w:ascii="Times New Roman" w:hAnsi="Times New Roman" w:cs="Times New Roman"/>
          <w:sz w:val="22"/>
        </w:rPr>
        <w:t xml:space="preserve">g shares which they </w:t>
      </w:r>
      <w:r w:rsidR="007168DF">
        <w:rPr>
          <w:rFonts w:ascii="Times New Roman" w:hAnsi="Times New Roman" w:cs="Times New Roman"/>
          <w:sz w:val="22"/>
        </w:rPr>
        <w:t>he</w:t>
      </w:r>
      <w:r w:rsidR="00C33190">
        <w:rPr>
          <w:rFonts w:ascii="Times New Roman" w:hAnsi="Times New Roman" w:cs="Times New Roman"/>
          <w:sz w:val="22"/>
        </w:rPr>
        <w:t>ld</w:t>
      </w:r>
      <w:r w:rsidR="00C5539D">
        <w:rPr>
          <w:rFonts w:ascii="Times New Roman" w:hAnsi="Times New Roman" w:cs="Times New Roman"/>
          <w:sz w:val="22"/>
        </w:rPr>
        <w:t xml:space="preserve"> solely</w:t>
      </w:r>
      <w:r w:rsidR="00C33190">
        <w:rPr>
          <w:rFonts w:ascii="Times New Roman" w:hAnsi="Times New Roman" w:cs="Times New Roman"/>
          <w:sz w:val="22"/>
        </w:rPr>
        <w:t xml:space="preserve"> on their own (Oyewole, 1996</w:t>
      </w:r>
      <w:r w:rsidR="00C33190" w:rsidRPr="00C33190">
        <w:rPr>
          <w:rFonts w:ascii="Times New Roman" w:hAnsi="Times New Roman" w:cs="Times New Roman"/>
          <w:sz w:val="22"/>
        </w:rPr>
        <w:t>)</w:t>
      </w:r>
      <w:r>
        <w:rPr>
          <w:rFonts w:ascii="Times New Roman" w:hAnsi="Times New Roman" w:cs="Times New Roman"/>
          <w:sz w:val="22"/>
        </w:rPr>
        <w:t xml:space="preserve">. </w:t>
      </w:r>
    </w:p>
    <w:p w14:paraId="45DC309D" w14:textId="77777777" w:rsidR="00FE07C1" w:rsidRDefault="00FE07C1" w:rsidP="00536234">
      <w:pPr>
        <w:spacing w:line="480" w:lineRule="auto"/>
        <w:ind w:left="0" w:firstLine="0"/>
        <w:rPr>
          <w:rFonts w:ascii="Times New Roman" w:hAnsi="Times New Roman" w:cs="Times New Roman"/>
          <w:sz w:val="22"/>
        </w:rPr>
      </w:pPr>
      <w:r>
        <w:rPr>
          <w:rFonts w:ascii="Times New Roman" w:hAnsi="Times New Roman" w:cs="Times New Roman"/>
          <w:sz w:val="22"/>
        </w:rPr>
        <w:t>With thi</w:t>
      </w:r>
      <w:r w:rsidR="0053216A">
        <w:rPr>
          <w:rFonts w:ascii="Times New Roman" w:hAnsi="Times New Roman" w:cs="Times New Roman"/>
          <w:sz w:val="22"/>
        </w:rPr>
        <w:t>s type of funding structure, BBBEE beneficiaries</w:t>
      </w:r>
      <w:r>
        <w:rPr>
          <w:rFonts w:ascii="Times New Roman" w:hAnsi="Times New Roman" w:cs="Times New Roman"/>
          <w:sz w:val="22"/>
        </w:rPr>
        <w:t xml:space="preserve"> w</w:t>
      </w:r>
      <w:r w:rsidR="007168DF">
        <w:rPr>
          <w:rFonts w:ascii="Times New Roman" w:hAnsi="Times New Roman" w:cs="Times New Roman"/>
          <w:sz w:val="22"/>
        </w:rPr>
        <w:t>ould</w:t>
      </w:r>
      <w:r>
        <w:rPr>
          <w:rFonts w:ascii="Times New Roman" w:hAnsi="Times New Roman" w:cs="Times New Roman"/>
          <w:sz w:val="22"/>
        </w:rPr>
        <w:t xml:space="preserve"> not obtain any immediate </w:t>
      </w:r>
      <w:r w:rsidR="007168DF">
        <w:rPr>
          <w:rFonts w:ascii="Times New Roman" w:hAnsi="Times New Roman" w:cs="Times New Roman"/>
          <w:sz w:val="22"/>
        </w:rPr>
        <w:t>economic benefits until they had</w:t>
      </w:r>
      <w:r>
        <w:rPr>
          <w:rFonts w:ascii="Times New Roman" w:hAnsi="Times New Roman" w:cs="Times New Roman"/>
          <w:sz w:val="22"/>
        </w:rPr>
        <w:t xml:space="preserve"> generated enough cash to purchase t</w:t>
      </w:r>
      <w:r w:rsidR="007E686D">
        <w:rPr>
          <w:rFonts w:ascii="Times New Roman" w:hAnsi="Times New Roman" w:cs="Times New Roman"/>
          <w:sz w:val="22"/>
        </w:rPr>
        <w:t>he Class B shares from private</w:t>
      </w:r>
      <w:r>
        <w:rPr>
          <w:rFonts w:ascii="Times New Roman" w:hAnsi="Times New Roman" w:cs="Times New Roman"/>
          <w:sz w:val="22"/>
        </w:rPr>
        <w:t xml:space="preserve"> investors</w:t>
      </w:r>
      <w:r w:rsidR="00C33190">
        <w:rPr>
          <w:rFonts w:ascii="Times New Roman" w:hAnsi="Times New Roman" w:cs="Times New Roman"/>
          <w:sz w:val="22"/>
        </w:rPr>
        <w:t xml:space="preserve"> (Oyewole, 1996</w:t>
      </w:r>
      <w:r w:rsidR="00C33190" w:rsidRPr="00C33190">
        <w:rPr>
          <w:rFonts w:ascii="Times New Roman" w:hAnsi="Times New Roman" w:cs="Times New Roman"/>
          <w:sz w:val="22"/>
        </w:rPr>
        <w:t>)</w:t>
      </w:r>
      <w:r>
        <w:rPr>
          <w:rFonts w:ascii="Times New Roman" w:hAnsi="Times New Roman" w:cs="Times New Roman"/>
          <w:sz w:val="22"/>
        </w:rPr>
        <w:t xml:space="preserve">. </w:t>
      </w:r>
      <w:r w:rsidR="007E686D">
        <w:rPr>
          <w:rFonts w:ascii="Times New Roman" w:hAnsi="Times New Roman" w:cs="Times New Roman"/>
          <w:sz w:val="22"/>
        </w:rPr>
        <w:t>It is only after this ha</w:t>
      </w:r>
      <w:r w:rsidR="00C5539D">
        <w:rPr>
          <w:rFonts w:ascii="Times New Roman" w:hAnsi="Times New Roman" w:cs="Times New Roman"/>
          <w:sz w:val="22"/>
        </w:rPr>
        <w:t>d</w:t>
      </w:r>
      <w:r w:rsidR="007E686D">
        <w:rPr>
          <w:rFonts w:ascii="Times New Roman" w:hAnsi="Times New Roman" w:cs="Times New Roman"/>
          <w:sz w:val="22"/>
        </w:rPr>
        <w:t xml:space="preserve"> been don</w:t>
      </w:r>
      <w:r w:rsidR="00C5539D">
        <w:rPr>
          <w:rFonts w:ascii="Times New Roman" w:hAnsi="Times New Roman" w:cs="Times New Roman"/>
          <w:sz w:val="22"/>
        </w:rPr>
        <w:t xml:space="preserve">e, and </w:t>
      </w:r>
      <w:r w:rsidR="007168DF">
        <w:rPr>
          <w:rFonts w:ascii="Times New Roman" w:hAnsi="Times New Roman" w:cs="Times New Roman"/>
          <w:sz w:val="22"/>
        </w:rPr>
        <w:t>private investors had</w:t>
      </w:r>
      <w:r w:rsidR="007E686D">
        <w:rPr>
          <w:rFonts w:ascii="Times New Roman" w:hAnsi="Times New Roman" w:cs="Times New Roman"/>
          <w:sz w:val="22"/>
        </w:rPr>
        <w:t xml:space="preserve"> been paid off</w:t>
      </w:r>
      <w:r w:rsidR="00C5539D">
        <w:rPr>
          <w:rFonts w:ascii="Times New Roman" w:hAnsi="Times New Roman" w:cs="Times New Roman"/>
          <w:sz w:val="22"/>
        </w:rPr>
        <w:t>,</w:t>
      </w:r>
      <w:r w:rsidR="007E686D">
        <w:rPr>
          <w:rFonts w:ascii="Times New Roman" w:hAnsi="Times New Roman" w:cs="Times New Roman"/>
          <w:sz w:val="22"/>
        </w:rPr>
        <w:t xml:space="preserve"> that the BBBEE beneficiaries w</w:t>
      </w:r>
      <w:r w:rsidR="007168DF">
        <w:rPr>
          <w:rFonts w:ascii="Times New Roman" w:hAnsi="Times New Roman" w:cs="Times New Roman"/>
          <w:sz w:val="22"/>
        </w:rPr>
        <w:t>ould</w:t>
      </w:r>
      <w:r w:rsidR="007E686D">
        <w:rPr>
          <w:rFonts w:ascii="Times New Roman" w:hAnsi="Times New Roman" w:cs="Times New Roman"/>
          <w:sz w:val="22"/>
        </w:rPr>
        <w:t xml:space="preserve"> obtain the right to economic benefits generated by the SPV. This is because this funding structure ha</w:t>
      </w:r>
      <w:r w:rsidR="007168DF">
        <w:rPr>
          <w:rFonts w:ascii="Times New Roman" w:hAnsi="Times New Roman" w:cs="Times New Roman"/>
          <w:sz w:val="22"/>
        </w:rPr>
        <w:t>d</w:t>
      </w:r>
      <w:r w:rsidR="007E686D">
        <w:rPr>
          <w:rFonts w:ascii="Times New Roman" w:hAnsi="Times New Roman" w:cs="Times New Roman"/>
          <w:sz w:val="22"/>
        </w:rPr>
        <w:t xml:space="preserve"> been created with the intention that the SPV would generate sufficient funds in order to facilitate this</w:t>
      </w:r>
      <w:r w:rsidR="0053216A">
        <w:rPr>
          <w:rFonts w:ascii="Times New Roman" w:hAnsi="Times New Roman" w:cs="Times New Roman"/>
          <w:sz w:val="22"/>
        </w:rPr>
        <w:t xml:space="preserve"> buy back of shares and subsequent</w:t>
      </w:r>
      <w:r w:rsidR="007E686D">
        <w:rPr>
          <w:rFonts w:ascii="Times New Roman" w:hAnsi="Times New Roman" w:cs="Times New Roman"/>
          <w:sz w:val="22"/>
        </w:rPr>
        <w:t xml:space="preserve"> transfer back to beneficiaries. </w:t>
      </w:r>
    </w:p>
    <w:p w14:paraId="2B41E40F" w14:textId="77777777" w:rsidR="007E686D" w:rsidRDefault="009621A7"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second of these funding methods can be </w:t>
      </w:r>
      <w:r w:rsidR="007168DF">
        <w:rPr>
          <w:rFonts w:ascii="Times New Roman" w:hAnsi="Times New Roman" w:cs="Times New Roman"/>
          <w:sz w:val="22"/>
        </w:rPr>
        <w:t>described as</w:t>
      </w:r>
      <w:r w:rsidR="0053216A">
        <w:rPr>
          <w:rFonts w:ascii="Times New Roman" w:hAnsi="Times New Roman" w:cs="Times New Roman"/>
          <w:sz w:val="22"/>
        </w:rPr>
        <w:t xml:space="preserve"> one</w:t>
      </w:r>
      <w:r w:rsidR="007168DF">
        <w:rPr>
          <w:rFonts w:ascii="Times New Roman" w:hAnsi="Times New Roman" w:cs="Times New Roman"/>
          <w:sz w:val="22"/>
        </w:rPr>
        <w:t xml:space="preserve"> which granted</w:t>
      </w:r>
      <w:r>
        <w:rPr>
          <w:rFonts w:ascii="Times New Roman" w:hAnsi="Times New Roman" w:cs="Times New Roman"/>
          <w:sz w:val="22"/>
        </w:rPr>
        <w:t xml:space="preserve"> equity participation to beneficiaries at a discount</w:t>
      </w:r>
      <w:r w:rsidR="00C33190">
        <w:rPr>
          <w:rFonts w:ascii="Times New Roman" w:hAnsi="Times New Roman" w:cs="Times New Roman"/>
          <w:sz w:val="22"/>
        </w:rPr>
        <w:t xml:space="preserve"> </w:t>
      </w:r>
      <w:r w:rsidR="00C33190" w:rsidRPr="00C33190">
        <w:rPr>
          <w:rFonts w:ascii="Times New Roman" w:hAnsi="Times New Roman" w:cs="Times New Roman"/>
          <w:sz w:val="22"/>
        </w:rPr>
        <w:t>(Oyewole, 1996</w:t>
      </w:r>
      <w:r w:rsidR="00675F64">
        <w:rPr>
          <w:rFonts w:ascii="Times New Roman" w:hAnsi="Times New Roman" w:cs="Times New Roman"/>
          <w:sz w:val="22"/>
        </w:rPr>
        <w:t>; Plaatjies, 2014</w:t>
      </w:r>
      <w:r w:rsidR="00C33190" w:rsidRPr="00C33190">
        <w:rPr>
          <w:rFonts w:ascii="Times New Roman" w:hAnsi="Times New Roman" w:cs="Times New Roman"/>
          <w:sz w:val="22"/>
        </w:rPr>
        <w:t>)</w:t>
      </w:r>
      <w:r>
        <w:rPr>
          <w:rFonts w:ascii="Times New Roman" w:hAnsi="Times New Roman" w:cs="Times New Roman"/>
          <w:sz w:val="22"/>
        </w:rPr>
        <w:t xml:space="preserve">. </w:t>
      </w:r>
      <w:r w:rsidR="007F3189">
        <w:rPr>
          <w:rFonts w:ascii="Times New Roman" w:hAnsi="Times New Roman" w:cs="Times New Roman"/>
          <w:sz w:val="22"/>
        </w:rPr>
        <w:t>With this form of funding, shares in the issuing company would be sold to the beneficiary at a discount. This discount would be in relation the prev</w:t>
      </w:r>
      <w:r w:rsidR="0053216A">
        <w:rPr>
          <w:rFonts w:ascii="Times New Roman" w:hAnsi="Times New Roman" w:cs="Times New Roman"/>
          <w:sz w:val="22"/>
        </w:rPr>
        <w:t>ailing market price at</w:t>
      </w:r>
      <w:r w:rsidR="007F3189">
        <w:rPr>
          <w:rFonts w:ascii="Times New Roman" w:hAnsi="Times New Roman" w:cs="Times New Roman"/>
          <w:sz w:val="22"/>
        </w:rPr>
        <w:t xml:space="preserve"> the date of issue of these shares</w:t>
      </w:r>
      <w:r w:rsidR="00C33190">
        <w:rPr>
          <w:rFonts w:ascii="Times New Roman" w:hAnsi="Times New Roman" w:cs="Times New Roman"/>
          <w:sz w:val="22"/>
        </w:rPr>
        <w:t xml:space="preserve"> </w:t>
      </w:r>
      <w:r w:rsidR="00C33190" w:rsidRPr="00C33190">
        <w:rPr>
          <w:rFonts w:ascii="Times New Roman" w:hAnsi="Times New Roman" w:cs="Times New Roman"/>
          <w:sz w:val="22"/>
        </w:rPr>
        <w:t>(Oyewole, 1996)</w:t>
      </w:r>
      <w:r w:rsidR="007168DF">
        <w:rPr>
          <w:rFonts w:ascii="Times New Roman" w:hAnsi="Times New Roman" w:cs="Times New Roman"/>
          <w:sz w:val="22"/>
        </w:rPr>
        <w:t>. It is then the</w:t>
      </w:r>
      <w:r w:rsidR="007F3189">
        <w:rPr>
          <w:rFonts w:ascii="Times New Roman" w:hAnsi="Times New Roman" w:cs="Times New Roman"/>
          <w:sz w:val="22"/>
        </w:rPr>
        <w:t xml:space="preserve"> discount</w:t>
      </w:r>
      <w:r w:rsidR="007168DF">
        <w:rPr>
          <w:rFonts w:ascii="Times New Roman" w:hAnsi="Times New Roman" w:cs="Times New Roman"/>
          <w:sz w:val="22"/>
        </w:rPr>
        <w:t xml:space="preserve"> received</w:t>
      </w:r>
      <w:r w:rsidR="007F3189">
        <w:rPr>
          <w:rFonts w:ascii="Times New Roman" w:hAnsi="Times New Roman" w:cs="Times New Roman"/>
          <w:sz w:val="22"/>
        </w:rPr>
        <w:t xml:space="preserve"> that would be recognised as the benefit which the BBBEE beneficiary would receive from the issuing company. This is because the difference between the market value of the shares at the date of </w:t>
      </w:r>
      <w:r w:rsidR="007F3189">
        <w:rPr>
          <w:rFonts w:ascii="Times New Roman" w:hAnsi="Times New Roman" w:cs="Times New Roman"/>
          <w:sz w:val="22"/>
        </w:rPr>
        <w:lastRenderedPageBreak/>
        <w:t xml:space="preserve">issue and the discounted price charged to the beneficiaries would remain </w:t>
      </w:r>
      <w:r w:rsidR="007168DF">
        <w:rPr>
          <w:rFonts w:ascii="Times New Roman" w:hAnsi="Times New Roman" w:cs="Times New Roman"/>
          <w:sz w:val="22"/>
        </w:rPr>
        <w:t>the possession of</w:t>
      </w:r>
      <w:r w:rsidR="007F3189">
        <w:rPr>
          <w:rFonts w:ascii="Times New Roman" w:hAnsi="Times New Roman" w:cs="Times New Roman"/>
          <w:sz w:val="22"/>
        </w:rPr>
        <w:t xml:space="preserve"> the beneficiaries</w:t>
      </w:r>
      <w:r w:rsidR="00C33190">
        <w:rPr>
          <w:rFonts w:ascii="Times New Roman" w:hAnsi="Times New Roman" w:cs="Times New Roman"/>
          <w:sz w:val="22"/>
        </w:rPr>
        <w:t xml:space="preserve"> </w:t>
      </w:r>
      <w:r w:rsidR="00C33190" w:rsidRPr="00C33190">
        <w:rPr>
          <w:rFonts w:ascii="Times New Roman" w:hAnsi="Times New Roman" w:cs="Times New Roman"/>
          <w:sz w:val="22"/>
        </w:rPr>
        <w:t>(Oyewole, 1996)</w:t>
      </w:r>
      <w:r w:rsidR="007F3189">
        <w:rPr>
          <w:rFonts w:ascii="Times New Roman" w:hAnsi="Times New Roman" w:cs="Times New Roman"/>
          <w:sz w:val="22"/>
        </w:rPr>
        <w:t xml:space="preserve">. </w:t>
      </w:r>
      <w:r w:rsidR="007A09F3">
        <w:rPr>
          <w:rFonts w:ascii="Times New Roman" w:hAnsi="Times New Roman" w:cs="Times New Roman"/>
          <w:sz w:val="22"/>
        </w:rPr>
        <w:t xml:space="preserve">A common feature of this type of financing is that it would </w:t>
      </w:r>
      <w:r w:rsidR="007168DF">
        <w:rPr>
          <w:rFonts w:ascii="Times New Roman" w:hAnsi="Times New Roman" w:cs="Times New Roman"/>
          <w:sz w:val="22"/>
        </w:rPr>
        <w:t xml:space="preserve">largely </w:t>
      </w:r>
      <w:r w:rsidR="007A09F3">
        <w:rPr>
          <w:rFonts w:ascii="Times New Roman" w:hAnsi="Times New Roman" w:cs="Times New Roman"/>
          <w:sz w:val="22"/>
        </w:rPr>
        <w:t>be restricted in terms of its dividends and tradability for a set period of time</w:t>
      </w:r>
      <w:r w:rsidR="00C33190">
        <w:rPr>
          <w:rFonts w:ascii="Times New Roman" w:hAnsi="Times New Roman" w:cs="Times New Roman"/>
          <w:sz w:val="22"/>
        </w:rPr>
        <w:t xml:space="preserve"> </w:t>
      </w:r>
      <w:r w:rsidR="00C33190" w:rsidRPr="00C33190">
        <w:rPr>
          <w:rFonts w:ascii="Times New Roman" w:hAnsi="Times New Roman" w:cs="Times New Roman"/>
          <w:sz w:val="22"/>
        </w:rPr>
        <w:t>(Oyewole, 1996)</w:t>
      </w:r>
      <w:r w:rsidR="007A09F3">
        <w:rPr>
          <w:rFonts w:ascii="Times New Roman" w:hAnsi="Times New Roman" w:cs="Times New Roman"/>
          <w:sz w:val="22"/>
        </w:rPr>
        <w:t>.</w:t>
      </w:r>
    </w:p>
    <w:p w14:paraId="19D6D1F1" w14:textId="77777777" w:rsidR="007F3189" w:rsidRDefault="007F3189" w:rsidP="00536234">
      <w:pPr>
        <w:spacing w:line="480" w:lineRule="auto"/>
        <w:ind w:left="0" w:firstLine="0"/>
        <w:rPr>
          <w:rFonts w:ascii="Times New Roman" w:hAnsi="Times New Roman" w:cs="Times New Roman"/>
          <w:sz w:val="22"/>
        </w:rPr>
      </w:pPr>
      <w:r>
        <w:rPr>
          <w:rFonts w:ascii="Times New Roman" w:hAnsi="Times New Roman" w:cs="Times New Roman"/>
          <w:sz w:val="22"/>
        </w:rPr>
        <w:t>An example of this can be illustrated in the case where a BBBEE participant acquires a 10% shareholding in the is</w:t>
      </w:r>
      <w:r w:rsidR="0053216A">
        <w:rPr>
          <w:rFonts w:ascii="Times New Roman" w:hAnsi="Times New Roman" w:cs="Times New Roman"/>
          <w:sz w:val="22"/>
        </w:rPr>
        <w:t>suing company as a result of a BBBEE transaction. Now,</w:t>
      </w:r>
      <w:r>
        <w:rPr>
          <w:rFonts w:ascii="Times New Roman" w:hAnsi="Times New Roman" w:cs="Times New Roman"/>
          <w:sz w:val="22"/>
        </w:rPr>
        <w:t xml:space="preserve"> provided that this issue was made at a 10% discount to the market </w:t>
      </w:r>
      <w:r w:rsidR="0053216A">
        <w:rPr>
          <w:rFonts w:ascii="Times New Roman" w:hAnsi="Times New Roman" w:cs="Times New Roman"/>
          <w:sz w:val="22"/>
        </w:rPr>
        <w:t>value of the shares issued, it</w:t>
      </w:r>
      <w:r>
        <w:rPr>
          <w:rFonts w:ascii="Times New Roman" w:hAnsi="Times New Roman" w:cs="Times New Roman"/>
          <w:sz w:val="22"/>
        </w:rPr>
        <w:t xml:space="preserve"> can be said that the free benefit obtained by the beneficiary can equate to an amount of 1% of the entire market value of the shareholding issued by the company. In other words, this 1% received can be described as having been received for free by the beneficiary. </w:t>
      </w:r>
    </w:p>
    <w:p w14:paraId="6140D0C2" w14:textId="77777777" w:rsidR="00F17A77" w:rsidRDefault="00F17A77" w:rsidP="00536234">
      <w:pPr>
        <w:spacing w:line="480" w:lineRule="auto"/>
        <w:ind w:left="0" w:firstLine="0"/>
        <w:rPr>
          <w:rFonts w:ascii="Times New Roman" w:hAnsi="Times New Roman" w:cs="Times New Roman"/>
          <w:sz w:val="22"/>
        </w:rPr>
      </w:pPr>
      <w:r>
        <w:rPr>
          <w:rFonts w:ascii="Times New Roman" w:hAnsi="Times New Roman" w:cs="Times New Roman"/>
          <w:sz w:val="22"/>
        </w:rPr>
        <w:t>The final of the mo</w:t>
      </w:r>
      <w:r w:rsidR="00132EF9">
        <w:rPr>
          <w:rFonts w:ascii="Times New Roman" w:hAnsi="Times New Roman" w:cs="Times New Roman"/>
          <w:sz w:val="22"/>
        </w:rPr>
        <w:t>st</w:t>
      </w:r>
      <w:r>
        <w:rPr>
          <w:rFonts w:ascii="Times New Roman" w:hAnsi="Times New Roman" w:cs="Times New Roman"/>
          <w:sz w:val="22"/>
        </w:rPr>
        <w:t xml:space="preserve"> commonly used forms of BBBEE financing used throughout the</w:t>
      </w:r>
      <w:r w:rsidR="0053216A">
        <w:rPr>
          <w:rFonts w:ascii="Times New Roman" w:hAnsi="Times New Roman" w:cs="Times New Roman"/>
          <w:sz w:val="22"/>
        </w:rPr>
        <w:t xml:space="preserve"> first</w:t>
      </w:r>
      <w:r>
        <w:rPr>
          <w:rFonts w:ascii="Times New Roman" w:hAnsi="Times New Roman" w:cs="Times New Roman"/>
          <w:sz w:val="22"/>
        </w:rPr>
        <w:t xml:space="preserve"> funding stage </w:t>
      </w:r>
      <w:r w:rsidR="0053216A">
        <w:rPr>
          <w:rFonts w:ascii="Times New Roman" w:hAnsi="Times New Roman" w:cs="Times New Roman"/>
          <w:sz w:val="22"/>
        </w:rPr>
        <w:t>is</w:t>
      </w:r>
      <w:r>
        <w:rPr>
          <w:rFonts w:ascii="Times New Roman" w:hAnsi="Times New Roman" w:cs="Times New Roman"/>
          <w:sz w:val="22"/>
        </w:rPr>
        <w:t xml:space="preserve"> one </w:t>
      </w:r>
      <w:r w:rsidR="00132EF9">
        <w:rPr>
          <w:rFonts w:ascii="Times New Roman" w:hAnsi="Times New Roman" w:cs="Times New Roman"/>
          <w:sz w:val="22"/>
        </w:rPr>
        <w:t>where</w:t>
      </w:r>
      <w:r>
        <w:rPr>
          <w:rFonts w:ascii="Times New Roman" w:hAnsi="Times New Roman" w:cs="Times New Roman"/>
          <w:sz w:val="22"/>
        </w:rPr>
        <w:t xml:space="preserve"> a put option </w:t>
      </w:r>
      <w:r w:rsidR="007168DF">
        <w:rPr>
          <w:rFonts w:ascii="Times New Roman" w:hAnsi="Times New Roman" w:cs="Times New Roman"/>
          <w:sz w:val="22"/>
        </w:rPr>
        <w:t>was granted by</w:t>
      </w:r>
      <w:r w:rsidR="00642C7F">
        <w:rPr>
          <w:rFonts w:ascii="Times New Roman" w:hAnsi="Times New Roman" w:cs="Times New Roman"/>
          <w:sz w:val="22"/>
        </w:rPr>
        <w:t xml:space="preserve"> the</w:t>
      </w:r>
      <w:r w:rsidR="007168DF">
        <w:rPr>
          <w:rFonts w:ascii="Times New Roman" w:hAnsi="Times New Roman" w:cs="Times New Roman"/>
          <w:sz w:val="22"/>
        </w:rPr>
        <w:t xml:space="preserve"> </w:t>
      </w:r>
      <w:r>
        <w:rPr>
          <w:rFonts w:ascii="Times New Roman" w:hAnsi="Times New Roman" w:cs="Times New Roman"/>
          <w:sz w:val="22"/>
        </w:rPr>
        <w:t xml:space="preserve">issuing company </w:t>
      </w:r>
      <w:r w:rsidR="00C33190" w:rsidRPr="00C33190">
        <w:rPr>
          <w:rFonts w:ascii="Times New Roman" w:hAnsi="Times New Roman" w:cs="Times New Roman"/>
          <w:sz w:val="22"/>
        </w:rPr>
        <w:t>(Oyewole, 1996</w:t>
      </w:r>
      <w:r w:rsidR="00675F64">
        <w:rPr>
          <w:rFonts w:ascii="Times New Roman" w:hAnsi="Times New Roman" w:cs="Times New Roman"/>
          <w:sz w:val="22"/>
        </w:rPr>
        <w:t>; Plaatjies, 2014</w:t>
      </w:r>
      <w:r w:rsidR="00C33190" w:rsidRPr="00C33190">
        <w:rPr>
          <w:rFonts w:ascii="Times New Roman" w:hAnsi="Times New Roman" w:cs="Times New Roman"/>
          <w:sz w:val="22"/>
        </w:rPr>
        <w:t>)</w:t>
      </w:r>
      <w:r>
        <w:rPr>
          <w:rFonts w:ascii="Times New Roman" w:hAnsi="Times New Roman" w:cs="Times New Roman"/>
          <w:sz w:val="22"/>
        </w:rPr>
        <w:t>. In this case</w:t>
      </w:r>
      <w:r w:rsidR="0053216A">
        <w:rPr>
          <w:rFonts w:ascii="Times New Roman" w:hAnsi="Times New Roman" w:cs="Times New Roman"/>
          <w:sz w:val="22"/>
        </w:rPr>
        <w:t>, the</w:t>
      </w:r>
      <w:r>
        <w:rPr>
          <w:rFonts w:ascii="Times New Roman" w:hAnsi="Times New Roman" w:cs="Times New Roman"/>
          <w:sz w:val="22"/>
        </w:rPr>
        <w:t xml:space="preserve"> BBBEE beneficiary </w:t>
      </w:r>
      <w:r w:rsidR="007168DF">
        <w:rPr>
          <w:rFonts w:ascii="Times New Roman" w:hAnsi="Times New Roman" w:cs="Times New Roman"/>
          <w:sz w:val="22"/>
        </w:rPr>
        <w:t>obtained</w:t>
      </w:r>
      <w:r>
        <w:rPr>
          <w:rFonts w:ascii="Times New Roman" w:hAnsi="Times New Roman" w:cs="Times New Roman"/>
          <w:sz w:val="22"/>
        </w:rPr>
        <w:t xml:space="preserve"> shares in the issuing company through the use of fundi</w:t>
      </w:r>
      <w:r w:rsidR="007168DF">
        <w:rPr>
          <w:rFonts w:ascii="Times New Roman" w:hAnsi="Times New Roman" w:cs="Times New Roman"/>
          <w:sz w:val="22"/>
        </w:rPr>
        <w:t>ng. This funding would</w:t>
      </w:r>
      <w:r>
        <w:rPr>
          <w:rFonts w:ascii="Times New Roman" w:hAnsi="Times New Roman" w:cs="Times New Roman"/>
          <w:sz w:val="22"/>
        </w:rPr>
        <w:t xml:space="preserve"> have been provided by a financial institution</w:t>
      </w:r>
      <w:r w:rsidR="007168DF">
        <w:rPr>
          <w:rFonts w:ascii="Times New Roman" w:hAnsi="Times New Roman" w:cs="Times New Roman"/>
          <w:sz w:val="22"/>
        </w:rPr>
        <w:t>,</w:t>
      </w:r>
      <w:r>
        <w:rPr>
          <w:rFonts w:ascii="Times New Roman" w:hAnsi="Times New Roman" w:cs="Times New Roman"/>
          <w:sz w:val="22"/>
        </w:rPr>
        <w:t xml:space="preserve"> most likely in the form of a loan</w:t>
      </w:r>
      <w:r w:rsidR="00F849FE">
        <w:rPr>
          <w:rFonts w:ascii="Times New Roman" w:hAnsi="Times New Roman" w:cs="Times New Roman"/>
          <w:sz w:val="22"/>
        </w:rPr>
        <w:t xml:space="preserve"> </w:t>
      </w:r>
      <w:r w:rsidR="00F849FE" w:rsidRPr="00F849FE">
        <w:rPr>
          <w:rFonts w:ascii="Times New Roman" w:hAnsi="Times New Roman" w:cs="Times New Roman"/>
          <w:sz w:val="22"/>
        </w:rPr>
        <w:t>(Oyewole, 1996)</w:t>
      </w:r>
      <w:r>
        <w:rPr>
          <w:rFonts w:ascii="Times New Roman" w:hAnsi="Times New Roman" w:cs="Times New Roman"/>
          <w:sz w:val="22"/>
        </w:rPr>
        <w:t xml:space="preserve">. The loan </w:t>
      </w:r>
      <w:r w:rsidR="007168DF">
        <w:rPr>
          <w:rFonts w:ascii="Times New Roman" w:hAnsi="Times New Roman" w:cs="Times New Roman"/>
          <w:sz w:val="22"/>
        </w:rPr>
        <w:t>debt owed by the beneficiary would</w:t>
      </w:r>
      <w:r>
        <w:rPr>
          <w:rFonts w:ascii="Times New Roman" w:hAnsi="Times New Roman" w:cs="Times New Roman"/>
          <w:sz w:val="22"/>
        </w:rPr>
        <w:t xml:space="preserve"> then be guaranteed by the issuing company in the form of a put option written up against the existing shareholders of the issuing company</w:t>
      </w:r>
      <w:r w:rsidR="00F849FE">
        <w:rPr>
          <w:rFonts w:ascii="Times New Roman" w:hAnsi="Times New Roman" w:cs="Times New Roman"/>
          <w:sz w:val="22"/>
        </w:rPr>
        <w:t xml:space="preserve"> </w:t>
      </w:r>
      <w:r w:rsidR="00F849FE" w:rsidRPr="00F849FE">
        <w:rPr>
          <w:rFonts w:ascii="Times New Roman" w:hAnsi="Times New Roman" w:cs="Times New Roman"/>
          <w:sz w:val="22"/>
        </w:rPr>
        <w:t>(Oyewole, 1996)</w:t>
      </w:r>
      <w:r>
        <w:rPr>
          <w:rFonts w:ascii="Times New Roman" w:hAnsi="Times New Roman" w:cs="Times New Roman"/>
          <w:sz w:val="22"/>
        </w:rPr>
        <w:t xml:space="preserve">. </w:t>
      </w:r>
    </w:p>
    <w:p w14:paraId="0E9583E3" w14:textId="77777777" w:rsidR="007D060D" w:rsidRDefault="00F17A77" w:rsidP="00536234">
      <w:pPr>
        <w:spacing w:line="480" w:lineRule="auto"/>
        <w:ind w:left="0" w:firstLine="0"/>
        <w:rPr>
          <w:rFonts w:ascii="Times New Roman" w:hAnsi="Times New Roman" w:cs="Times New Roman"/>
          <w:sz w:val="22"/>
        </w:rPr>
      </w:pPr>
      <w:r>
        <w:rPr>
          <w:rFonts w:ascii="Times New Roman" w:hAnsi="Times New Roman" w:cs="Times New Roman"/>
          <w:sz w:val="22"/>
        </w:rPr>
        <w:t>This structure is also very similar to the SPV structure described earlier</w:t>
      </w:r>
      <w:r w:rsidR="00F849FE">
        <w:rPr>
          <w:rFonts w:ascii="Times New Roman" w:hAnsi="Times New Roman" w:cs="Times New Roman"/>
          <w:sz w:val="22"/>
        </w:rPr>
        <w:t xml:space="preserve"> </w:t>
      </w:r>
      <w:r w:rsidR="00F849FE" w:rsidRPr="00F849FE">
        <w:rPr>
          <w:rFonts w:ascii="Times New Roman" w:hAnsi="Times New Roman" w:cs="Times New Roman"/>
          <w:sz w:val="22"/>
        </w:rPr>
        <w:t>(Oyewole, 1996)</w:t>
      </w:r>
      <w:r>
        <w:rPr>
          <w:rFonts w:ascii="Times New Roman" w:hAnsi="Times New Roman" w:cs="Times New Roman"/>
          <w:sz w:val="22"/>
        </w:rPr>
        <w:t xml:space="preserve">. This is because the BBBEE beneficiary </w:t>
      </w:r>
      <w:r w:rsidR="007168DF">
        <w:rPr>
          <w:rFonts w:ascii="Times New Roman" w:hAnsi="Times New Roman" w:cs="Times New Roman"/>
          <w:sz w:val="22"/>
        </w:rPr>
        <w:t>owned</w:t>
      </w:r>
      <w:r>
        <w:rPr>
          <w:rFonts w:ascii="Times New Roman" w:hAnsi="Times New Roman" w:cs="Times New Roman"/>
          <w:sz w:val="22"/>
        </w:rPr>
        <w:t xml:space="preserve"> the entire ordinary shareholding in the SP</w:t>
      </w:r>
      <w:r w:rsidR="007168DF">
        <w:rPr>
          <w:rFonts w:ascii="Times New Roman" w:hAnsi="Times New Roman" w:cs="Times New Roman"/>
          <w:sz w:val="22"/>
        </w:rPr>
        <w:t>V which wa</w:t>
      </w:r>
      <w:r>
        <w:rPr>
          <w:rFonts w:ascii="Times New Roman" w:hAnsi="Times New Roman" w:cs="Times New Roman"/>
          <w:sz w:val="22"/>
        </w:rPr>
        <w:t>s used to facilitate this tra</w:t>
      </w:r>
      <w:r w:rsidR="007168DF">
        <w:rPr>
          <w:rFonts w:ascii="Times New Roman" w:hAnsi="Times New Roman" w:cs="Times New Roman"/>
          <w:sz w:val="22"/>
        </w:rPr>
        <w:t>nsaction. The bank then provided</w:t>
      </w:r>
      <w:r>
        <w:rPr>
          <w:rFonts w:ascii="Times New Roman" w:hAnsi="Times New Roman" w:cs="Times New Roman"/>
          <w:sz w:val="22"/>
        </w:rPr>
        <w:t xml:space="preserve"> this loan in exchange for preference shares issued to them by the SPV. The money generated f</w:t>
      </w:r>
      <w:r w:rsidR="00132EF9">
        <w:rPr>
          <w:rFonts w:ascii="Times New Roman" w:hAnsi="Times New Roman" w:cs="Times New Roman"/>
          <w:sz w:val="22"/>
        </w:rPr>
        <w:t>rom</w:t>
      </w:r>
      <w:r>
        <w:rPr>
          <w:rFonts w:ascii="Times New Roman" w:hAnsi="Times New Roman" w:cs="Times New Roman"/>
          <w:sz w:val="22"/>
        </w:rPr>
        <w:t xml:space="preserve"> the issue of</w:t>
      </w:r>
      <w:r w:rsidR="007168DF">
        <w:rPr>
          <w:rFonts w:ascii="Times New Roman" w:hAnsi="Times New Roman" w:cs="Times New Roman"/>
          <w:sz w:val="22"/>
        </w:rPr>
        <w:t xml:space="preserve"> preference shares in the SPV would </w:t>
      </w:r>
      <w:r>
        <w:rPr>
          <w:rFonts w:ascii="Times New Roman" w:hAnsi="Times New Roman" w:cs="Times New Roman"/>
          <w:sz w:val="22"/>
        </w:rPr>
        <w:t xml:space="preserve">then be used to acquire shares in the issuing company. </w:t>
      </w:r>
      <w:r w:rsidR="007168DF">
        <w:rPr>
          <w:rFonts w:ascii="Times New Roman" w:hAnsi="Times New Roman" w:cs="Times New Roman"/>
          <w:sz w:val="22"/>
        </w:rPr>
        <w:t>I</w:t>
      </w:r>
      <w:r>
        <w:rPr>
          <w:rFonts w:ascii="Times New Roman" w:hAnsi="Times New Roman" w:cs="Times New Roman"/>
          <w:sz w:val="22"/>
        </w:rPr>
        <w:t>n the ev</w:t>
      </w:r>
      <w:r w:rsidR="007168DF">
        <w:rPr>
          <w:rFonts w:ascii="Times New Roman" w:hAnsi="Times New Roman" w:cs="Times New Roman"/>
          <w:sz w:val="22"/>
        </w:rPr>
        <w:t>ent that the Black beneficiary wa</w:t>
      </w:r>
      <w:r>
        <w:rPr>
          <w:rFonts w:ascii="Times New Roman" w:hAnsi="Times New Roman" w:cs="Times New Roman"/>
          <w:sz w:val="22"/>
        </w:rPr>
        <w:t>s then unable to settle the full amount owed to the financial institution, the bank w</w:t>
      </w:r>
      <w:r w:rsidR="007168DF">
        <w:rPr>
          <w:rFonts w:ascii="Times New Roman" w:hAnsi="Times New Roman" w:cs="Times New Roman"/>
          <w:sz w:val="22"/>
        </w:rPr>
        <w:t>ould</w:t>
      </w:r>
      <w:r>
        <w:rPr>
          <w:rFonts w:ascii="Times New Roman" w:hAnsi="Times New Roman" w:cs="Times New Roman"/>
          <w:sz w:val="22"/>
        </w:rPr>
        <w:t xml:space="preserve"> then be entitled to sell the preference shares held in the SPV to the existing shareholders. </w:t>
      </w:r>
    </w:p>
    <w:p w14:paraId="18F1540A" w14:textId="77777777" w:rsidR="00CC1B53" w:rsidRPr="00A14BA6" w:rsidRDefault="00FA26C0" w:rsidP="00536234">
      <w:pPr>
        <w:pStyle w:val="Heading2"/>
        <w:ind w:left="0"/>
        <w:rPr>
          <w:rFonts w:ascii="Times New Roman" w:hAnsi="Times New Roman" w:cs="Times New Roman"/>
          <w:b/>
        </w:rPr>
      </w:pPr>
      <w:bookmarkStart w:id="29" w:name="_Toc506717775"/>
      <w:r w:rsidRPr="00A14BA6">
        <w:rPr>
          <w:rFonts w:ascii="Times New Roman" w:hAnsi="Times New Roman" w:cs="Times New Roman"/>
          <w:b/>
          <w:color w:val="auto"/>
          <w:sz w:val="24"/>
        </w:rPr>
        <w:t>2.3</w:t>
      </w:r>
      <w:r w:rsidR="00CC1B53" w:rsidRPr="00A14BA6">
        <w:rPr>
          <w:rFonts w:ascii="Times New Roman" w:hAnsi="Times New Roman" w:cs="Times New Roman"/>
          <w:b/>
          <w:color w:val="auto"/>
          <w:sz w:val="24"/>
        </w:rPr>
        <w:t>.3</w:t>
      </w:r>
      <w:r w:rsidR="00CC1B53" w:rsidRPr="00A14BA6">
        <w:rPr>
          <w:rFonts w:ascii="Times New Roman" w:hAnsi="Times New Roman" w:cs="Times New Roman"/>
          <w:b/>
          <w:color w:val="auto"/>
          <w:sz w:val="24"/>
        </w:rPr>
        <w:tab/>
        <w:t>Reasons for Failure of the First Phase Funding Models</w:t>
      </w:r>
      <w:bookmarkEnd w:id="29"/>
    </w:p>
    <w:p w14:paraId="7D31BC6D" w14:textId="77777777" w:rsidR="00CD3B83" w:rsidRDefault="00F849FE"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It has been noted that </w:t>
      </w:r>
      <w:r w:rsidR="00CD3B83">
        <w:rPr>
          <w:rFonts w:ascii="Times New Roman" w:hAnsi="Times New Roman" w:cs="Times New Roman"/>
          <w:sz w:val="22"/>
        </w:rPr>
        <w:t>the first funding phase of BBBEE deal came to an end in 1998</w:t>
      </w:r>
      <w:r>
        <w:rPr>
          <w:rFonts w:ascii="Times New Roman" w:hAnsi="Times New Roman" w:cs="Times New Roman"/>
          <w:sz w:val="22"/>
        </w:rPr>
        <w:t xml:space="preserve">. </w:t>
      </w:r>
      <w:r w:rsidR="00CD3B83">
        <w:rPr>
          <w:rFonts w:ascii="Times New Roman" w:hAnsi="Times New Roman" w:cs="Times New Roman"/>
          <w:sz w:val="22"/>
        </w:rPr>
        <w:t>The reason for this failure was attributed to the Asian crisis which occurred at the same time</w:t>
      </w:r>
      <w:r>
        <w:rPr>
          <w:rFonts w:ascii="Times New Roman" w:hAnsi="Times New Roman" w:cs="Times New Roman"/>
          <w:sz w:val="22"/>
        </w:rPr>
        <w:t xml:space="preserve"> </w:t>
      </w:r>
      <w:r w:rsidRPr="00F849FE">
        <w:rPr>
          <w:rFonts w:ascii="Times New Roman" w:hAnsi="Times New Roman" w:cs="Times New Roman"/>
          <w:sz w:val="22"/>
        </w:rPr>
        <w:t>(BusinessMap</w:t>
      </w:r>
      <w:r w:rsidR="00363591">
        <w:rPr>
          <w:rFonts w:ascii="Times New Roman" w:hAnsi="Times New Roman" w:cs="Times New Roman"/>
          <w:sz w:val="22"/>
        </w:rPr>
        <w:t xml:space="preserve"> Foundation</w:t>
      </w:r>
      <w:r>
        <w:rPr>
          <w:rFonts w:ascii="Times New Roman" w:hAnsi="Times New Roman" w:cs="Times New Roman"/>
          <w:sz w:val="22"/>
        </w:rPr>
        <w:t xml:space="preserve">, </w:t>
      </w:r>
      <w:r>
        <w:rPr>
          <w:rFonts w:ascii="Times New Roman" w:hAnsi="Times New Roman" w:cs="Times New Roman"/>
          <w:sz w:val="22"/>
        </w:rPr>
        <w:lastRenderedPageBreak/>
        <w:t>1999)</w:t>
      </w:r>
      <w:r w:rsidR="00CD3B83">
        <w:rPr>
          <w:rFonts w:ascii="Times New Roman" w:hAnsi="Times New Roman" w:cs="Times New Roman"/>
          <w:sz w:val="22"/>
        </w:rPr>
        <w:t xml:space="preserve">. The Asian crisis brought into light the unsustainable nature of the financing models previously </w:t>
      </w:r>
      <w:r>
        <w:rPr>
          <w:rFonts w:ascii="Times New Roman" w:hAnsi="Times New Roman" w:cs="Times New Roman"/>
          <w:sz w:val="22"/>
        </w:rPr>
        <w:t>d</w:t>
      </w:r>
      <w:r w:rsidR="00CD3B83">
        <w:rPr>
          <w:rFonts w:ascii="Times New Roman" w:hAnsi="Times New Roman" w:cs="Times New Roman"/>
          <w:sz w:val="22"/>
        </w:rPr>
        <w:t>iscussed</w:t>
      </w:r>
      <w:r>
        <w:rPr>
          <w:rFonts w:ascii="Times New Roman" w:hAnsi="Times New Roman" w:cs="Times New Roman"/>
          <w:sz w:val="22"/>
        </w:rPr>
        <w:t xml:space="preserve"> </w:t>
      </w:r>
      <w:r w:rsidR="002E523D">
        <w:rPr>
          <w:rFonts w:ascii="Times New Roman" w:hAnsi="Times New Roman" w:cs="Times New Roman"/>
          <w:sz w:val="22"/>
        </w:rPr>
        <w:t>(Radebe, 2006</w:t>
      </w:r>
      <w:r>
        <w:rPr>
          <w:rFonts w:ascii="Times New Roman" w:hAnsi="Times New Roman" w:cs="Times New Roman"/>
          <w:sz w:val="22"/>
        </w:rPr>
        <w:t>)</w:t>
      </w:r>
      <w:r w:rsidR="00CD3B83">
        <w:rPr>
          <w:rFonts w:ascii="Times New Roman" w:hAnsi="Times New Roman" w:cs="Times New Roman"/>
          <w:sz w:val="22"/>
        </w:rPr>
        <w:t>. This unsustainability was focused around the high level of gearing which resulted from these financial arrangements</w:t>
      </w:r>
      <w:r>
        <w:rPr>
          <w:rFonts w:ascii="Times New Roman" w:hAnsi="Times New Roman" w:cs="Times New Roman"/>
          <w:sz w:val="22"/>
        </w:rPr>
        <w:t xml:space="preserve"> </w:t>
      </w:r>
      <w:r w:rsidRPr="00F849FE">
        <w:rPr>
          <w:rFonts w:ascii="Times New Roman" w:hAnsi="Times New Roman" w:cs="Times New Roman"/>
          <w:sz w:val="22"/>
        </w:rPr>
        <w:t>(BusinessMap</w:t>
      </w:r>
      <w:r w:rsidR="00363591">
        <w:rPr>
          <w:rFonts w:ascii="Times New Roman" w:hAnsi="Times New Roman" w:cs="Times New Roman"/>
          <w:sz w:val="22"/>
        </w:rPr>
        <w:t xml:space="preserve"> Foundation</w:t>
      </w:r>
      <w:r w:rsidRPr="00F849FE">
        <w:rPr>
          <w:rFonts w:ascii="Times New Roman" w:hAnsi="Times New Roman" w:cs="Times New Roman"/>
          <w:sz w:val="22"/>
        </w:rPr>
        <w:t>, 1999)</w:t>
      </w:r>
      <w:r w:rsidR="00CD3B83">
        <w:rPr>
          <w:rFonts w:ascii="Times New Roman" w:hAnsi="Times New Roman" w:cs="Times New Roman"/>
          <w:sz w:val="22"/>
        </w:rPr>
        <w:t>. This is because the SPVs did not have an adequate asset base in order to sustain these transactions. Instead of acquiring assets in order to generate a steady flow of income in the SPV, the borrowed funds were used</w:t>
      </w:r>
      <w:r w:rsidR="00642C7F">
        <w:rPr>
          <w:rFonts w:ascii="Times New Roman" w:hAnsi="Times New Roman" w:cs="Times New Roman"/>
          <w:sz w:val="22"/>
        </w:rPr>
        <w:t xml:space="preserve"> by beneficiaries</w:t>
      </w:r>
      <w:r w:rsidR="00CD3B83">
        <w:rPr>
          <w:rFonts w:ascii="Times New Roman" w:hAnsi="Times New Roman" w:cs="Times New Roman"/>
          <w:sz w:val="22"/>
        </w:rPr>
        <w:t xml:space="preserve"> in their entirety to acquire shares in the issuing company. </w:t>
      </w:r>
    </w:p>
    <w:p w14:paraId="781695A9" w14:textId="77777777" w:rsidR="00CC1B53" w:rsidRDefault="00CD3B83"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With no other source of income being generated by the SPV, it became very dependent on the debt </w:t>
      </w:r>
      <w:r w:rsidR="00642C7F">
        <w:rPr>
          <w:rFonts w:ascii="Times New Roman" w:hAnsi="Times New Roman" w:cs="Times New Roman"/>
          <w:sz w:val="22"/>
        </w:rPr>
        <w:t>provided by</w:t>
      </w:r>
      <w:r>
        <w:rPr>
          <w:rFonts w:ascii="Times New Roman" w:hAnsi="Times New Roman" w:cs="Times New Roman"/>
          <w:sz w:val="22"/>
        </w:rPr>
        <w:t xml:space="preserve"> financial institutions. It also became very dependent on the dividends received from the transacting company in order to satisfy their obligation owed to the financial institution. Due to the effect that the crisis had on issuing companies and their ability to pay dividends, the BBBEE beneficiary owned </w:t>
      </w:r>
      <w:r w:rsidR="00132EF9">
        <w:rPr>
          <w:rFonts w:ascii="Times New Roman" w:hAnsi="Times New Roman" w:cs="Times New Roman"/>
          <w:sz w:val="22"/>
        </w:rPr>
        <w:t>SPV found themselves</w:t>
      </w:r>
      <w:r w:rsidR="003B6C90">
        <w:rPr>
          <w:rFonts w:ascii="Times New Roman" w:hAnsi="Times New Roman" w:cs="Times New Roman"/>
          <w:sz w:val="22"/>
        </w:rPr>
        <w:t xml:space="preserve"> in a position where </w:t>
      </w:r>
      <w:r w:rsidR="00355780">
        <w:rPr>
          <w:rFonts w:ascii="Times New Roman" w:hAnsi="Times New Roman" w:cs="Times New Roman"/>
          <w:sz w:val="22"/>
        </w:rPr>
        <w:t>they were</w:t>
      </w:r>
      <w:r w:rsidR="003B6C90">
        <w:rPr>
          <w:rFonts w:ascii="Times New Roman" w:hAnsi="Times New Roman" w:cs="Times New Roman"/>
          <w:sz w:val="22"/>
        </w:rPr>
        <w:t xml:space="preserve"> unable to satisfy </w:t>
      </w:r>
      <w:r w:rsidR="00355780">
        <w:rPr>
          <w:rFonts w:ascii="Times New Roman" w:hAnsi="Times New Roman" w:cs="Times New Roman"/>
          <w:sz w:val="22"/>
        </w:rPr>
        <w:t>their</w:t>
      </w:r>
      <w:r w:rsidR="003B6C90">
        <w:rPr>
          <w:rFonts w:ascii="Times New Roman" w:hAnsi="Times New Roman" w:cs="Times New Roman"/>
          <w:sz w:val="22"/>
        </w:rPr>
        <w:t xml:space="preserve"> commitments due to the financial institutions</w:t>
      </w:r>
      <w:r w:rsidR="00F849FE">
        <w:rPr>
          <w:rFonts w:ascii="Times New Roman" w:hAnsi="Times New Roman" w:cs="Times New Roman"/>
          <w:sz w:val="22"/>
        </w:rPr>
        <w:t xml:space="preserve"> </w:t>
      </w:r>
      <w:r w:rsidR="00F849FE" w:rsidRPr="00F849FE">
        <w:rPr>
          <w:rFonts w:ascii="Times New Roman" w:hAnsi="Times New Roman" w:cs="Times New Roman"/>
          <w:sz w:val="22"/>
        </w:rPr>
        <w:t>(BusinessMap</w:t>
      </w:r>
      <w:r w:rsidR="00363591">
        <w:rPr>
          <w:rFonts w:ascii="Times New Roman" w:hAnsi="Times New Roman" w:cs="Times New Roman"/>
          <w:sz w:val="22"/>
        </w:rPr>
        <w:t xml:space="preserve"> Foundation</w:t>
      </w:r>
      <w:r w:rsidR="00F849FE" w:rsidRPr="00F849FE">
        <w:rPr>
          <w:rFonts w:ascii="Times New Roman" w:hAnsi="Times New Roman" w:cs="Times New Roman"/>
          <w:sz w:val="22"/>
        </w:rPr>
        <w:t>, 1999)</w:t>
      </w:r>
      <w:r w:rsidR="003B6C90">
        <w:rPr>
          <w:rFonts w:ascii="Times New Roman" w:hAnsi="Times New Roman" w:cs="Times New Roman"/>
          <w:sz w:val="22"/>
        </w:rPr>
        <w:t>.</w:t>
      </w:r>
      <w:r w:rsidR="00F849FE">
        <w:rPr>
          <w:rFonts w:ascii="Times New Roman" w:hAnsi="Times New Roman" w:cs="Times New Roman"/>
          <w:sz w:val="22"/>
        </w:rPr>
        <w:t xml:space="preserve"> </w:t>
      </w:r>
      <w:r w:rsidR="003B6C90">
        <w:rPr>
          <w:rFonts w:ascii="Times New Roman" w:hAnsi="Times New Roman" w:cs="Times New Roman"/>
          <w:sz w:val="22"/>
        </w:rPr>
        <w:t xml:space="preserve"> </w:t>
      </w:r>
    </w:p>
    <w:p w14:paraId="15785C2C" w14:textId="77777777" w:rsidR="003B6C90" w:rsidRDefault="003B6C90"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These </w:t>
      </w:r>
      <w:r w:rsidR="00355780">
        <w:rPr>
          <w:rFonts w:ascii="Times New Roman" w:hAnsi="Times New Roman" w:cs="Times New Roman"/>
          <w:sz w:val="22"/>
        </w:rPr>
        <w:t>following are other disadvantages that</w:t>
      </w:r>
      <w:r>
        <w:rPr>
          <w:rFonts w:ascii="Times New Roman" w:hAnsi="Times New Roman" w:cs="Times New Roman"/>
          <w:sz w:val="22"/>
        </w:rPr>
        <w:t xml:space="preserve"> materialised with the fall of the first wave of BBBEE funding</w:t>
      </w:r>
      <w:r w:rsidR="00414FC4">
        <w:rPr>
          <w:rFonts w:ascii="Times New Roman" w:hAnsi="Times New Roman" w:cs="Times New Roman"/>
          <w:sz w:val="22"/>
        </w:rPr>
        <w:t xml:space="preserve"> in 1998 (N</w:t>
      </w:r>
      <w:r w:rsidR="00F849FE" w:rsidRPr="00F849FE">
        <w:rPr>
          <w:rFonts w:ascii="Times New Roman" w:hAnsi="Times New Roman" w:cs="Times New Roman"/>
          <w:sz w:val="22"/>
        </w:rPr>
        <w:t>hlapo, 2008</w:t>
      </w:r>
      <w:r w:rsidR="00675F64">
        <w:rPr>
          <w:rFonts w:ascii="Times New Roman" w:hAnsi="Times New Roman" w:cs="Times New Roman"/>
          <w:sz w:val="22"/>
        </w:rPr>
        <w:t xml:space="preserve">; </w:t>
      </w:r>
      <w:r w:rsidR="002E523D">
        <w:rPr>
          <w:rFonts w:ascii="Times New Roman" w:hAnsi="Times New Roman" w:cs="Times New Roman"/>
          <w:sz w:val="22"/>
        </w:rPr>
        <w:t>Plaatjies, 2014</w:t>
      </w:r>
      <w:r w:rsidR="00F849FE" w:rsidRPr="00F849FE">
        <w:rPr>
          <w:rFonts w:ascii="Times New Roman" w:hAnsi="Times New Roman" w:cs="Times New Roman"/>
          <w:sz w:val="22"/>
        </w:rPr>
        <w:t>)</w:t>
      </w:r>
      <w:r>
        <w:rPr>
          <w:rFonts w:ascii="Times New Roman" w:hAnsi="Times New Roman" w:cs="Times New Roman"/>
          <w:sz w:val="22"/>
        </w:rPr>
        <w:t>:</w:t>
      </w:r>
    </w:p>
    <w:p w14:paraId="4574CD7D" w14:textId="77777777" w:rsidR="003B6C90" w:rsidRDefault="00355780" w:rsidP="00536234">
      <w:pPr>
        <w:pStyle w:val="ListParagraph"/>
        <w:numPr>
          <w:ilvl w:val="0"/>
          <w:numId w:val="3"/>
        </w:numPr>
        <w:spacing w:line="480" w:lineRule="auto"/>
        <w:ind w:left="0"/>
        <w:rPr>
          <w:rFonts w:ascii="Times New Roman" w:hAnsi="Times New Roman" w:cs="Times New Roman"/>
          <w:sz w:val="22"/>
        </w:rPr>
      </w:pPr>
      <w:r>
        <w:rPr>
          <w:rFonts w:ascii="Times New Roman" w:hAnsi="Times New Roman" w:cs="Times New Roman"/>
          <w:sz w:val="22"/>
        </w:rPr>
        <w:t>Models</w:t>
      </w:r>
      <w:r w:rsidR="003B6C90">
        <w:rPr>
          <w:rFonts w:ascii="Times New Roman" w:hAnsi="Times New Roman" w:cs="Times New Roman"/>
          <w:sz w:val="22"/>
        </w:rPr>
        <w:t xml:space="preserve"> were created to be sustained in a market which performed well. Therefore, as soon as the market began to perform poorly, the success of these deals began to </w:t>
      </w:r>
      <w:r w:rsidR="00414FC4">
        <w:rPr>
          <w:rFonts w:ascii="Times New Roman" w:hAnsi="Times New Roman" w:cs="Times New Roman"/>
          <w:sz w:val="22"/>
        </w:rPr>
        <w:t>decrease</w:t>
      </w:r>
      <w:r>
        <w:rPr>
          <w:rFonts w:ascii="Times New Roman" w:hAnsi="Times New Roman" w:cs="Times New Roman"/>
          <w:sz w:val="22"/>
        </w:rPr>
        <w:t xml:space="preserve"> until the point where they</w:t>
      </w:r>
      <w:r w:rsidR="003B6C90">
        <w:rPr>
          <w:rFonts w:ascii="Times New Roman" w:hAnsi="Times New Roman" w:cs="Times New Roman"/>
          <w:sz w:val="22"/>
        </w:rPr>
        <w:t xml:space="preserve"> disappeared completely.</w:t>
      </w:r>
    </w:p>
    <w:p w14:paraId="2CFC1585" w14:textId="77777777" w:rsidR="003B6C90" w:rsidRDefault="003B6C90" w:rsidP="00536234">
      <w:pPr>
        <w:pStyle w:val="ListParagraph"/>
        <w:numPr>
          <w:ilvl w:val="0"/>
          <w:numId w:val="3"/>
        </w:numPr>
        <w:spacing w:line="480" w:lineRule="auto"/>
        <w:ind w:left="0"/>
        <w:rPr>
          <w:rFonts w:ascii="Times New Roman" w:hAnsi="Times New Roman" w:cs="Times New Roman"/>
          <w:sz w:val="22"/>
        </w:rPr>
      </w:pPr>
      <w:r>
        <w:rPr>
          <w:rFonts w:ascii="Times New Roman" w:hAnsi="Times New Roman" w:cs="Times New Roman"/>
          <w:sz w:val="22"/>
        </w:rPr>
        <w:t xml:space="preserve">The shares owned by BBBEE beneficiaries in the issuing company generally did not provide them with any voting rights. The effect of this is that they could not voice their concerns in the strategic decision making process of the issuing company.  </w:t>
      </w:r>
      <w:r w:rsidR="00355780">
        <w:rPr>
          <w:rFonts w:ascii="Times New Roman" w:hAnsi="Times New Roman" w:cs="Times New Roman"/>
          <w:sz w:val="22"/>
        </w:rPr>
        <w:t>As a result</w:t>
      </w:r>
      <w:r w:rsidR="00642C7F">
        <w:rPr>
          <w:rFonts w:ascii="Times New Roman" w:hAnsi="Times New Roman" w:cs="Times New Roman"/>
          <w:sz w:val="22"/>
        </w:rPr>
        <w:t>,</w:t>
      </w:r>
      <w:r>
        <w:rPr>
          <w:rFonts w:ascii="Times New Roman" w:hAnsi="Times New Roman" w:cs="Times New Roman"/>
          <w:sz w:val="22"/>
        </w:rPr>
        <w:t xml:space="preserve"> they could not successfully bring </w:t>
      </w:r>
      <w:r w:rsidR="00642C7F">
        <w:rPr>
          <w:rFonts w:ascii="Times New Roman" w:hAnsi="Times New Roman" w:cs="Times New Roman"/>
          <w:sz w:val="22"/>
        </w:rPr>
        <w:t>to</w:t>
      </w:r>
      <w:r>
        <w:rPr>
          <w:rFonts w:ascii="Times New Roman" w:hAnsi="Times New Roman" w:cs="Times New Roman"/>
          <w:sz w:val="22"/>
        </w:rPr>
        <w:t xml:space="preserve"> </w:t>
      </w:r>
      <w:r w:rsidR="00642C7F">
        <w:rPr>
          <w:rFonts w:ascii="Times New Roman" w:hAnsi="Times New Roman" w:cs="Times New Roman"/>
          <w:sz w:val="22"/>
        </w:rPr>
        <w:t xml:space="preserve">management’s attention </w:t>
      </w:r>
      <w:r>
        <w:rPr>
          <w:rFonts w:ascii="Times New Roman" w:hAnsi="Times New Roman" w:cs="Times New Roman"/>
          <w:sz w:val="22"/>
        </w:rPr>
        <w:t xml:space="preserve">the problems </w:t>
      </w:r>
      <w:r w:rsidR="00642C7F">
        <w:rPr>
          <w:rFonts w:ascii="Times New Roman" w:hAnsi="Times New Roman" w:cs="Times New Roman"/>
          <w:sz w:val="22"/>
        </w:rPr>
        <w:t>being experiencing by them</w:t>
      </w:r>
      <w:r>
        <w:rPr>
          <w:rFonts w:ascii="Times New Roman" w:hAnsi="Times New Roman" w:cs="Times New Roman"/>
          <w:sz w:val="22"/>
        </w:rPr>
        <w:t>.</w:t>
      </w:r>
    </w:p>
    <w:p w14:paraId="5DD25260" w14:textId="77777777" w:rsidR="003B6C90" w:rsidRDefault="003B6C90" w:rsidP="00536234">
      <w:pPr>
        <w:pStyle w:val="ListParagraph"/>
        <w:numPr>
          <w:ilvl w:val="0"/>
          <w:numId w:val="3"/>
        </w:numPr>
        <w:spacing w:line="480" w:lineRule="auto"/>
        <w:ind w:left="0"/>
        <w:rPr>
          <w:rFonts w:ascii="Times New Roman" w:hAnsi="Times New Roman" w:cs="Times New Roman"/>
          <w:sz w:val="22"/>
        </w:rPr>
      </w:pPr>
      <w:r>
        <w:rPr>
          <w:rFonts w:ascii="Times New Roman" w:hAnsi="Times New Roman" w:cs="Times New Roman"/>
          <w:sz w:val="22"/>
        </w:rPr>
        <w:t xml:space="preserve">The structure of the </w:t>
      </w:r>
      <w:r w:rsidR="00642C7F">
        <w:rPr>
          <w:rFonts w:ascii="Times New Roman" w:hAnsi="Times New Roman" w:cs="Times New Roman"/>
          <w:sz w:val="22"/>
        </w:rPr>
        <w:t>deal entered into with</w:t>
      </w:r>
      <w:r>
        <w:rPr>
          <w:rFonts w:ascii="Times New Roman" w:hAnsi="Times New Roman" w:cs="Times New Roman"/>
          <w:sz w:val="22"/>
        </w:rPr>
        <w:t xml:space="preserve"> BBBEE beneficiaries were generally not flexible</w:t>
      </w:r>
      <w:r w:rsidR="00642C7F">
        <w:rPr>
          <w:rFonts w:ascii="Times New Roman" w:hAnsi="Times New Roman" w:cs="Times New Roman"/>
          <w:sz w:val="22"/>
        </w:rPr>
        <w:t xml:space="preserve">. This is because </w:t>
      </w:r>
      <w:r>
        <w:rPr>
          <w:rFonts w:ascii="Times New Roman" w:hAnsi="Times New Roman" w:cs="Times New Roman"/>
          <w:sz w:val="22"/>
        </w:rPr>
        <w:t xml:space="preserve">they were locked in for a fixed period of time. </w:t>
      </w:r>
      <w:r w:rsidR="00355780">
        <w:rPr>
          <w:rFonts w:ascii="Times New Roman" w:hAnsi="Times New Roman" w:cs="Times New Roman"/>
          <w:sz w:val="22"/>
        </w:rPr>
        <w:t>This meant that</w:t>
      </w:r>
      <w:r>
        <w:rPr>
          <w:rFonts w:ascii="Times New Roman" w:hAnsi="Times New Roman" w:cs="Times New Roman"/>
          <w:sz w:val="22"/>
        </w:rPr>
        <w:t xml:space="preserve"> they could not be sold by the beneficiaries in order to resolve </w:t>
      </w:r>
      <w:r w:rsidR="00642C7F">
        <w:rPr>
          <w:rFonts w:ascii="Times New Roman" w:hAnsi="Times New Roman" w:cs="Times New Roman"/>
          <w:sz w:val="22"/>
        </w:rPr>
        <w:t>problems of</w:t>
      </w:r>
      <w:r>
        <w:rPr>
          <w:rFonts w:ascii="Times New Roman" w:hAnsi="Times New Roman" w:cs="Times New Roman"/>
          <w:sz w:val="22"/>
        </w:rPr>
        <w:t xml:space="preserve"> financial distress </w:t>
      </w:r>
      <w:r w:rsidR="00642C7F">
        <w:rPr>
          <w:rFonts w:ascii="Times New Roman" w:hAnsi="Times New Roman" w:cs="Times New Roman"/>
          <w:sz w:val="22"/>
        </w:rPr>
        <w:t>being faced by them at</w:t>
      </w:r>
      <w:r>
        <w:rPr>
          <w:rFonts w:ascii="Times New Roman" w:hAnsi="Times New Roman" w:cs="Times New Roman"/>
          <w:sz w:val="22"/>
        </w:rPr>
        <w:t xml:space="preserve"> the time. </w:t>
      </w:r>
    </w:p>
    <w:p w14:paraId="68AF1C84" w14:textId="77777777" w:rsidR="00853C53" w:rsidRPr="00A14BA6" w:rsidRDefault="00853C53" w:rsidP="00536234">
      <w:pPr>
        <w:pStyle w:val="Heading2"/>
        <w:ind w:left="0"/>
        <w:rPr>
          <w:rFonts w:ascii="Times New Roman" w:hAnsi="Times New Roman" w:cs="Times New Roman"/>
          <w:b/>
          <w:color w:val="auto"/>
          <w:sz w:val="24"/>
        </w:rPr>
      </w:pPr>
      <w:bookmarkStart w:id="30" w:name="_Toc506717776"/>
      <w:r w:rsidRPr="00A14BA6">
        <w:rPr>
          <w:rFonts w:ascii="Times New Roman" w:hAnsi="Times New Roman" w:cs="Times New Roman"/>
          <w:b/>
          <w:color w:val="auto"/>
          <w:sz w:val="24"/>
        </w:rPr>
        <w:lastRenderedPageBreak/>
        <w:t>2.</w:t>
      </w:r>
      <w:r w:rsidR="00FA26C0" w:rsidRPr="00A14BA6">
        <w:rPr>
          <w:rFonts w:ascii="Times New Roman" w:hAnsi="Times New Roman" w:cs="Times New Roman"/>
          <w:b/>
          <w:color w:val="auto"/>
          <w:sz w:val="24"/>
        </w:rPr>
        <w:t>3</w:t>
      </w:r>
      <w:r w:rsidRPr="00A14BA6">
        <w:rPr>
          <w:rFonts w:ascii="Times New Roman" w:hAnsi="Times New Roman" w:cs="Times New Roman"/>
          <w:b/>
          <w:color w:val="auto"/>
          <w:sz w:val="24"/>
        </w:rPr>
        <w:t>.4</w:t>
      </w:r>
      <w:r w:rsidRPr="00A14BA6">
        <w:rPr>
          <w:rFonts w:ascii="Times New Roman" w:hAnsi="Times New Roman" w:cs="Times New Roman"/>
          <w:b/>
          <w:color w:val="auto"/>
          <w:sz w:val="24"/>
        </w:rPr>
        <w:tab/>
        <w:t>Second Phase of Funding Models</w:t>
      </w:r>
      <w:bookmarkEnd w:id="30"/>
    </w:p>
    <w:p w14:paraId="20E5E685" w14:textId="77777777" w:rsidR="009A6DBF" w:rsidRDefault="009A6DBF"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success of the second phase of funding models was dependent on the development of models which were not susceptible to the same problems </w:t>
      </w:r>
      <w:r w:rsidR="00414FC4">
        <w:rPr>
          <w:rFonts w:ascii="Times New Roman" w:hAnsi="Times New Roman" w:cs="Times New Roman"/>
          <w:sz w:val="22"/>
        </w:rPr>
        <w:t>that brought an end to the first funding phase.</w:t>
      </w:r>
      <w:r>
        <w:rPr>
          <w:rFonts w:ascii="Times New Roman" w:hAnsi="Times New Roman" w:cs="Times New Roman"/>
          <w:sz w:val="22"/>
        </w:rPr>
        <w:t xml:space="preserve"> </w:t>
      </w:r>
      <w:r w:rsidR="00642C7F">
        <w:rPr>
          <w:rFonts w:ascii="Times New Roman" w:hAnsi="Times New Roman" w:cs="Times New Roman"/>
          <w:sz w:val="22"/>
        </w:rPr>
        <w:t>Further, o</w:t>
      </w:r>
      <w:r w:rsidR="007D060D">
        <w:rPr>
          <w:rFonts w:ascii="Times New Roman" w:hAnsi="Times New Roman" w:cs="Times New Roman"/>
          <w:sz w:val="22"/>
        </w:rPr>
        <w:t xml:space="preserve">ne of the standout differences between the </w:t>
      </w:r>
      <w:r w:rsidR="00642C7F">
        <w:rPr>
          <w:rFonts w:ascii="Times New Roman" w:hAnsi="Times New Roman" w:cs="Times New Roman"/>
          <w:sz w:val="22"/>
        </w:rPr>
        <w:t>states</w:t>
      </w:r>
      <w:r w:rsidR="007D060D">
        <w:rPr>
          <w:rFonts w:ascii="Times New Roman" w:hAnsi="Times New Roman" w:cs="Times New Roman"/>
          <w:sz w:val="22"/>
        </w:rPr>
        <w:t xml:space="preserve"> of Black participants during the first phase</w:t>
      </w:r>
      <w:r w:rsidR="00642C7F">
        <w:rPr>
          <w:rFonts w:ascii="Times New Roman" w:hAnsi="Times New Roman" w:cs="Times New Roman"/>
          <w:sz w:val="22"/>
        </w:rPr>
        <w:t>,</w:t>
      </w:r>
      <w:r w:rsidR="007D060D">
        <w:rPr>
          <w:rFonts w:ascii="Times New Roman" w:hAnsi="Times New Roman" w:cs="Times New Roman"/>
          <w:sz w:val="22"/>
        </w:rPr>
        <w:t xml:space="preserve"> as compare</w:t>
      </w:r>
      <w:r w:rsidR="00414FC4">
        <w:rPr>
          <w:rFonts w:ascii="Times New Roman" w:hAnsi="Times New Roman" w:cs="Times New Roman"/>
          <w:sz w:val="22"/>
        </w:rPr>
        <w:t>d</w:t>
      </w:r>
      <w:r w:rsidR="007D060D">
        <w:rPr>
          <w:rFonts w:ascii="Times New Roman" w:hAnsi="Times New Roman" w:cs="Times New Roman"/>
          <w:sz w:val="22"/>
        </w:rPr>
        <w:t xml:space="preserve"> to that at the start of the second phase</w:t>
      </w:r>
      <w:r w:rsidR="00642C7F">
        <w:rPr>
          <w:rFonts w:ascii="Times New Roman" w:hAnsi="Times New Roman" w:cs="Times New Roman"/>
          <w:sz w:val="22"/>
        </w:rPr>
        <w:t>,</w:t>
      </w:r>
      <w:r w:rsidR="007D060D">
        <w:rPr>
          <w:rFonts w:ascii="Times New Roman" w:hAnsi="Times New Roman" w:cs="Times New Roman"/>
          <w:sz w:val="22"/>
        </w:rPr>
        <w:t xml:space="preserve"> was that </w:t>
      </w:r>
      <w:r w:rsidR="00414FC4">
        <w:rPr>
          <w:rFonts w:ascii="Times New Roman" w:hAnsi="Times New Roman" w:cs="Times New Roman"/>
          <w:sz w:val="22"/>
        </w:rPr>
        <w:t xml:space="preserve">these individuals were now </w:t>
      </w:r>
      <w:r w:rsidR="007D060D">
        <w:rPr>
          <w:rFonts w:ascii="Times New Roman" w:hAnsi="Times New Roman" w:cs="Times New Roman"/>
          <w:sz w:val="22"/>
        </w:rPr>
        <w:t xml:space="preserve">in a better capital position </w:t>
      </w:r>
      <w:r w:rsidR="00355780">
        <w:rPr>
          <w:rFonts w:ascii="Times New Roman" w:hAnsi="Times New Roman" w:cs="Times New Roman"/>
          <w:sz w:val="22"/>
        </w:rPr>
        <w:t>than</w:t>
      </w:r>
      <w:r w:rsidR="007D060D">
        <w:rPr>
          <w:rFonts w:ascii="Times New Roman" w:hAnsi="Times New Roman" w:cs="Times New Roman"/>
          <w:sz w:val="22"/>
        </w:rPr>
        <w:t xml:space="preserve"> before. This is because they previously had a tight capital constraint at the time that Apartheid had ended,</w:t>
      </w:r>
      <w:r w:rsidR="00074F54">
        <w:rPr>
          <w:rFonts w:ascii="Times New Roman" w:hAnsi="Times New Roman" w:cs="Times New Roman"/>
          <w:sz w:val="22"/>
        </w:rPr>
        <w:t xml:space="preserve"> but</w:t>
      </w:r>
      <w:r w:rsidR="007D060D">
        <w:rPr>
          <w:rFonts w:ascii="Times New Roman" w:hAnsi="Times New Roman" w:cs="Times New Roman"/>
          <w:sz w:val="22"/>
        </w:rPr>
        <w:t xml:space="preserve"> </w:t>
      </w:r>
      <w:r w:rsidR="00355780">
        <w:rPr>
          <w:rFonts w:ascii="Times New Roman" w:hAnsi="Times New Roman" w:cs="Times New Roman"/>
          <w:sz w:val="22"/>
        </w:rPr>
        <w:t>in the</w:t>
      </w:r>
      <w:r w:rsidR="007D060D">
        <w:rPr>
          <w:rFonts w:ascii="Times New Roman" w:hAnsi="Times New Roman" w:cs="Times New Roman"/>
          <w:sz w:val="22"/>
        </w:rPr>
        <w:t xml:space="preserve"> years since its end</w:t>
      </w:r>
      <w:r w:rsidR="00355780">
        <w:rPr>
          <w:rFonts w:ascii="Times New Roman" w:hAnsi="Times New Roman" w:cs="Times New Roman"/>
          <w:sz w:val="22"/>
        </w:rPr>
        <w:t xml:space="preserve"> they</w:t>
      </w:r>
      <w:r w:rsidR="007D060D">
        <w:rPr>
          <w:rFonts w:ascii="Times New Roman" w:hAnsi="Times New Roman" w:cs="Times New Roman"/>
          <w:sz w:val="22"/>
        </w:rPr>
        <w:t xml:space="preserve"> were given the opportunity to participate in the economy and generate some capital of their own. </w:t>
      </w:r>
    </w:p>
    <w:p w14:paraId="2EC94BBE" w14:textId="304B6017" w:rsidR="007D060D" w:rsidRDefault="007D060D"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As such, Black individuals were, at this point in time, in a better position to </w:t>
      </w:r>
      <w:r w:rsidR="00414FC4">
        <w:rPr>
          <w:rFonts w:ascii="Times New Roman" w:hAnsi="Times New Roman" w:cs="Times New Roman"/>
          <w:sz w:val="22"/>
        </w:rPr>
        <w:t>sustain themselves financially</w:t>
      </w:r>
      <w:r>
        <w:rPr>
          <w:rFonts w:ascii="Times New Roman" w:hAnsi="Times New Roman" w:cs="Times New Roman"/>
          <w:sz w:val="22"/>
        </w:rPr>
        <w:t xml:space="preserve">. This </w:t>
      </w:r>
      <w:r w:rsidR="00355780">
        <w:rPr>
          <w:rFonts w:ascii="Times New Roman" w:hAnsi="Times New Roman" w:cs="Times New Roman"/>
          <w:sz w:val="22"/>
        </w:rPr>
        <w:t>was</w:t>
      </w:r>
      <w:r>
        <w:rPr>
          <w:rFonts w:ascii="Times New Roman" w:hAnsi="Times New Roman" w:cs="Times New Roman"/>
          <w:sz w:val="22"/>
        </w:rPr>
        <w:t xml:space="preserve"> despite the fact that they were still very reliant on financial assistance being provided to them. In order to address these developments, and avoid making the same mista</w:t>
      </w:r>
      <w:r w:rsidR="00C702B1">
        <w:rPr>
          <w:rFonts w:ascii="Times New Roman" w:hAnsi="Times New Roman" w:cs="Times New Roman"/>
          <w:sz w:val="22"/>
        </w:rPr>
        <w:t>kes as those previously made</w:t>
      </w:r>
      <w:r>
        <w:rPr>
          <w:rFonts w:ascii="Times New Roman" w:hAnsi="Times New Roman" w:cs="Times New Roman"/>
          <w:sz w:val="22"/>
        </w:rPr>
        <w:t xml:space="preserve">, new </w:t>
      </w:r>
      <w:r w:rsidR="00C702B1">
        <w:rPr>
          <w:rFonts w:ascii="Times New Roman" w:hAnsi="Times New Roman" w:cs="Times New Roman"/>
          <w:sz w:val="22"/>
        </w:rPr>
        <w:t>financing models</w:t>
      </w:r>
      <w:r>
        <w:rPr>
          <w:rFonts w:ascii="Times New Roman" w:hAnsi="Times New Roman" w:cs="Times New Roman"/>
          <w:sz w:val="22"/>
        </w:rPr>
        <w:t xml:space="preserve"> were </w:t>
      </w:r>
      <w:r w:rsidR="00C702B1">
        <w:rPr>
          <w:rFonts w:ascii="Times New Roman" w:hAnsi="Times New Roman" w:cs="Times New Roman"/>
          <w:sz w:val="22"/>
        </w:rPr>
        <w:t>created</w:t>
      </w:r>
      <w:r>
        <w:rPr>
          <w:rFonts w:ascii="Times New Roman" w:hAnsi="Times New Roman" w:cs="Times New Roman"/>
          <w:sz w:val="22"/>
        </w:rPr>
        <w:t xml:space="preserve"> which were much more complex than those of the past. </w:t>
      </w:r>
      <w:r w:rsidR="00074F54">
        <w:rPr>
          <w:rFonts w:ascii="Times New Roman" w:hAnsi="Times New Roman" w:cs="Times New Roman"/>
          <w:sz w:val="22"/>
        </w:rPr>
        <w:t>Some of these</w:t>
      </w:r>
      <w:r w:rsidR="00C702B1">
        <w:rPr>
          <w:rFonts w:ascii="Times New Roman" w:hAnsi="Times New Roman" w:cs="Times New Roman"/>
          <w:sz w:val="22"/>
        </w:rPr>
        <w:t xml:space="preserve"> new financing models consisted of a combination of debt and equity</w:t>
      </w:r>
      <w:r w:rsidR="009036E6">
        <w:rPr>
          <w:rFonts w:ascii="Times New Roman" w:hAnsi="Times New Roman" w:cs="Times New Roman"/>
          <w:sz w:val="22"/>
        </w:rPr>
        <w:t xml:space="preserve"> (Pinnock &amp; Butler, 2005)</w:t>
      </w:r>
      <w:r w:rsidR="00C702B1">
        <w:rPr>
          <w:rFonts w:ascii="Times New Roman" w:hAnsi="Times New Roman" w:cs="Times New Roman"/>
          <w:sz w:val="22"/>
        </w:rPr>
        <w:t>. Examples of these include items such as deferred shares, options as well as preference shares</w:t>
      </w:r>
      <w:r w:rsidR="00F849FE">
        <w:rPr>
          <w:rFonts w:ascii="Times New Roman" w:hAnsi="Times New Roman" w:cs="Times New Roman"/>
          <w:sz w:val="22"/>
        </w:rPr>
        <w:t xml:space="preserve"> </w:t>
      </w:r>
      <w:r w:rsidR="009036E6">
        <w:rPr>
          <w:rFonts w:ascii="Times New Roman" w:hAnsi="Times New Roman" w:cs="Times New Roman"/>
          <w:sz w:val="22"/>
        </w:rPr>
        <w:t>(</w:t>
      </w:r>
      <w:r w:rsidR="00754828">
        <w:rPr>
          <w:rFonts w:ascii="Times New Roman" w:hAnsi="Times New Roman" w:cs="Times New Roman"/>
          <w:sz w:val="22"/>
        </w:rPr>
        <w:t xml:space="preserve">X. </w:t>
      </w:r>
      <w:r w:rsidR="009036E6">
        <w:rPr>
          <w:rFonts w:ascii="Times New Roman" w:hAnsi="Times New Roman" w:cs="Times New Roman"/>
          <w:sz w:val="22"/>
        </w:rPr>
        <w:t>Mangcu</w:t>
      </w:r>
      <w:r w:rsidR="00F04E8C">
        <w:rPr>
          <w:rFonts w:ascii="Times New Roman" w:hAnsi="Times New Roman" w:cs="Times New Roman"/>
          <w:sz w:val="22"/>
        </w:rPr>
        <w:t>,</w:t>
      </w:r>
      <w:r w:rsidR="009036E6">
        <w:rPr>
          <w:rFonts w:ascii="Times New Roman" w:hAnsi="Times New Roman" w:cs="Times New Roman"/>
          <w:sz w:val="22"/>
        </w:rPr>
        <w:t xml:space="preserve"> Marcus</w:t>
      </w:r>
      <w:r w:rsidR="00F04E8C">
        <w:rPr>
          <w:rFonts w:ascii="Times New Roman" w:hAnsi="Times New Roman" w:cs="Times New Roman"/>
          <w:sz w:val="22"/>
        </w:rPr>
        <w:t>,</w:t>
      </w:r>
      <w:r w:rsidR="009036E6">
        <w:rPr>
          <w:rFonts w:ascii="Times New Roman" w:hAnsi="Times New Roman" w:cs="Times New Roman"/>
          <w:sz w:val="22"/>
        </w:rPr>
        <w:t xml:space="preserve"> Shubane</w:t>
      </w:r>
      <w:r w:rsidR="00F04E8C">
        <w:rPr>
          <w:rFonts w:ascii="Times New Roman" w:hAnsi="Times New Roman" w:cs="Times New Roman"/>
          <w:sz w:val="22"/>
        </w:rPr>
        <w:t>,</w:t>
      </w:r>
      <w:r w:rsidR="009036E6">
        <w:rPr>
          <w:rFonts w:ascii="Times New Roman" w:hAnsi="Times New Roman" w:cs="Times New Roman"/>
          <w:sz w:val="22"/>
        </w:rPr>
        <w:t xml:space="preserve"> &amp; Hadand, 2007)</w:t>
      </w:r>
      <w:r w:rsidR="00C702B1">
        <w:rPr>
          <w:rFonts w:ascii="Times New Roman" w:hAnsi="Times New Roman" w:cs="Times New Roman"/>
          <w:sz w:val="22"/>
        </w:rPr>
        <w:t>. The objective of these new financial instruments was to ensure sustainability</w:t>
      </w:r>
      <w:r w:rsidR="00414FC4">
        <w:rPr>
          <w:rFonts w:ascii="Times New Roman" w:hAnsi="Times New Roman" w:cs="Times New Roman"/>
          <w:sz w:val="22"/>
        </w:rPr>
        <w:t>,</w:t>
      </w:r>
      <w:r w:rsidR="00C702B1">
        <w:rPr>
          <w:rFonts w:ascii="Times New Roman" w:hAnsi="Times New Roman" w:cs="Times New Roman"/>
          <w:sz w:val="22"/>
        </w:rPr>
        <w:t xml:space="preserve"> along with the need to suit the</w:t>
      </w:r>
      <w:r w:rsidR="00414FC4">
        <w:rPr>
          <w:rFonts w:ascii="Times New Roman" w:hAnsi="Times New Roman" w:cs="Times New Roman"/>
          <w:sz w:val="22"/>
        </w:rPr>
        <w:t xml:space="preserve"> individual</w:t>
      </w:r>
      <w:r w:rsidR="00C702B1">
        <w:rPr>
          <w:rFonts w:ascii="Times New Roman" w:hAnsi="Times New Roman" w:cs="Times New Roman"/>
          <w:sz w:val="22"/>
        </w:rPr>
        <w:t xml:space="preserve"> needs of the transacting BBBEE participant. These new funding models </w:t>
      </w:r>
      <w:r w:rsidR="00414FC4">
        <w:rPr>
          <w:rFonts w:ascii="Times New Roman" w:hAnsi="Times New Roman" w:cs="Times New Roman"/>
          <w:sz w:val="22"/>
        </w:rPr>
        <w:t>have been</w:t>
      </w:r>
      <w:r w:rsidR="00C702B1">
        <w:rPr>
          <w:rFonts w:ascii="Times New Roman" w:hAnsi="Times New Roman" w:cs="Times New Roman"/>
          <w:sz w:val="22"/>
        </w:rPr>
        <w:t xml:space="preserve"> discussed below:</w:t>
      </w:r>
    </w:p>
    <w:p w14:paraId="7B6B802D" w14:textId="77777777" w:rsidR="00BD48BC" w:rsidRPr="00A14BA6" w:rsidRDefault="008A0FCE" w:rsidP="00536234">
      <w:pPr>
        <w:pStyle w:val="Heading3"/>
        <w:ind w:left="0"/>
        <w:rPr>
          <w:rFonts w:ascii="Times New Roman" w:hAnsi="Times New Roman" w:cs="Times New Roman"/>
          <w:i/>
          <w:color w:val="auto"/>
          <w:sz w:val="22"/>
        </w:rPr>
      </w:pPr>
      <w:bookmarkStart w:id="31" w:name="_Toc506717777"/>
      <w:r>
        <w:rPr>
          <w:rFonts w:ascii="Times New Roman" w:hAnsi="Times New Roman" w:cs="Times New Roman"/>
          <w:i/>
          <w:color w:val="auto"/>
          <w:sz w:val="22"/>
        </w:rPr>
        <w:t>2.3.4.1</w:t>
      </w:r>
      <w:r>
        <w:rPr>
          <w:rFonts w:ascii="Times New Roman" w:hAnsi="Times New Roman" w:cs="Times New Roman"/>
          <w:i/>
          <w:color w:val="auto"/>
          <w:sz w:val="22"/>
        </w:rPr>
        <w:tab/>
      </w:r>
      <w:r w:rsidR="00BD48BC" w:rsidRPr="00A14BA6">
        <w:rPr>
          <w:rFonts w:ascii="Times New Roman" w:hAnsi="Times New Roman" w:cs="Times New Roman"/>
          <w:i/>
          <w:color w:val="auto"/>
          <w:sz w:val="22"/>
        </w:rPr>
        <w:t>Third Party Finance</w:t>
      </w:r>
      <w:bookmarkEnd w:id="31"/>
    </w:p>
    <w:p w14:paraId="66213B7A" w14:textId="77777777" w:rsidR="00355780" w:rsidRDefault="00BD48BC"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most popular type of financing used during the second phase was </w:t>
      </w:r>
      <w:r w:rsidR="00074F54">
        <w:rPr>
          <w:rFonts w:ascii="Times New Roman" w:hAnsi="Times New Roman" w:cs="Times New Roman"/>
          <w:sz w:val="22"/>
        </w:rPr>
        <w:t>that</w:t>
      </w:r>
      <w:r>
        <w:rPr>
          <w:rFonts w:ascii="Times New Roman" w:hAnsi="Times New Roman" w:cs="Times New Roman"/>
          <w:sz w:val="22"/>
        </w:rPr>
        <w:t xml:space="preserve"> of third party financing </w:t>
      </w:r>
      <w:r w:rsidRPr="00231226">
        <w:rPr>
          <w:rFonts w:ascii="Times New Roman" w:hAnsi="Times New Roman" w:cs="Times New Roman"/>
          <w:sz w:val="22"/>
        </w:rPr>
        <w:t>(Nhlapo, 2008</w:t>
      </w:r>
      <w:r>
        <w:rPr>
          <w:rFonts w:ascii="Times New Roman" w:hAnsi="Times New Roman" w:cs="Times New Roman"/>
          <w:sz w:val="22"/>
        </w:rPr>
        <w:t>; Plaatjies, 2014</w:t>
      </w:r>
      <w:r w:rsidRPr="00231226">
        <w:rPr>
          <w:rFonts w:ascii="Times New Roman" w:hAnsi="Times New Roman" w:cs="Times New Roman"/>
          <w:sz w:val="22"/>
        </w:rPr>
        <w:t>)</w:t>
      </w:r>
      <w:r>
        <w:rPr>
          <w:rFonts w:ascii="Times New Roman" w:hAnsi="Times New Roman" w:cs="Times New Roman"/>
          <w:sz w:val="22"/>
        </w:rPr>
        <w:t xml:space="preserve">. The most popular of these being leveraged buy-outs and preference shares </w:t>
      </w:r>
      <w:r w:rsidRPr="00231226">
        <w:rPr>
          <w:rFonts w:ascii="Times New Roman" w:hAnsi="Times New Roman" w:cs="Times New Roman"/>
          <w:sz w:val="22"/>
        </w:rPr>
        <w:t>(Nhlapo, 2008</w:t>
      </w:r>
      <w:r>
        <w:rPr>
          <w:rFonts w:ascii="Times New Roman" w:hAnsi="Times New Roman" w:cs="Times New Roman"/>
          <w:sz w:val="22"/>
        </w:rPr>
        <w:t>; Plaatjies, 2014</w:t>
      </w:r>
      <w:r w:rsidRPr="00231226">
        <w:rPr>
          <w:rFonts w:ascii="Times New Roman" w:hAnsi="Times New Roman" w:cs="Times New Roman"/>
          <w:sz w:val="22"/>
        </w:rPr>
        <w:t>)</w:t>
      </w:r>
      <w:r>
        <w:rPr>
          <w:rFonts w:ascii="Times New Roman" w:hAnsi="Times New Roman" w:cs="Times New Roman"/>
          <w:sz w:val="22"/>
        </w:rPr>
        <w:t xml:space="preserve">. They were generally provided by banks or </w:t>
      </w:r>
      <w:r w:rsidR="00074F54">
        <w:rPr>
          <w:rFonts w:ascii="Times New Roman" w:hAnsi="Times New Roman" w:cs="Times New Roman"/>
          <w:sz w:val="22"/>
        </w:rPr>
        <w:t>similar</w:t>
      </w:r>
      <w:r>
        <w:rPr>
          <w:rFonts w:ascii="Times New Roman" w:hAnsi="Times New Roman" w:cs="Times New Roman"/>
          <w:sz w:val="22"/>
        </w:rPr>
        <w:t xml:space="preserve"> financial institutions</w:t>
      </w:r>
      <w:r w:rsidR="00355780">
        <w:rPr>
          <w:rFonts w:ascii="Times New Roman" w:hAnsi="Times New Roman" w:cs="Times New Roman"/>
          <w:sz w:val="22"/>
        </w:rPr>
        <w:t>.</w:t>
      </w:r>
    </w:p>
    <w:p w14:paraId="23F39E59" w14:textId="77777777" w:rsidR="00BD48BC" w:rsidRDefault="00355780" w:rsidP="00536234">
      <w:pPr>
        <w:spacing w:line="480" w:lineRule="auto"/>
        <w:ind w:left="0" w:firstLine="0"/>
        <w:rPr>
          <w:rFonts w:ascii="Times New Roman" w:hAnsi="Times New Roman" w:cs="Times New Roman"/>
          <w:sz w:val="22"/>
        </w:rPr>
      </w:pPr>
      <w:r>
        <w:rPr>
          <w:rFonts w:ascii="Times New Roman" w:hAnsi="Times New Roman" w:cs="Times New Roman"/>
          <w:sz w:val="22"/>
        </w:rPr>
        <w:t>Third party finance in the form of l</w:t>
      </w:r>
      <w:r w:rsidR="00BD48BC">
        <w:rPr>
          <w:rFonts w:ascii="Times New Roman" w:hAnsi="Times New Roman" w:cs="Times New Roman"/>
          <w:sz w:val="22"/>
        </w:rPr>
        <w:t xml:space="preserve">everaged buy-outs allowed BBBEE companies to acquire a part of a business from a transacting company seeking BBBEE credits (Jack &amp; Harris, 2007). This business would then be empowered at the highest level by allowing beneficiaries to </w:t>
      </w:r>
      <w:r w:rsidR="00074F54">
        <w:rPr>
          <w:rFonts w:ascii="Times New Roman" w:hAnsi="Times New Roman" w:cs="Times New Roman"/>
          <w:sz w:val="22"/>
        </w:rPr>
        <w:t>take on</w:t>
      </w:r>
      <w:r w:rsidR="00BD48BC">
        <w:rPr>
          <w:rFonts w:ascii="Times New Roman" w:hAnsi="Times New Roman" w:cs="Times New Roman"/>
          <w:sz w:val="22"/>
        </w:rPr>
        <w:t xml:space="preserve"> the majority of ownership positions. The newly acquired business would then be signed over as collateral </w:t>
      </w:r>
      <w:r w:rsidR="00074F54">
        <w:rPr>
          <w:rFonts w:ascii="Times New Roman" w:hAnsi="Times New Roman" w:cs="Times New Roman"/>
          <w:sz w:val="22"/>
        </w:rPr>
        <w:t>as a result of the financing which was to be</w:t>
      </w:r>
      <w:r w:rsidR="00BD48BC">
        <w:rPr>
          <w:rFonts w:ascii="Times New Roman" w:hAnsi="Times New Roman" w:cs="Times New Roman"/>
          <w:sz w:val="22"/>
        </w:rPr>
        <w:t xml:space="preserve"> obtained by beneficiarie</w:t>
      </w:r>
      <w:r>
        <w:rPr>
          <w:rFonts w:ascii="Times New Roman" w:hAnsi="Times New Roman" w:cs="Times New Roman"/>
          <w:sz w:val="22"/>
        </w:rPr>
        <w:t>s for the purpose of funding the</w:t>
      </w:r>
      <w:r w:rsidR="00BD48BC">
        <w:rPr>
          <w:rFonts w:ascii="Times New Roman" w:hAnsi="Times New Roman" w:cs="Times New Roman"/>
          <w:sz w:val="22"/>
        </w:rPr>
        <w:t xml:space="preserve"> business </w:t>
      </w:r>
      <w:r w:rsidR="00BD48BC">
        <w:rPr>
          <w:rFonts w:ascii="Times New Roman" w:hAnsi="Times New Roman" w:cs="Times New Roman"/>
          <w:sz w:val="22"/>
        </w:rPr>
        <w:lastRenderedPageBreak/>
        <w:t xml:space="preserve">acquisition. This offered BBBEE beneficiaries the advantage of acquiring a business </w:t>
      </w:r>
      <w:r w:rsidR="00074F54">
        <w:rPr>
          <w:rFonts w:ascii="Times New Roman" w:hAnsi="Times New Roman" w:cs="Times New Roman"/>
          <w:sz w:val="22"/>
        </w:rPr>
        <w:t>with an asset base that</w:t>
      </w:r>
      <w:r w:rsidR="00BD48BC">
        <w:rPr>
          <w:rFonts w:ascii="Times New Roman" w:hAnsi="Times New Roman" w:cs="Times New Roman"/>
          <w:sz w:val="22"/>
        </w:rPr>
        <w:t xml:space="preserve"> could be used to generate subsequent cash flows for the beneficiaries </w:t>
      </w:r>
      <w:r w:rsidR="00BD48BC" w:rsidRPr="00231226">
        <w:rPr>
          <w:rFonts w:ascii="Times New Roman" w:hAnsi="Times New Roman" w:cs="Times New Roman"/>
          <w:sz w:val="22"/>
        </w:rPr>
        <w:t>(Nhlapo, 2008)</w:t>
      </w:r>
      <w:r w:rsidR="00BD48BC">
        <w:rPr>
          <w:rFonts w:ascii="Times New Roman" w:hAnsi="Times New Roman" w:cs="Times New Roman"/>
          <w:sz w:val="22"/>
        </w:rPr>
        <w:t>. There would also be synergies which would help stimulate profits (Jack &amp; Harris, 2007). The only real downside to this type of transaction was experienced by</w:t>
      </w:r>
      <w:r w:rsidR="00074F54">
        <w:rPr>
          <w:rFonts w:ascii="Times New Roman" w:hAnsi="Times New Roman" w:cs="Times New Roman"/>
          <w:sz w:val="22"/>
        </w:rPr>
        <w:t xml:space="preserve"> the</w:t>
      </w:r>
      <w:r w:rsidR="00BD48BC">
        <w:rPr>
          <w:rFonts w:ascii="Times New Roman" w:hAnsi="Times New Roman" w:cs="Times New Roman"/>
          <w:sz w:val="22"/>
        </w:rPr>
        <w:t xml:space="preserve"> issuing company. This is because</w:t>
      </w:r>
      <w:r w:rsidR="00074F54">
        <w:rPr>
          <w:rFonts w:ascii="Times New Roman" w:hAnsi="Times New Roman" w:cs="Times New Roman"/>
          <w:sz w:val="22"/>
        </w:rPr>
        <w:t>,</w:t>
      </w:r>
      <w:r w:rsidR="00BD48BC">
        <w:rPr>
          <w:rFonts w:ascii="Times New Roman" w:hAnsi="Times New Roman" w:cs="Times New Roman"/>
          <w:sz w:val="22"/>
        </w:rPr>
        <w:t xml:space="preserve"> if the deal wasn’t structure</w:t>
      </w:r>
      <w:r w:rsidR="00074F54">
        <w:rPr>
          <w:rFonts w:ascii="Times New Roman" w:hAnsi="Times New Roman" w:cs="Times New Roman"/>
          <w:sz w:val="22"/>
        </w:rPr>
        <w:t>d</w:t>
      </w:r>
      <w:r w:rsidR="00BD48BC">
        <w:rPr>
          <w:rFonts w:ascii="Times New Roman" w:hAnsi="Times New Roman" w:cs="Times New Roman"/>
          <w:sz w:val="22"/>
        </w:rPr>
        <w:t xml:space="preserve"> appropriately</w:t>
      </w:r>
      <w:r w:rsidR="00074F54">
        <w:rPr>
          <w:rFonts w:ascii="Times New Roman" w:hAnsi="Times New Roman" w:cs="Times New Roman"/>
          <w:sz w:val="22"/>
        </w:rPr>
        <w:t>,</w:t>
      </w:r>
      <w:r w:rsidR="00BD48BC">
        <w:rPr>
          <w:rFonts w:ascii="Times New Roman" w:hAnsi="Times New Roman" w:cs="Times New Roman"/>
          <w:sz w:val="22"/>
        </w:rPr>
        <w:t xml:space="preserve"> issuing companies would be subject to extreme tax consequences </w:t>
      </w:r>
      <w:r w:rsidR="00BD48BC" w:rsidRPr="00231226">
        <w:rPr>
          <w:rFonts w:ascii="Times New Roman" w:hAnsi="Times New Roman" w:cs="Times New Roman"/>
          <w:sz w:val="22"/>
        </w:rPr>
        <w:t>(Nhlapo, 2008)</w:t>
      </w:r>
      <w:r w:rsidR="00BD48BC">
        <w:rPr>
          <w:rFonts w:ascii="Times New Roman" w:hAnsi="Times New Roman" w:cs="Times New Roman"/>
          <w:sz w:val="22"/>
        </w:rPr>
        <w:t xml:space="preserve">. </w:t>
      </w:r>
    </w:p>
    <w:p w14:paraId="540E8CCE" w14:textId="77777777" w:rsidR="00BD48BC" w:rsidRDefault="00BD48BC"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These newly formed BBBEE deals would </w:t>
      </w:r>
      <w:r w:rsidR="00074F54">
        <w:rPr>
          <w:rFonts w:ascii="Times New Roman" w:hAnsi="Times New Roman" w:cs="Times New Roman"/>
          <w:sz w:val="22"/>
        </w:rPr>
        <w:t>obtain their funding by</w:t>
      </w:r>
      <w:r>
        <w:rPr>
          <w:rFonts w:ascii="Times New Roman" w:hAnsi="Times New Roman" w:cs="Times New Roman"/>
          <w:sz w:val="22"/>
        </w:rPr>
        <w:t xml:space="preserve"> issu</w:t>
      </w:r>
      <w:r w:rsidR="00074F54">
        <w:rPr>
          <w:rFonts w:ascii="Times New Roman" w:hAnsi="Times New Roman" w:cs="Times New Roman"/>
          <w:sz w:val="22"/>
        </w:rPr>
        <w:t>ing</w:t>
      </w:r>
      <w:r>
        <w:rPr>
          <w:rFonts w:ascii="Times New Roman" w:hAnsi="Times New Roman" w:cs="Times New Roman"/>
          <w:sz w:val="22"/>
        </w:rPr>
        <w:t xml:space="preserve"> non-vo</w:t>
      </w:r>
      <w:r w:rsidR="00066BE9">
        <w:rPr>
          <w:rFonts w:ascii="Times New Roman" w:hAnsi="Times New Roman" w:cs="Times New Roman"/>
          <w:sz w:val="22"/>
        </w:rPr>
        <w:t xml:space="preserve">ting shares to preference </w:t>
      </w:r>
      <w:r w:rsidR="00074F54">
        <w:rPr>
          <w:rFonts w:ascii="Times New Roman" w:hAnsi="Times New Roman" w:cs="Times New Roman"/>
          <w:sz w:val="22"/>
        </w:rPr>
        <w:t>shareholders</w:t>
      </w:r>
      <w:r>
        <w:rPr>
          <w:rFonts w:ascii="Times New Roman" w:hAnsi="Times New Roman" w:cs="Times New Roman"/>
          <w:sz w:val="22"/>
        </w:rPr>
        <w:t xml:space="preserve"> </w:t>
      </w:r>
      <w:r w:rsidRPr="00231226">
        <w:rPr>
          <w:rFonts w:ascii="Times New Roman" w:hAnsi="Times New Roman" w:cs="Times New Roman"/>
          <w:sz w:val="22"/>
        </w:rPr>
        <w:t>(Nhlapo, 2008)</w:t>
      </w:r>
      <w:r>
        <w:rPr>
          <w:rFonts w:ascii="Times New Roman" w:hAnsi="Times New Roman" w:cs="Times New Roman"/>
          <w:sz w:val="22"/>
        </w:rPr>
        <w:t>. This finance w</w:t>
      </w:r>
      <w:r w:rsidR="00066BE9">
        <w:rPr>
          <w:rFonts w:ascii="Times New Roman" w:hAnsi="Times New Roman" w:cs="Times New Roman"/>
          <w:sz w:val="22"/>
        </w:rPr>
        <w:t>ould</w:t>
      </w:r>
      <w:r>
        <w:rPr>
          <w:rFonts w:ascii="Times New Roman" w:hAnsi="Times New Roman" w:cs="Times New Roman"/>
          <w:sz w:val="22"/>
        </w:rPr>
        <w:t xml:space="preserve"> then be used to acquire shares in the parent of the com</w:t>
      </w:r>
      <w:r w:rsidR="00074F54">
        <w:rPr>
          <w:rFonts w:ascii="Times New Roman" w:hAnsi="Times New Roman" w:cs="Times New Roman"/>
          <w:sz w:val="22"/>
        </w:rPr>
        <w:t>pany from which the business would be</w:t>
      </w:r>
      <w:r>
        <w:rPr>
          <w:rFonts w:ascii="Times New Roman" w:hAnsi="Times New Roman" w:cs="Times New Roman"/>
          <w:sz w:val="22"/>
        </w:rPr>
        <w:t xml:space="preserve"> acquired. They w</w:t>
      </w:r>
      <w:r w:rsidR="00066BE9">
        <w:rPr>
          <w:rFonts w:ascii="Times New Roman" w:hAnsi="Times New Roman" w:cs="Times New Roman"/>
          <w:sz w:val="22"/>
        </w:rPr>
        <w:t xml:space="preserve">ould then </w:t>
      </w:r>
      <w:r>
        <w:rPr>
          <w:rFonts w:ascii="Times New Roman" w:hAnsi="Times New Roman" w:cs="Times New Roman"/>
          <w:sz w:val="22"/>
        </w:rPr>
        <w:t xml:space="preserve">use the dividends received from the parent company to assist in </w:t>
      </w:r>
      <w:r w:rsidR="00355780">
        <w:rPr>
          <w:rFonts w:ascii="Times New Roman" w:hAnsi="Times New Roman" w:cs="Times New Roman"/>
          <w:sz w:val="22"/>
        </w:rPr>
        <w:t>meeting their</w:t>
      </w:r>
      <w:r>
        <w:rPr>
          <w:rFonts w:ascii="Times New Roman" w:hAnsi="Times New Roman" w:cs="Times New Roman"/>
          <w:sz w:val="22"/>
        </w:rPr>
        <w:t xml:space="preserve"> financial commitments. Preference shares </w:t>
      </w:r>
      <w:r w:rsidR="00066BE9">
        <w:rPr>
          <w:rFonts w:ascii="Times New Roman" w:hAnsi="Times New Roman" w:cs="Times New Roman"/>
          <w:sz w:val="22"/>
        </w:rPr>
        <w:t>were</w:t>
      </w:r>
      <w:r>
        <w:rPr>
          <w:rFonts w:ascii="Times New Roman" w:hAnsi="Times New Roman" w:cs="Times New Roman"/>
          <w:sz w:val="22"/>
        </w:rPr>
        <w:t xml:space="preserve"> favoured in this regard due to the flexibility that </w:t>
      </w:r>
      <w:r w:rsidR="00355780">
        <w:rPr>
          <w:rFonts w:ascii="Times New Roman" w:hAnsi="Times New Roman" w:cs="Times New Roman"/>
          <w:sz w:val="22"/>
        </w:rPr>
        <w:t>they</w:t>
      </w:r>
      <w:r>
        <w:rPr>
          <w:rFonts w:ascii="Times New Roman" w:hAnsi="Times New Roman" w:cs="Times New Roman"/>
          <w:sz w:val="22"/>
        </w:rPr>
        <w:t xml:space="preserve"> offer</w:t>
      </w:r>
      <w:r w:rsidR="00066BE9">
        <w:rPr>
          <w:rFonts w:ascii="Times New Roman" w:hAnsi="Times New Roman" w:cs="Times New Roman"/>
          <w:sz w:val="22"/>
        </w:rPr>
        <w:t>ed</w:t>
      </w:r>
      <w:r>
        <w:rPr>
          <w:rFonts w:ascii="Times New Roman" w:hAnsi="Times New Roman" w:cs="Times New Roman"/>
          <w:sz w:val="22"/>
        </w:rPr>
        <w:t xml:space="preserve"> the issuer. This is because certain types o</w:t>
      </w:r>
      <w:r w:rsidR="00066BE9">
        <w:rPr>
          <w:rFonts w:ascii="Times New Roman" w:hAnsi="Times New Roman" w:cs="Times New Roman"/>
          <w:sz w:val="22"/>
        </w:rPr>
        <w:t>f preference dividends had</w:t>
      </w:r>
      <w:r>
        <w:rPr>
          <w:rFonts w:ascii="Times New Roman" w:hAnsi="Times New Roman" w:cs="Times New Roman"/>
          <w:sz w:val="22"/>
        </w:rPr>
        <w:t xml:space="preserve"> the option of being accumulate</w:t>
      </w:r>
      <w:r w:rsidR="00066BE9">
        <w:rPr>
          <w:rFonts w:ascii="Times New Roman" w:hAnsi="Times New Roman" w:cs="Times New Roman"/>
          <w:sz w:val="22"/>
        </w:rPr>
        <w:t>d</w:t>
      </w:r>
      <w:r>
        <w:rPr>
          <w:rFonts w:ascii="Times New Roman" w:hAnsi="Times New Roman" w:cs="Times New Roman"/>
          <w:sz w:val="22"/>
        </w:rPr>
        <w:t xml:space="preserve"> which </w:t>
      </w:r>
      <w:r w:rsidR="00066BE9">
        <w:rPr>
          <w:rFonts w:ascii="Times New Roman" w:hAnsi="Times New Roman" w:cs="Times New Roman"/>
          <w:sz w:val="22"/>
        </w:rPr>
        <w:t>would</w:t>
      </w:r>
      <w:r>
        <w:rPr>
          <w:rFonts w:ascii="Times New Roman" w:hAnsi="Times New Roman" w:cs="Times New Roman"/>
          <w:sz w:val="22"/>
        </w:rPr>
        <w:t xml:space="preserve"> reduce the risk of default. They </w:t>
      </w:r>
      <w:r w:rsidR="00066BE9">
        <w:rPr>
          <w:rFonts w:ascii="Times New Roman" w:hAnsi="Times New Roman" w:cs="Times New Roman"/>
          <w:sz w:val="22"/>
        </w:rPr>
        <w:t>could</w:t>
      </w:r>
      <w:r>
        <w:rPr>
          <w:rFonts w:ascii="Times New Roman" w:hAnsi="Times New Roman" w:cs="Times New Roman"/>
          <w:sz w:val="22"/>
        </w:rPr>
        <w:t xml:space="preserve"> also be converted </w:t>
      </w:r>
      <w:r w:rsidR="00066BE9">
        <w:rPr>
          <w:rFonts w:ascii="Times New Roman" w:hAnsi="Times New Roman" w:cs="Times New Roman"/>
          <w:sz w:val="22"/>
        </w:rPr>
        <w:t>in</w:t>
      </w:r>
      <w:r>
        <w:rPr>
          <w:rFonts w:ascii="Times New Roman" w:hAnsi="Times New Roman" w:cs="Times New Roman"/>
          <w:sz w:val="22"/>
        </w:rPr>
        <w:t>to ordinary shares at the option of the issuer</w:t>
      </w:r>
      <w:r w:rsidR="00066BE9">
        <w:rPr>
          <w:rFonts w:ascii="Times New Roman" w:hAnsi="Times New Roman" w:cs="Times New Roman"/>
          <w:sz w:val="22"/>
        </w:rPr>
        <w:t>, or settled for cash</w:t>
      </w:r>
      <w:r>
        <w:rPr>
          <w:rFonts w:ascii="Times New Roman" w:hAnsi="Times New Roman" w:cs="Times New Roman"/>
          <w:sz w:val="22"/>
        </w:rPr>
        <w:t xml:space="preserve">. </w:t>
      </w:r>
    </w:p>
    <w:p w14:paraId="4D3C97D2" w14:textId="77777777" w:rsidR="00BD48BC" w:rsidRDefault="00BD48BC"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other form of third party finance is essentially the same as that which was described under the first phase </w:t>
      </w:r>
      <w:r w:rsidRPr="00231226">
        <w:rPr>
          <w:rFonts w:ascii="Times New Roman" w:hAnsi="Times New Roman" w:cs="Times New Roman"/>
          <w:sz w:val="22"/>
        </w:rPr>
        <w:t>(Nhlapo, 2008</w:t>
      </w:r>
      <w:r>
        <w:rPr>
          <w:rFonts w:ascii="Times New Roman" w:hAnsi="Times New Roman" w:cs="Times New Roman"/>
          <w:sz w:val="22"/>
        </w:rPr>
        <w:t>; Plaatjies, 2014</w:t>
      </w:r>
      <w:r w:rsidRPr="00231226">
        <w:rPr>
          <w:rFonts w:ascii="Times New Roman" w:hAnsi="Times New Roman" w:cs="Times New Roman"/>
          <w:sz w:val="22"/>
        </w:rPr>
        <w:t>)</w:t>
      </w:r>
      <w:r w:rsidR="00A42D84">
        <w:rPr>
          <w:rFonts w:ascii="Times New Roman" w:hAnsi="Times New Roman" w:cs="Times New Roman"/>
          <w:sz w:val="22"/>
        </w:rPr>
        <w:t>. This form of finance involved</w:t>
      </w:r>
      <w:r>
        <w:rPr>
          <w:rFonts w:ascii="Times New Roman" w:hAnsi="Times New Roman" w:cs="Times New Roman"/>
          <w:sz w:val="22"/>
        </w:rPr>
        <w:t xml:space="preserve"> an amount of preference shar</w:t>
      </w:r>
      <w:r w:rsidR="00A42D84">
        <w:rPr>
          <w:rFonts w:ascii="Times New Roman" w:hAnsi="Times New Roman" w:cs="Times New Roman"/>
          <w:sz w:val="22"/>
        </w:rPr>
        <w:t>es</w:t>
      </w:r>
      <w:r>
        <w:rPr>
          <w:rFonts w:ascii="Times New Roman" w:hAnsi="Times New Roman" w:cs="Times New Roman"/>
          <w:sz w:val="22"/>
        </w:rPr>
        <w:t xml:space="preserve"> issued by the BBBEE participant to a financial institution in exchange for cash. The BBBEE beneficiary will then use the cash acquired from this transaction in order to fund the acquisition of shares in the issuing company. These preference shares issued in the name of the financial institution will only be convertible to ordinary equity in the event that the BBBEE beneficiaries default on the</w:t>
      </w:r>
      <w:r w:rsidR="00A42D84">
        <w:rPr>
          <w:rFonts w:ascii="Times New Roman" w:hAnsi="Times New Roman" w:cs="Times New Roman"/>
          <w:sz w:val="22"/>
        </w:rPr>
        <w:t>ir</w:t>
      </w:r>
      <w:r>
        <w:rPr>
          <w:rFonts w:ascii="Times New Roman" w:hAnsi="Times New Roman" w:cs="Times New Roman"/>
          <w:sz w:val="22"/>
        </w:rPr>
        <w:t xml:space="preserve"> contractually agreed payments owed to the bank. This again means that the BBBEE beneficiary will be dependent on the dividend payments made by the issuing company in order to satisfy its contractual agreements with the financial institution. An example of this type of transaction includes that entered into by Standard Bank and Liberty Life </w:t>
      </w:r>
      <w:r w:rsidRPr="00231226">
        <w:rPr>
          <w:rFonts w:ascii="Times New Roman" w:hAnsi="Times New Roman" w:cs="Times New Roman"/>
          <w:sz w:val="22"/>
        </w:rPr>
        <w:t>(Nhlapo, 2008)</w:t>
      </w:r>
      <w:r>
        <w:rPr>
          <w:rFonts w:ascii="Times New Roman" w:hAnsi="Times New Roman" w:cs="Times New Roman"/>
          <w:sz w:val="22"/>
        </w:rPr>
        <w:t xml:space="preserve">.  </w:t>
      </w:r>
    </w:p>
    <w:p w14:paraId="28993D17" w14:textId="77777777" w:rsidR="00C702B1" w:rsidRPr="00A14BA6" w:rsidRDefault="008A0FCE" w:rsidP="00536234">
      <w:pPr>
        <w:pStyle w:val="Heading3"/>
        <w:ind w:left="0"/>
        <w:rPr>
          <w:rFonts w:ascii="Times New Roman" w:hAnsi="Times New Roman" w:cs="Times New Roman"/>
          <w:i/>
          <w:color w:val="auto"/>
          <w:sz w:val="22"/>
        </w:rPr>
      </w:pPr>
      <w:bookmarkStart w:id="32" w:name="_Toc506717778"/>
      <w:r>
        <w:rPr>
          <w:rFonts w:ascii="Times New Roman" w:hAnsi="Times New Roman" w:cs="Times New Roman"/>
          <w:i/>
          <w:color w:val="auto"/>
          <w:sz w:val="22"/>
        </w:rPr>
        <w:t>2.3.4.2</w:t>
      </w:r>
      <w:r>
        <w:rPr>
          <w:rFonts w:ascii="Times New Roman" w:hAnsi="Times New Roman" w:cs="Times New Roman"/>
          <w:i/>
          <w:color w:val="auto"/>
          <w:sz w:val="22"/>
        </w:rPr>
        <w:tab/>
      </w:r>
      <w:r w:rsidR="00C702B1" w:rsidRPr="00A14BA6">
        <w:rPr>
          <w:rFonts w:ascii="Times New Roman" w:hAnsi="Times New Roman" w:cs="Times New Roman"/>
          <w:i/>
          <w:color w:val="auto"/>
          <w:sz w:val="22"/>
        </w:rPr>
        <w:t>Vendor Finance</w:t>
      </w:r>
      <w:bookmarkEnd w:id="32"/>
    </w:p>
    <w:p w14:paraId="19C9611E" w14:textId="0867F98A" w:rsidR="00C702B1" w:rsidRDefault="00F74167" w:rsidP="00536234">
      <w:pPr>
        <w:spacing w:line="480" w:lineRule="auto"/>
        <w:ind w:left="0" w:firstLine="0"/>
        <w:rPr>
          <w:rFonts w:ascii="Times New Roman" w:hAnsi="Times New Roman" w:cs="Times New Roman"/>
          <w:sz w:val="22"/>
        </w:rPr>
      </w:pPr>
      <w:r>
        <w:rPr>
          <w:rFonts w:ascii="Times New Roman" w:hAnsi="Times New Roman" w:cs="Times New Roman"/>
          <w:sz w:val="22"/>
        </w:rPr>
        <w:t>With this type of funding, the issuing company plays the role of a vendor by proving financing to the BBBEE beneficiary</w:t>
      </w:r>
      <w:r w:rsidR="00231226">
        <w:rPr>
          <w:rFonts w:ascii="Times New Roman" w:hAnsi="Times New Roman" w:cs="Times New Roman"/>
          <w:sz w:val="22"/>
        </w:rPr>
        <w:t xml:space="preserve"> (Cargill, 2005:23</w:t>
      </w:r>
      <w:r w:rsidR="00F37650">
        <w:rPr>
          <w:rFonts w:ascii="Times New Roman" w:hAnsi="Times New Roman" w:cs="Times New Roman"/>
          <w:sz w:val="22"/>
        </w:rPr>
        <w:t>; Balshaw &amp; Goldberg, 2005</w:t>
      </w:r>
      <w:r w:rsidR="00231226">
        <w:rPr>
          <w:rFonts w:ascii="Times New Roman" w:hAnsi="Times New Roman" w:cs="Times New Roman"/>
          <w:sz w:val="22"/>
        </w:rPr>
        <w:t>)</w:t>
      </w:r>
      <w:r>
        <w:rPr>
          <w:rFonts w:ascii="Times New Roman" w:hAnsi="Times New Roman" w:cs="Times New Roman"/>
          <w:sz w:val="22"/>
        </w:rPr>
        <w:t xml:space="preserve">. The beneficiary will then be able to use the funding provided to acquire shares in </w:t>
      </w:r>
      <w:r w:rsidR="00FF70FD">
        <w:rPr>
          <w:rFonts w:ascii="Times New Roman" w:hAnsi="Times New Roman" w:cs="Times New Roman"/>
          <w:sz w:val="22"/>
        </w:rPr>
        <w:t>the</w:t>
      </w:r>
      <w:r>
        <w:rPr>
          <w:rFonts w:ascii="Times New Roman" w:hAnsi="Times New Roman" w:cs="Times New Roman"/>
          <w:sz w:val="22"/>
        </w:rPr>
        <w:t xml:space="preserve"> issuing company. The type of assistance which the </w:t>
      </w:r>
      <w:r>
        <w:rPr>
          <w:rFonts w:ascii="Times New Roman" w:hAnsi="Times New Roman" w:cs="Times New Roman"/>
          <w:sz w:val="22"/>
        </w:rPr>
        <w:lastRenderedPageBreak/>
        <w:t xml:space="preserve">vendor </w:t>
      </w:r>
      <w:r w:rsidR="00A42D84">
        <w:rPr>
          <w:rFonts w:ascii="Times New Roman" w:hAnsi="Times New Roman" w:cs="Times New Roman"/>
          <w:sz w:val="22"/>
        </w:rPr>
        <w:t>provides</w:t>
      </w:r>
      <w:r>
        <w:rPr>
          <w:rFonts w:ascii="Times New Roman" w:hAnsi="Times New Roman" w:cs="Times New Roman"/>
          <w:sz w:val="22"/>
        </w:rPr>
        <w:t xml:space="preserve"> could be in the form of loans, loan guarantees, price discounts, or other forms of debt financing at below market interest rates. In the event of a guarantee being provided to the BBBEE beneficiary, </w:t>
      </w:r>
      <w:r w:rsidR="00FF70FD">
        <w:rPr>
          <w:rFonts w:ascii="Times New Roman" w:hAnsi="Times New Roman" w:cs="Times New Roman"/>
          <w:sz w:val="22"/>
        </w:rPr>
        <w:t>such a guarantee</w:t>
      </w:r>
      <w:r>
        <w:rPr>
          <w:rFonts w:ascii="Times New Roman" w:hAnsi="Times New Roman" w:cs="Times New Roman"/>
          <w:sz w:val="22"/>
        </w:rPr>
        <w:t xml:space="preserve"> will reduce the risk profile of the beneficiary in the eyes of financial institutions</w:t>
      </w:r>
      <w:r w:rsidR="00231226">
        <w:rPr>
          <w:rFonts w:ascii="Times New Roman" w:hAnsi="Times New Roman" w:cs="Times New Roman"/>
          <w:sz w:val="22"/>
        </w:rPr>
        <w:t xml:space="preserve"> (Gqubule, 2003)</w:t>
      </w:r>
      <w:r>
        <w:rPr>
          <w:rFonts w:ascii="Times New Roman" w:hAnsi="Times New Roman" w:cs="Times New Roman"/>
          <w:sz w:val="22"/>
        </w:rPr>
        <w:t>.</w:t>
      </w:r>
    </w:p>
    <w:p w14:paraId="5D9F737E" w14:textId="77777777" w:rsidR="00F74167" w:rsidRDefault="00BD48BC" w:rsidP="00536234">
      <w:pPr>
        <w:spacing w:line="480" w:lineRule="auto"/>
        <w:ind w:left="0" w:firstLine="0"/>
        <w:rPr>
          <w:rFonts w:ascii="Times New Roman" w:hAnsi="Times New Roman" w:cs="Times New Roman"/>
          <w:sz w:val="22"/>
        </w:rPr>
      </w:pPr>
      <w:r>
        <w:rPr>
          <w:rFonts w:ascii="Times New Roman" w:hAnsi="Times New Roman" w:cs="Times New Roman"/>
          <w:sz w:val="22"/>
        </w:rPr>
        <w:t>The</w:t>
      </w:r>
      <w:r w:rsidR="00F74167">
        <w:rPr>
          <w:rFonts w:ascii="Times New Roman" w:hAnsi="Times New Roman" w:cs="Times New Roman"/>
          <w:sz w:val="22"/>
        </w:rPr>
        <w:t xml:space="preserve"> guarantee</w:t>
      </w:r>
      <w:r>
        <w:rPr>
          <w:rFonts w:ascii="Times New Roman" w:hAnsi="Times New Roman" w:cs="Times New Roman"/>
          <w:sz w:val="22"/>
        </w:rPr>
        <w:t xml:space="preserve"> provided</w:t>
      </w:r>
      <w:r w:rsidR="00F74167">
        <w:rPr>
          <w:rFonts w:ascii="Times New Roman" w:hAnsi="Times New Roman" w:cs="Times New Roman"/>
          <w:sz w:val="22"/>
        </w:rPr>
        <w:t xml:space="preserve"> would especially exist in the </w:t>
      </w:r>
      <w:r>
        <w:rPr>
          <w:rFonts w:ascii="Times New Roman" w:hAnsi="Times New Roman" w:cs="Times New Roman"/>
          <w:sz w:val="22"/>
        </w:rPr>
        <w:t>event that</w:t>
      </w:r>
      <w:r w:rsidR="00F74167">
        <w:rPr>
          <w:rFonts w:ascii="Times New Roman" w:hAnsi="Times New Roman" w:cs="Times New Roman"/>
          <w:sz w:val="22"/>
        </w:rPr>
        <w:t xml:space="preserve"> financial institutions required collateral </w:t>
      </w:r>
      <w:r>
        <w:rPr>
          <w:rFonts w:ascii="Times New Roman" w:hAnsi="Times New Roman" w:cs="Times New Roman"/>
          <w:sz w:val="22"/>
        </w:rPr>
        <w:t>which BBBEE beneficiaries were not able to provide</w:t>
      </w:r>
      <w:r w:rsidR="00F74167">
        <w:rPr>
          <w:rFonts w:ascii="Times New Roman" w:hAnsi="Times New Roman" w:cs="Times New Roman"/>
          <w:sz w:val="22"/>
        </w:rPr>
        <w:t>. These vendors would, through the provision of a guarantee, enable the BBBEE beneficiary to organise debt financing under less stringent conditions.</w:t>
      </w:r>
      <w:r w:rsidR="00F37650">
        <w:rPr>
          <w:rFonts w:ascii="Times New Roman" w:hAnsi="Times New Roman" w:cs="Times New Roman"/>
          <w:sz w:val="22"/>
        </w:rPr>
        <w:t xml:space="preserve"> The major disadvantage of this form of financing is that it </w:t>
      </w:r>
      <w:r w:rsidR="00355780">
        <w:rPr>
          <w:rFonts w:ascii="Times New Roman" w:hAnsi="Times New Roman" w:cs="Times New Roman"/>
          <w:sz w:val="22"/>
        </w:rPr>
        <w:t>left</w:t>
      </w:r>
      <w:r w:rsidR="00F37650">
        <w:rPr>
          <w:rFonts w:ascii="Times New Roman" w:hAnsi="Times New Roman" w:cs="Times New Roman"/>
          <w:sz w:val="22"/>
        </w:rPr>
        <w:t xml:space="preserve"> the beneficiary company highly levered and reduce</w:t>
      </w:r>
      <w:r w:rsidR="00355780">
        <w:rPr>
          <w:rFonts w:ascii="Times New Roman" w:hAnsi="Times New Roman" w:cs="Times New Roman"/>
          <w:sz w:val="22"/>
        </w:rPr>
        <w:t>d</w:t>
      </w:r>
      <w:r w:rsidR="00F37650">
        <w:rPr>
          <w:rFonts w:ascii="Times New Roman" w:hAnsi="Times New Roman" w:cs="Times New Roman"/>
          <w:sz w:val="22"/>
        </w:rPr>
        <w:t xml:space="preserve"> their capacity to take on additional debt (Gounder, 2005). </w:t>
      </w:r>
      <w:r w:rsidR="00F74167">
        <w:rPr>
          <w:rFonts w:ascii="Times New Roman" w:hAnsi="Times New Roman" w:cs="Times New Roman"/>
          <w:sz w:val="22"/>
        </w:rPr>
        <w:t xml:space="preserve"> Examples of </w:t>
      </w:r>
      <w:r w:rsidR="00A42D84">
        <w:rPr>
          <w:rFonts w:ascii="Times New Roman" w:hAnsi="Times New Roman" w:cs="Times New Roman"/>
          <w:sz w:val="22"/>
        </w:rPr>
        <w:t>a transaction</w:t>
      </w:r>
      <w:r w:rsidR="00F74167">
        <w:rPr>
          <w:rFonts w:ascii="Times New Roman" w:hAnsi="Times New Roman" w:cs="Times New Roman"/>
          <w:sz w:val="22"/>
        </w:rPr>
        <w:t xml:space="preserve"> where vendor financing was used include, among others, the </w:t>
      </w:r>
      <w:r w:rsidR="00A42D84">
        <w:rPr>
          <w:rFonts w:ascii="Times New Roman" w:hAnsi="Times New Roman" w:cs="Times New Roman"/>
          <w:sz w:val="22"/>
        </w:rPr>
        <w:t>transaction entered into</w:t>
      </w:r>
      <w:r w:rsidR="00F74167">
        <w:rPr>
          <w:rFonts w:ascii="Times New Roman" w:hAnsi="Times New Roman" w:cs="Times New Roman"/>
          <w:sz w:val="22"/>
        </w:rPr>
        <w:t xml:space="preserve"> between beneficiaries and Alexander Forbes</w:t>
      </w:r>
      <w:r w:rsidR="00231226">
        <w:rPr>
          <w:rFonts w:ascii="Times New Roman" w:hAnsi="Times New Roman" w:cs="Times New Roman"/>
          <w:sz w:val="22"/>
        </w:rPr>
        <w:t xml:space="preserve"> </w:t>
      </w:r>
      <w:r w:rsidR="00231226" w:rsidRPr="00231226">
        <w:rPr>
          <w:rFonts w:ascii="Times New Roman" w:hAnsi="Times New Roman" w:cs="Times New Roman"/>
          <w:sz w:val="22"/>
        </w:rPr>
        <w:t>(Nhlapo, 2008)</w:t>
      </w:r>
      <w:r w:rsidR="00F74167">
        <w:rPr>
          <w:rFonts w:ascii="Times New Roman" w:hAnsi="Times New Roman" w:cs="Times New Roman"/>
          <w:sz w:val="22"/>
        </w:rPr>
        <w:t>.</w:t>
      </w:r>
    </w:p>
    <w:p w14:paraId="491EA06F" w14:textId="77777777" w:rsidR="00C856EB" w:rsidRPr="00A14BA6" w:rsidRDefault="008A0FCE" w:rsidP="00536234">
      <w:pPr>
        <w:pStyle w:val="Heading3"/>
        <w:ind w:left="0"/>
        <w:rPr>
          <w:rFonts w:ascii="Times New Roman" w:hAnsi="Times New Roman" w:cs="Times New Roman"/>
          <w:i/>
          <w:color w:val="auto"/>
          <w:sz w:val="22"/>
        </w:rPr>
      </w:pPr>
      <w:bookmarkStart w:id="33" w:name="_Toc506717779"/>
      <w:r>
        <w:rPr>
          <w:rFonts w:ascii="Times New Roman" w:hAnsi="Times New Roman" w:cs="Times New Roman"/>
          <w:i/>
          <w:color w:val="auto"/>
          <w:sz w:val="22"/>
        </w:rPr>
        <w:t>2.3.4.3</w:t>
      </w:r>
      <w:r>
        <w:rPr>
          <w:rFonts w:ascii="Times New Roman" w:hAnsi="Times New Roman" w:cs="Times New Roman"/>
          <w:i/>
          <w:color w:val="auto"/>
          <w:sz w:val="22"/>
        </w:rPr>
        <w:tab/>
      </w:r>
      <w:r w:rsidR="00C856EB" w:rsidRPr="00A14BA6">
        <w:rPr>
          <w:rFonts w:ascii="Times New Roman" w:hAnsi="Times New Roman" w:cs="Times New Roman"/>
          <w:i/>
          <w:color w:val="auto"/>
          <w:sz w:val="22"/>
        </w:rPr>
        <w:t>Derivatives</w:t>
      </w:r>
      <w:bookmarkEnd w:id="33"/>
    </w:p>
    <w:p w14:paraId="36FD9F3C" w14:textId="77777777" w:rsidR="00C856EB" w:rsidRDefault="004B7B41" w:rsidP="00536234">
      <w:pPr>
        <w:spacing w:line="480" w:lineRule="auto"/>
        <w:ind w:left="0" w:firstLine="0"/>
        <w:rPr>
          <w:rFonts w:ascii="Times New Roman" w:hAnsi="Times New Roman" w:cs="Times New Roman"/>
          <w:sz w:val="22"/>
        </w:rPr>
      </w:pPr>
      <w:r>
        <w:rPr>
          <w:rFonts w:ascii="Times New Roman" w:hAnsi="Times New Roman" w:cs="Times New Roman"/>
          <w:sz w:val="22"/>
        </w:rPr>
        <w:t>A call option is one which gives an investor the right</w:t>
      </w:r>
      <w:r w:rsidR="00A42D84">
        <w:rPr>
          <w:rFonts w:ascii="Times New Roman" w:hAnsi="Times New Roman" w:cs="Times New Roman"/>
          <w:sz w:val="22"/>
        </w:rPr>
        <w:t>,</w:t>
      </w:r>
      <w:r>
        <w:rPr>
          <w:rFonts w:ascii="Times New Roman" w:hAnsi="Times New Roman" w:cs="Times New Roman"/>
          <w:sz w:val="22"/>
        </w:rPr>
        <w:t xml:space="preserve"> but not the obligation</w:t>
      </w:r>
      <w:r w:rsidR="00A42D84">
        <w:rPr>
          <w:rFonts w:ascii="Times New Roman" w:hAnsi="Times New Roman" w:cs="Times New Roman"/>
          <w:sz w:val="22"/>
        </w:rPr>
        <w:t>,</w:t>
      </w:r>
      <w:r>
        <w:rPr>
          <w:rFonts w:ascii="Times New Roman" w:hAnsi="Times New Roman" w:cs="Times New Roman"/>
          <w:sz w:val="22"/>
        </w:rPr>
        <w:t xml:space="preserve"> to acquire a share at an agreed upon price</w:t>
      </w:r>
      <w:r w:rsidR="00A42D84">
        <w:rPr>
          <w:rFonts w:ascii="Times New Roman" w:hAnsi="Times New Roman" w:cs="Times New Roman"/>
          <w:sz w:val="22"/>
        </w:rPr>
        <w:t>,</w:t>
      </w:r>
      <w:r>
        <w:rPr>
          <w:rFonts w:ascii="Times New Roman" w:hAnsi="Times New Roman" w:cs="Times New Roman"/>
          <w:sz w:val="22"/>
        </w:rPr>
        <w:t xml:space="preserve"> and at an agreed upon </w:t>
      </w:r>
      <w:r w:rsidR="00A42D84">
        <w:rPr>
          <w:rFonts w:ascii="Times New Roman" w:hAnsi="Times New Roman" w:cs="Times New Roman"/>
          <w:sz w:val="22"/>
        </w:rPr>
        <w:t>future point in time</w:t>
      </w:r>
      <w:r>
        <w:rPr>
          <w:rFonts w:ascii="Times New Roman" w:hAnsi="Times New Roman" w:cs="Times New Roman"/>
          <w:sz w:val="22"/>
        </w:rPr>
        <w:t xml:space="preserve">. An example of how this form of financing works is that an investor </w:t>
      </w:r>
      <w:r w:rsidR="00A42D84">
        <w:rPr>
          <w:rFonts w:ascii="Times New Roman" w:hAnsi="Times New Roman" w:cs="Times New Roman"/>
          <w:sz w:val="22"/>
        </w:rPr>
        <w:t>purchases</w:t>
      </w:r>
      <w:r>
        <w:rPr>
          <w:rFonts w:ascii="Times New Roman" w:hAnsi="Times New Roman" w:cs="Times New Roman"/>
          <w:sz w:val="22"/>
        </w:rPr>
        <w:t xml:space="preserve"> an option to buy 1 000 </w:t>
      </w:r>
      <w:r w:rsidR="00355780">
        <w:rPr>
          <w:rFonts w:ascii="Times New Roman" w:hAnsi="Times New Roman" w:cs="Times New Roman"/>
          <w:sz w:val="22"/>
        </w:rPr>
        <w:t xml:space="preserve">share </w:t>
      </w:r>
      <w:r>
        <w:rPr>
          <w:rFonts w:ascii="Times New Roman" w:hAnsi="Times New Roman" w:cs="Times New Roman"/>
          <w:sz w:val="22"/>
        </w:rPr>
        <w:t>options at an exercise price of R250 per share. The option can then be exercise</w:t>
      </w:r>
      <w:r w:rsidR="00A42D84">
        <w:rPr>
          <w:rFonts w:ascii="Times New Roman" w:hAnsi="Times New Roman" w:cs="Times New Roman"/>
          <w:sz w:val="22"/>
        </w:rPr>
        <w:t>d at a future point in time. If at the day in which the option</w:t>
      </w:r>
      <w:r>
        <w:rPr>
          <w:rFonts w:ascii="Times New Roman" w:hAnsi="Times New Roman" w:cs="Times New Roman"/>
          <w:sz w:val="22"/>
        </w:rPr>
        <w:t xml:space="preserve"> can be exercised the investor finds that the shares are trading at a price of R220 per share</w:t>
      </w:r>
      <w:r w:rsidR="00A42D84">
        <w:rPr>
          <w:rFonts w:ascii="Times New Roman" w:hAnsi="Times New Roman" w:cs="Times New Roman"/>
          <w:sz w:val="22"/>
        </w:rPr>
        <w:t>,</w:t>
      </w:r>
      <w:r>
        <w:rPr>
          <w:rFonts w:ascii="Times New Roman" w:hAnsi="Times New Roman" w:cs="Times New Roman"/>
          <w:sz w:val="22"/>
        </w:rPr>
        <w:t xml:space="preserve"> he will choose to not exercise the option. This is because it would have been cheaper for the investor to acquire the shares in the open market as opposed to through the exercise of the call option. </w:t>
      </w:r>
      <w:r w:rsidR="00A42D84">
        <w:rPr>
          <w:rFonts w:ascii="Times New Roman" w:hAnsi="Times New Roman" w:cs="Times New Roman"/>
          <w:sz w:val="22"/>
        </w:rPr>
        <w:t>However, if</w:t>
      </w:r>
      <w:r>
        <w:rPr>
          <w:rFonts w:ascii="Times New Roman" w:hAnsi="Times New Roman" w:cs="Times New Roman"/>
          <w:sz w:val="22"/>
        </w:rPr>
        <w:t xml:space="preserve"> shares are trading at a price higher than the exercise price on the exercise date, it is more likely that the investor will choose to exercise the </w:t>
      </w:r>
      <w:r w:rsidR="005244BA">
        <w:rPr>
          <w:rFonts w:ascii="Times New Roman" w:hAnsi="Times New Roman" w:cs="Times New Roman"/>
          <w:sz w:val="22"/>
        </w:rPr>
        <w:t xml:space="preserve">option in acquiring the shares as a result of the profit that would </w:t>
      </w:r>
      <w:r w:rsidR="00A42D84">
        <w:rPr>
          <w:rFonts w:ascii="Times New Roman" w:hAnsi="Times New Roman" w:cs="Times New Roman"/>
          <w:sz w:val="22"/>
        </w:rPr>
        <w:t>now be</w:t>
      </w:r>
      <w:r w:rsidR="005244BA">
        <w:rPr>
          <w:rFonts w:ascii="Times New Roman" w:hAnsi="Times New Roman" w:cs="Times New Roman"/>
          <w:sz w:val="22"/>
        </w:rPr>
        <w:t xml:space="preserve"> made by the investor.</w:t>
      </w:r>
    </w:p>
    <w:p w14:paraId="3AD2A3A1" w14:textId="77777777" w:rsidR="0035602E" w:rsidRDefault="0035602E"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The benefits of this form </w:t>
      </w:r>
      <w:r w:rsidR="00A42D84">
        <w:rPr>
          <w:rFonts w:ascii="Times New Roman" w:hAnsi="Times New Roman" w:cs="Times New Roman"/>
          <w:sz w:val="22"/>
        </w:rPr>
        <w:t>of agreement is that it provides</w:t>
      </w:r>
      <w:r>
        <w:rPr>
          <w:rFonts w:ascii="Times New Roman" w:hAnsi="Times New Roman" w:cs="Times New Roman"/>
          <w:sz w:val="22"/>
        </w:rPr>
        <w:t xml:space="preserve"> the BBBEE beneficiary </w:t>
      </w:r>
      <w:r w:rsidR="00B41E8D">
        <w:rPr>
          <w:rFonts w:ascii="Times New Roman" w:hAnsi="Times New Roman" w:cs="Times New Roman"/>
          <w:sz w:val="22"/>
        </w:rPr>
        <w:t xml:space="preserve">with the opportunity </w:t>
      </w:r>
      <w:r>
        <w:rPr>
          <w:rFonts w:ascii="Times New Roman" w:hAnsi="Times New Roman" w:cs="Times New Roman"/>
          <w:sz w:val="22"/>
        </w:rPr>
        <w:t>of benefiting from movements in the share price over time</w:t>
      </w:r>
      <w:r w:rsidR="00231226">
        <w:rPr>
          <w:rFonts w:ascii="Times New Roman" w:hAnsi="Times New Roman" w:cs="Times New Roman"/>
          <w:sz w:val="22"/>
        </w:rPr>
        <w:t xml:space="preserve"> </w:t>
      </w:r>
      <w:r w:rsidR="00231226" w:rsidRPr="00231226">
        <w:rPr>
          <w:rFonts w:ascii="Times New Roman" w:hAnsi="Times New Roman" w:cs="Times New Roman"/>
          <w:sz w:val="22"/>
        </w:rPr>
        <w:t>(Nhlapo, 2008)</w:t>
      </w:r>
      <w:r>
        <w:rPr>
          <w:rFonts w:ascii="Times New Roman" w:hAnsi="Times New Roman" w:cs="Times New Roman"/>
          <w:sz w:val="22"/>
        </w:rPr>
        <w:t xml:space="preserve">. In the event that the option </w:t>
      </w:r>
      <w:r w:rsidR="00A42D84">
        <w:rPr>
          <w:rFonts w:ascii="Times New Roman" w:hAnsi="Times New Roman" w:cs="Times New Roman"/>
          <w:sz w:val="22"/>
        </w:rPr>
        <w:t>is</w:t>
      </w:r>
      <w:r>
        <w:rPr>
          <w:rFonts w:ascii="Times New Roman" w:hAnsi="Times New Roman" w:cs="Times New Roman"/>
          <w:sz w:val="22"/>
        </w:rPr>
        <w:t xml:space="preserve"> net settled, it will provide the added opportunity of providing the beneficiary with a cheap way of making money</w:t>
      </w:r>
      <w:r w:rsidR="00A42D84">
        <w:rPr>
          <w:rFonts w:ascii="Times New Roman" w:hAnsi="Times New Roman" w:cs="Times New Roman"/>
          <w:sz w:val="22"/>
        </w:rPr>
        <w:t>. This is</w:t>
      </w:r>
      <w:r>
        <w:rPr>
          <w:rFonts w:ascii="Times New Roman" w:hAnsi="Times New Roman" w:cs="Times New Roman"/>
          <w:sz w:val="22"/>
        </w:rPr>
        <w:t xml:space="preserve"> </w:t>
      </w:r>
      <w:r w:rsidR="00066BE9">
        <w:rPr>
          <w:rFonts w:ascii="Times New Roman" w:hAnsi="Times New Roman" w:cs="Times New Roman"/>
          <w:sz w:val="22"/>
        </w:rPr>
        <w:t>as the shares could be traded</w:t>
      </w:r>
      <w:r>
        <w:rPr>
          <w:rFonts w:ascii="Times New Roman" w:hAnsi="Times New Roman" w:cs="Times New Roman"/>
          <w:sz w:val="22"/>
        </w:rPr>
        <w:t xml:space="preserve"> for a fraction of the price. The problem</w:t>
      </w:r>
      <w:r w:rsidR="00066BE9">
        <w:rPr>
          <w:rFonts w:ascii="Times New Roman" w:hAnsi="Times New Roman" w:cs="Times New Roman"/>
          <w:sz w:val="22"/>
        </w:rPr>
        <w:t xml:space="preserve"> </w:t>
      </w:r>
      <w:r w:rsidR="00A42D84">
        <w:rPr>
          <w:rFonts w:ascii="Times New Roman" w:hAnsi="Times New Roman" w:cs="Times New Roman"/>
          <w:sz w:val="22"/>
        </w:rPr>
        <w:t>with this, on the other hand, is</w:t>
      </w:r>
      <w:r>
        <w:rPr>
          <w:rFonts w:ascii="Times New Roman" w:hAnsi="Times New Roman" w:cs="Times New Roman"/>
          <w:sz w:val="22"/>
        </w:rPr>
        <w:t xml:space="preserve"> that the beneficiary </w:t>
      </w:r>
      <w:r w:rsidR="00A42D84">
        <w:rPr>
          <w:rFonts w:ascii="Times New Roman" w:hAnsi="Times New Roman" w:cs="Times New Roman"/>
          <w:sz w:val="22"/>
        </w:rPr>
        <w:t>won’t</w:t>
      </w:r>
      <w:r>
        <w:rPr>
          <w:rFonts w:ascii="Times New Roman" w:hAnsi="Times New Roman" w:cs="Times New Roman"/>
          <w:sz w:val="22"/>
        </w:rPr>
        <w:t xml:space="preserve"> become the owner of the shares</w:t>
      </w:r>
      <w:r w:rsidR="00066BE9">
        <w:rPr>
          <w:rFonts w:ascii="Times New Roman" w:hAnsi="Times New Roman" w:cs="Times New Roman"/>
          <w:sz w:val="22"/>
        </w:rPr>
        <w:t>.</w:t>
      </w:r>
      <w:r>
        <w:rPr>
          <w:rFonts w:ascii="Times New Roman" w:hAnsi="Times New Roman" w:cs="Times New Roman"/>
          <w:sz w:val="22"/>
        </w:rPr>
        <w:t xml:space="preserve"> </w:t>
      </w:r>
      <w:r w:rsidR="00066BE9">
        <w:rPr>
          <w:rFonts w:ascii="Times New Roman" w:hAnsi="Times New Roman" w:cs="Times New Roman"/>
          <w:sz w:val="22"/>
        </w:rPr>
        <w:t>Further, they would not</w:t>
      </w:r>
      <w:r>
        <w:rPr>
          <w:rFonts w:ascii="Times New Roman" w:hAnsi="Times New Roman" w:cs="Times New Roman"/>
          <w:sz w:val="22"/>
        </w:rPr>
        <w:t xml:space="preserve"> </w:t>
      </w:r>
      <w:r>
        <w:rPr>
          <w:rFonts w:ascii="Times New Roman" w:hAnsi="Times New Roman" w:cs="Times New Roman"/>
          <w:sz w:val="22"/>
        </w:rPr>
        <w:lastRenderedPageBreak/>
        <w:t>be entitled to any payments of dividends</w:t>
      </w:r>
      <w:r w:rsidR="00231226">
        <w:rPr>
          <w:rFonts w:ascii="Times New Roman" w:hAnsi="Times New Roman" w:cs="Times New Roman"/>
          <w:sz w:val="22"/>
        </w:rPr>
        <w:t xml:space="preserve"> </w:t>
      </w:r>
      <w:r w:rsidR="00231226" w:rsidRPr="00231226">
        <w:rPr>
          <w:rFonts w:ascii="Times New Roman" w:hAnsi="Times New Roman" w:cs="Times New Roman"/>
          <w:sz w:val="22"/>
        </w:rPr>
        <w:t>(Nhlapo, 2008)</w:t>
      </w:r>
      <w:r>
        <w:rPr>
          <w:rFonts w:ascii="Times New Roman" w:hAnsi="Times New Roman" w:cs="Times New Roman"/>
          <w:sz w:val="22"/>
        </w:rPr>
        <w:t>. An example of</w:t>
      </w:r>
      <w:r w:rsidR="00066BE9">
        <w:rPr>
          <w:rFonts w:ascii="Times New Roman" w:hAnsi="Times New Roman" w:cs="Times New Roman"/>
          <w:sz w:val="22"/>
        </w:rPr>
        <w:t xml:space="preserve"> </w:t>
      </w:r>
      <w:r w:rsidR="00A42D84">
        <w:rPr>
          <w:rFonts w:ascii="Times New Roman" w:hAnsi="Times New Roman" w:cs="Times New Roman"/>
          <w:sz w:val="22"/>
        </w:rPr>
        <w:t xml:space="preserve">a </w:t>
      </w:r>
      <w:r w:rsidR="00066BE9">
        <w:rPr>
          <w:rFonts w:ascii="Times New Roman" w:hAnsi="Times New Roman" w:cs="Times New Roman"/>
          <w:sz w:val="22"/>
        </w:rPr>
        <w:t>BBBEE oriented</w:t>
      </w:r>
      <w:r>
        <w:rPr>
          <w:rFonts w:ascii="Times New Roman" w:hAnsi="Times New Roman" w:cs="Times New Roman"/>
          <w:sz w:val="22"/>
        </w:rPr>
        <w:t xml:space="preserve"> financing arrangement </w:t>
      </w:r>
      <w:r w:rsidR="00A42D84">
        <w:rPr>
          <w:rFonts w:ascii="Times New Roman" w:hAnsi="Times New Roman" w:cs="Times New Roman"/>
          <w:sz w:val="22"/>
        </w:rPr>
        <w:t>taking</w:t>
      </w:r>
      <w:r>
        <w:rPr>
          <w:rFonts w:ascii="Times New Roman" w:hAnsi="Times New Roman" w:cs="Times New Roman"/>
          <w:sz w:val="22"/>
        </w:rPr>
        <w:t xml:space="preserve"> on this form of structure i</w:t>
      </w:r>
      <w:r w:rsidR="00A42D84">
        <w:rPr>
          <w:rFonts w:ascii="Times New Roman" w:hAnsi="Times New Roman" w:cs="Times New Roman"/>
          <w:sz w:val="22"/>
        </w:rPr>
        <w:t>s that entered into between</w:t>
      </w:r>
      <w:r>
        <w:rPr>
          <w:rFonts w:ascii="Times New Roman" w:hAnsi="Times New Roman" w:cs="Times New Roman"/>
          <w:sz w:val="22"/>
        </w:rPr>
        <w:t xml:space="preserve"> ABSA and Bidvest</w:t>
      </w:r>
      <w:r w:rsidR="00231226">
        <w:rPr>
          <w:rFonts w:ascii="Times New Roman" w:hAnsi="Times New Roman" w:cs="Times New Roman"/>
          <w:sz w:val="22"/>
        </w:rPr>
        <w:t xml:space="preserve"> </w:t>
      </w:r>
      <w:r w:rsidR="00231226" w:rsidRPr="00231226">
        <w:rPr>
          <w:rFonts w:ascii="Times New Roman" w:hAnsi="Times New Roman" w:cs="Times New Roman"/>
          <w:sz w:val="22"/>
        </w:rPr>
        <w:t>(Nhlapo, 2008)</w:t>
      </w:r>
      <w:r w:rsidR="00231226">
        <w:rPr>
          <w:rFonts w:ascii="Times New Roman" w:hAnsi="Times New Roman" w:cs="Times New Roman"/>
          <w:sz w:val="22"/>
        </w:rPr>
        <w:t>.</w:t>
      </w:r>
      <w:r>
        <w:rPr>
          <w:rFonts w:ascii="Times New Roman" w:hAnsi="Times New Roman" w:cs="Times New Roman"/>
          <w:sz w:val="22"/>
        </w:rPr>
        <w:t xml:space="preserve"> </w:t>
      </w:r>
    </w:p>
    <w:p w14:paraId="3DDC215E" w14:textId="77777777" w:rsidR="00B41E8D" w:rsidRPr="00A14BA6" w:rsidRDefault="008A0FCE" w:rsidP="00536234">
      <w:pPr>
        <w:pStyle w:val="Heading3"/>
        <w:ind w:left="0"/>
        <w:rPr>
          <w:rFonts w:ascii="Times New Roman" w:hAnsi="Times New Roman" w:cs="Times New Roman"/>
          <w:i/>
          <w:color w:val="auto"/>
          <w:sz w:val="22"/>
        </w:rPr>
      </w:pPr>
      <w:bookmarkStart w:id="34" w:name="_Toc506717780"/>
      <w:r>
        <w:rPr>
          <w:rFonts w:ascii="Times New Roman" w:hAnsi="Times New Roman" w:cs="Times New Roman"/>
          <w:i/>
          <w:color w:val="auto"/>
          <w:sz w:val="22"/>
        </w:rPr>
        <w:t>2.3.4.4</w:t>
      </w:r>
      <w:r>
        <w:rPr>
          <w:rFonts w:ascii="Times New Roman" w:hAnsi="Times New Roman" w:cs="Times New Roman"/>
          <w:i/>
          <w:color w:val="auto"/>
          <w:sz w:val="22"/>
        </w:rPr>
        <w:tab/>
      </w:r>
      <w:r w:rsidR="00B41E8D" w:rsidRPr="00A14BA6">
        <w:rPr>
          <w:rFonts w:ascii="Times New Roman" w:hAnsi="Times New Roman" w:cs="Times New Roman"/>
          <w:i/>
          <w:color w:val="auto"/>
          <w:sz w:val="22"/>
        </w:rPr>
        <w:t>Conclusion</w:t>
      </w:r>
      <w:bookmarkEnd w:id="34"/>
    </w:p>
    <w:p w14:paraId="40F8F0BC" w14:textId="77777777" w:rsidR="0035602E" w:rsidRDefault="005244BA" w:rsidP="00536234">
      <w:pPr>
        <w:spacing w:line="480" w:lineRule="auto"/>
        <w:ind w:left="0" w:firstLine="0"/>
        <w:rPr>
          <w:rFonts w:ascii="Times New Roman" w:hAnsi="Times New Roman" w:cs="Times New Roman"/>
          <w:sz w:val="22"/>
        </w:rPr>
      </w:pPr>
      <w:r>
        <w:rPr>
          <w:rFonts w:ascii="Times New Roman" w:hAnsi="Times New Roman" w:cs="Times New Roman"/>
          <w:sz w:val="22"/>
        </w:rPr>
        <w:t>I</w:t>
      </w:r>
      <w:r w:rsidR="00B41E8D">
        <w:rPr>
          <w:rFonts w:ascii="Times New Roman" w:hAnsi="Times New Roman" w:cs="Times New Roman"/>
          <w:sz w:val="22"/>
        </w:rPr>
        <w:t>t</w:t>
      </w:r>
      <w:r>
        <w:rPr>
          <w:rFonts w:ascii="Times New Roman" w:hAnsi="Times New Roman" w:cs="Times New Roman"/>
          <w:sz w:val="22"/>
        </w:rPr>
        <w:t xml:space="preserve"> can be concluded that</w:t>
      </w:r>
      <w:r w:rsidR="00B41E8D">
        <w:rPr>
          <w:rFonts w:ascii="Times New Roman" w:hAnsi="Times New Roman" w:cs="Times New Roman"/>
          <w:sz w:val="22"/>
        </w:rPr>
        <w:t xml:space="preserve"> the various forms of financing discussed above all contain similar characteristics. One of these </w:t>
      </w:r>
      <w:r>
        <w:rPr>
          <w:rFonts w:ascii="Times New Roman" w:hAnsi="Times New Roman" w:cs="Times New Roman"/>
          <w:sz w:val="22"/>
        </w:rPr>
        <w:t>similar characteristics</w:t>
      </w:r>
      <w:r w:rsidR="00B41E8D">
        <w:rPr>
          <w:rFonts w:ascii="Times New Roman" w:hAnsi="Times New Roman" w:cs="Times New Roman"/>
          <w:sz w:val="22"/>
        </w:rPr>
        <w:t xml:space="preserve"> is that the company seeking the BBBEE credits play some role in assisting beneficiaries in the process of obtaining its funding. It can also be seen that </w:t>
      </w:r>
      <w:r w:rsidR="00A42D84">
        <w:rPr>
          <w:rFonts w:ascii="Times New Roman" w:hAnsi="Times New Roman" w:cs="Times New Roman"/>
          <w:sz w:val="22"/>
        </w:rPr>
        <w:t>the structure of these deals have always ensured that</w:t>
      </w:r>
      <w:r w:rsidR="00B41E8D">
        <w:rPr>
          <w:rFonts w:ascii="Times New Roman" w:hAnsi="Times New Roman" w:cs="Times New Roman"/>
          <w:sz w:val="22"/>
        </w:rPr>
        <w:t xml:space="preserve"> beneficiaries benefit from appr</w:t>
      </w:r>
      <w:r>
        <w:rPr>
          <w:rFonts w:ascii="Times New Roman" w:hAnsi="Times New Roman" w:cs="Times New Roman"/>
          <w:sz w:val="22"/>
        </w:rPr>
        <w:t xml:space="preserve">eciation in the price of shares </w:t>
      </w:r>
      <w:r w:rsidR="009036E6">
        <w:rPr>
          <w:rFonts w:ascii="Times New Roman" w:hAnsi="Times New Roman" w:cs="Times New Roman"/>
          <w:sz w:val="22"/>
        </w:rPr>
        <w:t>(Fauconnier &amp; Mathur-Helm, 2008)</w:t>
      </w:r>
      <w:r>
        <w:rPr>
          <w:rFonts w:ascii="Times New Roman" w:hAnsi="Times New Roman" w:cs="Times New Roman"/>
          <w:sz w:val="22"/>
        </w:rPr>
        <w:t>. This characteristic</w:t>
      </w:r>
      <w:r w:rsidR="00A42D84">
        <w:rPr>
          <w:rFonts w:ascii="Times New Roman" w:hAnsi="Times New Roman" w:cs="Times New Roman"/>
          <w:sz w:val="22"/>
        </w:rPr>
        <w:t xml:space="preserve"> has</w:t>
      </w:r>
      <w:r>
        <w:rPr>
          <w:rFonts w:ascii="Times New Roman" w:hAnsi="Times New Roman" w:cs="Times New Roman"/>
          <w:sz w:val="22"/>
        </w:rPr>
        <w:t xml:space="preserve"> even remained</w:t>
      </w:r>
      <w:r w:rsidR="00B41E8D">
        <w:rPr>
          <w:rFonts w:ascii="Times New Roman" w:hAnsi="Times New Roman" w:cs="Times New Roman"/>
          <w:sz w:val="22"/>
        </w:rPr>
        <w:t xml:space="preserve"> </w:t>
      </w:r>
      <w:r>
        <w:rPr>
          <w:rFonts w:ascii="Times New Roman" w:hAnsi="Times New Roman" w:cs="Times New Roman"/>
          <w:sz w:val="22"/>
        </w:rPr>
        <w:t>despite</w:t>
      </w:r>
      <w:r w:rsidR="00B41E8D">
        <w:rPr>
          <w:rFonts w:ascii="Times New Roman" w:hAnsi="Times New Roman" w:cs="Times New Roman"/>
          <w:sz w:val="22"/>
        </w:rPr>
        <w:t xml:space="preserve"> the fact that it played a role in the failure of the first phase</w:t>
      </w:r>
      <w:r>
        <w:rPr>
          <w:rFonts w:ascii="Times New Roman" w:hAnsi="Times New Roman" w:cs="Times New Roman"/>
          <w:sz w:val="22"/>
        </w:rPr>
        <w:t xml:space="preserve"> of BBBEE funding,</w:t>
      </w:r>
      <w:r w:rsidR="00B41E8D">
        <w:rPr>
          <w:rFonts w:ascii="Times New Roman" w:hAnsi="Times New Roman" w:cs="Times New Roman"/>
          <w:sz w:val="22"/>
        </w:rPr>
        <w:t xml:space="preserve"> as described above. </w:t>
      </w:r>
      <w:r>
        <w:rPr>
          <w:rFonts w:ascii="Times New Roman" w:hAnsi="Times New Roman" w:cs="Times New Roman"/>
          <w:sz w:val="22"/>
        </w:rPr>
        <w:t>Further</w:t>
      </w:r>
      <w:r w:rsidR="00B41E8D">
        <w:rPr>
          <w:rFonts w:ascii="Times New Roman" w:hAnsi="Times New Roman" w:cs="Times New Roman"/>
          <w:sz w:val="22"/>
        </w:rPr>
        <w:t>, the real transfer of shares</w:t>
      </w:r>
      <w:r w:rsidR="00A42D84">
        <w:rPr>
          <w:rFonts w:ascii="Times New Roman" w:hAnsi="Times New Roman" w:cs="Times New Roman"/>
          <w:sz w:val="22"/>
        </w:rPr>
        <w:t xml:space="preserve"> generally</w:t>
      </w:r>
      <w:r w:rsidR="00B41E8D">
        <w:rPr>
          <w:rFonts w:ascii="Times New Roman" w:hAnsi="Times New Roman" w:cs="Times New Roman"/>
          <w:sz w:val="22"/>
        </w:rPr>
        <w:t xml:space="preserve"> only takes place once the beneficiaries have settled the financial obligation owed by them. Lastly, BBBEE beneficiaries are likely to have reduced ownership retention in the company upon maturity of the deal due to their inability to have paid back the full amount owing to them from the beginning. </w:t>
      </w:r>
    </w:p>
    <w:p w14:paraId="2938311E" w14:textId="77777777" w:rsidR="00B41E8D" w:rsidRDefault="00B41E8D" w:rsidP="00536234">
      <w:pPr>
        <w:spacing w:line="480" w:lineRule="auto"/>
        <w:ind w:left="0" w:firstLine="0"/>
        <w:rPr>
          <w:rFonts w:ascii="Times New Roman" w:hAnsi="Times New Roman" w:cs="Times New Roman"/>
          <w:sz w:val="22"/>
        </w:rPr>
      </w:pPr>
      <w:r>
        <w:rPr>
          <w:rFonts w:ascii="Times New Roman" w:hAnsi="Times New Roman" w:cs="Times New Roman"/>
          <w:sz w:val="22"/>
        </w:rPr>
        <w:t>This links back to the structure described</w:t>
      </w:r>
      <w:r w:rsidR="005D2A2D">
        <w:rPr>
          <w:rFonts w:ascii="Times New Roman" w:hAnsi="Times New Roman" w:cs="Times New Roman"/>
          <w:sz w:val="22"/>
        </w:rPr>
        <w:t xml:space="preserve"> earlier in the introduction and </w:t>
      </w:r>
      <w:r w:rsidR="00D04AEB">
        <w:rPr>
          <w:rFonts w:ascii="Times New Roman" w:hAnsi="Times New Roman" w:cs="Times New Roman"/>
          <w:sz w:val="22"/>
        </w:rPr>
        <w:t>it can be said</w:t>
      </w:r>
      <w:r w:rsidR="005D2A2D">
        <w:rPr>
          <w:rFonts w:ascii="Times New Roman" w:hAnsi="Times New Roman" w:cs="Times New Roman"/>
          <w:sz w:val="22"/>
        </w:rPr>
        <w:t xml:space="preserve"> that </w:t>
      </w:r>
      <w:r w:rsidR="005244BA">
        <w:rPr>
          <w:rFonts w:ascii="Times New Roman" w:hAnsi="Times New Roman" w:cs="Times New Roman"/>
          <w:sz w:val="22"/>
        </w:rPr>
        <w:t>the general structure proposed in the introduction section</w:t>
      </w:r>
      <w:r w:rsidR="005D2A2D">
        <w:rPr>
          <w:rFonts w:ascii="Times New Roman" w:hAnsi="Times New Roman" w:cs="Times New Roman"/>
          <w:sz w:val="22"/>
        </w:rPr>
        <w:t xml:space="preserve">, at the very least, loosely describes the various forms of funding </w:t>
      </w:r>
      <w:r w:rsidR="005244BA">
        <w:rPr>
          <w:rFonts w:ascii="Times New Roman" w:hAnsi="Times New Roman" w:cs="Times New Roman"/>
          <w:sz w:val="22"/>
        </w:rPr>
        <w:t>discussed throughout</w:t>
      </w:r>
      <w:r w:rsidR="00D04AEB">
        <w:rPr>
          <w:rFonts w:ascii="Times New Roman" w:hAnsi="Times New Roman" w:cs="Times New Roman"/>
          <w:sz w:val="22"/>
        </w:rPr>
        <w:t xml:space="preserve"> this section of</w:t>
      </w:r>
      <w:r w:rsidR="005244BA">
        <w:rPr>
          <w:rFonts w:ascii="Times New Roman" w:hAnsi="Times New Roman" w:cs="Times New Roman"/>
          <w:sz w:val="22"/>
        </w:rPr>
        <w:t xml:space="preserve"> the literature review</w:t>
      </w:r>
      <w:r w:rsidR="005D2A2D">
        <w:rPr>
          <w:rFonts w:ascii="Times New Roman" w:hAnsi="Times New Roman" w:cs="Times New Roman"/>
          <w:sz w:val="22"/>
        </w:rPr>
        <w:t>. This</w:t>
      </w:r>
      <w:r w:rsidR="00D04AEB">
        <w:rPr>
          <w:rFonts w:ascii="Times New Roman" w:hAnsi="Times New Roman" w:cs="Times New Roman"/>
          <w:sz w:val="22"/>
        </w:rPr>
        <w:t xml:space="preserve"> further</w:t>
      </w:r>
      <w:r w:rsidR="005D2A2D">
        <w:rPr>
          <w:rFonts w:ascii="Times New Roman" w:hAnsi="Times New Roman" w:cs="Times New Roman"/>
          <w:sz w:val="22"/>
        </w:rPr>
        <w:t xml:space="preserve"> </w:t>
      </w:r>
      <w:r w:rsidR="00066BE9">
        <w:rPr>
          <w:rFonts w:ascii="Times New Roman" w:hAnsi="Times New Roman" w:cs="Times New Roman"/>
          <w:sz w:val="22"/>
        </w:rPr>
        <w:t>supports</w:t>
      </w:r>
      <w:r w:rsidR="005D2A2D">
        <w:rPr>
          <w:rFonts w:ascii="Times New Roman" w:hAnsi="Times New Roman" w:cs="Times New Roman"/>
          <w:sz w:val="22"/>
        </w:rPr>
        <w:t xml:space="preserve"> the </w:t>
      </w:r>
      <w:r w:rsidR="00066BE9">
        <w:rPr>
          <w:rFonts w:ascii="Times New Roman" w:hAnsi="Times New Roman" w:cs="Times New Roman"/>
          <w:sz w:val="22"/>
        </w:rPr>
        <w:t xml:space="preserve">statements made earlier regarding </w:t>
      </w:r>
      <w:r w:rsidR="005D2A2D">
        <w:rPr>
          <w:rFonts w:ascii="Times New Roman" w:hAnsi="Times New Roman" w:cs="Times New Roman"/>
          <w:sz w:val="22"/>
        </w:rPr>
        <w:t>incr</w:t>
      </w:r>
      <w:r w:rsidR="00D04AEB">
        <w:rPr>
          <w:rFonts w:ascii="Times New Roman" w:hAnsi="Times New Roman" w:cs="Times New Roman"/>
          <w:sz w:val="22"/>
        </w:rPr>
        <w:t>eased reliance for dividends by</w:t>
      </w:r>
      <w:r w:rsidR="005D2A2D">
        <w:rPr>
          <w:rFonts w:ascii="Times New Roman" w:hAnsi="Times New Roman" w:cs="Times New Roman"/>
          <w:sz w:val="22"/>
        </w:rPr>
        <w:t xml:space="preserve"> beneficiaries and how companies seeking BBBEE credits will need to play a role in financially supporting beneficiaries as they attempt to </w:t>
      </w:r>
      <w:r w:rsidR="00D04AEB">
        <w:rPr>
          <w:rFonts w:ascii="Times New Roman" w:hAnsi="Times New Roman" w:cs="Times New Roman"/>
          <w:sz w:val="22"/>
        </w:rPr>
        <w:t>repay their</w:t>
      </w:r>
      <w:r w:rsidR="005D2A2D">
        <w:rPr>
          <w:rFonts w:ascii="Times New Roman" w:hAnsi="Times New Roman" w:cs="Times New Roman"/>
          <w:sz w:val="22"/>
        </w:rPr>
        <w:t xml:space="preserve"> outstanding obligation. The next section will focus on the expected change in the d</w:t>
      </w:r>
      <w:r w:rsidR="00D04AEB">
        <w:rPr>
          <w:rFonts w:ascii="Times New Roman" w:hAnsi="Times New Roman" w:cs="Times New Roman"/>
          <w:sz w:val="22"/>
        </w:rPr>
        <w:t>ividend policies of companies that are</w:t>
      </w:r>
      <w:r w:rsidR="005D2A2D">
        <w:rPr>
          <w:rFonts w:ascii="Times New Roman" w:hAnsi="Times New Roman" w:cs="Times New Roman"/>
          <w:sz w:val="22"/>
        </w:rPr>
        <w:t xml:space="preserve"> likely to take place as a result of the</w:t>
      </w:r>
      <w:r w:rsidR="00D04AEB">
        <w:rPr>
          <w:rFonts w:ascii="Times New Roman" w:hAnsi="Times New Roman" w:cs="Times New Roman"/>
          <w:sz w:val="22"/>
        </w:rPr>
        <w:t>se companies</w:t>
      </w:r>
      <w:r w:rsidR="005D2A2D">
        <w:rPr>
          <w:rFonts w:ascii="Times New Roman" w:hAnsi="Times New Roman" w:cs="Times New Roman"/>
          <w:sz w:val="22"/>
        </w:rPr>
        <w:t xml:space="preserve"> being party to a BBBEE deal.</w:t>
      </w:r>
    </w:p>
    <w:p w14:paraId="6BC1170D" w14:textId="77777777" w:rsidR="006B7584" w:rsidRPr="00A14BA6" w:rsidRDefault="00FA26C0" w:rsidP="00536234">
      <w:pPr>
        <w:pStyle w:val="Heading2"/>
        <w:ind w:left="0"/>
        <w:rPr>
          <w:rFonts w:ascii="Times New Roman" w:hAnsi="Times New Roman" w:cs="Times New Roman"/>
          <w:b/>
          <w:color w:val="auto"/>
          <w:sz w:val="24"/>
        </w:rPr>
      </w:pPr>
      <w:bookmarkStart w:id="35" w:name="_Toc506717781"/>
      <w:r w:rsidRPr="00A14BA6">
        <w:rPr>
          <w:rFonts w:ascii="Times New Roman" w:hAnsi="Times New Roman" w:cs="Times New Roman"/>
          <w:b/>
          <w:color w:val="auto"/>
          <w:sz w:val="24"/>
        </w:rPr>
        <w:t>2.4</w:t>
      </w:r>
      <w:r w:rsidR="00F0300C" w:rsidRPr="00A14BA6">
        <w:rPr>
          <w:rFonts w:ascii="Times New Roman" w:hAnsi="Times New Roman" w:cs="Times New Roman"/>
          <w:b/>
          <w:color w:val="auto"/>
          <w:sz w:val="24"/>
        </w:rPr>
        <w:t>.1</w:t>
      </w:r>
      <w:r w:rsidR="00066566" w:rsidRPr="00A14BA6">
        <w:rPr>
          <w:rFonts w:ascii="Times New Roman" w:hAnsi="Times New Roman" w:cs="Times New Roman"/>
          <w:b/>
          <w:color w:val="auto"/>
          <w:sz w:val="24"/>
        </w:rPr>
        <w:tab/>
      </w:r>
      <w:r w:rsidR="009621A7" w:rsidRPr="00A14BA6">
        <w:rPr>
          <w:rFonts w:ascii="Times New Roman" w:hAnsi="Times New Roman" w:cs="Times New Roman"/>
          <w:b/>
          <w:color w:val="auto"/>
          <w:sz w:val="24"/>
        </w:rPr>
        <w:t xml:space="preserve">General </w:t>
      </w:r>
      <w:r w:rsidR="006B7584" w:rsidRPr="00A14BA6">
        <w:rPr>
          <w:rFonts w:ascii="Times New Roman" w:hAnsi="Times New Roman" w:cs="Times New Roman"/>
          <w:b/>
          <w:color w:val="auto"/>
          <w:sz w:val="24"/>
        </w:rPr>
        <w:t>Determinants of Dividend Policy</w:t>
      </w:r>
      <w:bookmarkEnd w:id="35"/>
    </w:p>
    <w:p w14:paraId="699E2EAD" w14:textId="77777777" w:rsidR="006B7584" w:rsidRPr="00A14BA6" w:rsidRDefault="008A0FCE" w:rsidP="00536234">
      <w:pPr>
        <w:pStyle w:val="Heading3"/>
        <w:ind w:left="0"/>
        <w:rPr>
          <w:rFonts w:ascii="Times New Roman" w:hAnsi="Times New Roman" w:cs="Times New Roman"/>
          <w:i/>
          <w:color w:val="auto"/>
          <w:sz w:val="22"/>
        </w:rPr>
      </w:pPr>
      <w:bookmarkStart w:id="36" w:name="_Toc506717782"/>
      <w:r>
        <w:rPr>
          <w:rFonts w:ascii="Times New Roman" w:hAnsi="Times New Roman" w:cs="Times New Roman"/>
          <w:i/>
          <w:color w:val="auto"/>
          <w:sz w:val="22"/>
        </w:rPr>
        <w:t>2.4.1.1</w:t>
      </w:r>
      <w:r>
        <w:rPr>
          <w:rFonts w:ascii="Times New Roman" w:hAnsi="Times New Roman" w:cs="Times New Roman"/>
          <w:i/>
          <w:color w:val="auto"/>
          <w:sz w:val="22"/>
        </w:rPr>
        <w:tab/>
      </w:r>
      <w:r w:rsidR="006B7584" w:rsidRPr="00A14BA6">
        <w:rPr>
          <w:rFonts w:ascii="Times New Roman" w:hAnsi="Times New Roman" w:cs="Times New Roman"/>
          <w:i/>
          <w:color w:val="auto"/>
          <w:sz w:val="22"/>
        </w:rPr>
        <w:t>Fundamental Theories</w:t>
      </w:r>
      <w:bookmarkEnd w:id="36"/>
    </w:p>
    <w:p w14:paraId="7471A4D8" w14:textId="77777777" w:rsidR="006B7584" w:rsidRPr="003A1203" w:rsidRDefault="001B1737" w:rsidP="00536234">
      <w:pPr>
        <w:spacing w:line="480" w:lineRule="auto"/>
        <w:ind w:left="0" w:firstLine="0"/>
        <w:rPr>
          <w:rFonts w:ascii="Times New Roman" w:hAnsi="Times New Roman" w:cs="Times New Roman"/>
          <w:sz w:val="22"/>
        </w:rPr>
      </w:pPr>
      <w:r>
        <w:rPr>
          <w:rFonts w:ascii="Times New Roman" w:hAnsi="Times New Roman" w:cs="Times New Roman"/>
          <w:sz w:val="22"/>
        </w:rPr>
        <w:t xml:space="preserve">Before dividends and dividend pay-out policy is looked at in the context of </w:t>
      </w:r>
      <w:r w:rsidR="00DC6A6A">
        <w:rPr>
          <w:rFonts w:ascii="Times New Roman" w:hAnsi="Times New Roman" w:cs="Times New Roman"/>
          <w:sz w:val="22"/>
        </w:rPr>
        <w:t>BBBEE beneficiaries, it is i</w:t>
      </w:r>
      <w:r w:rsidR="00BB32B0">
        <w:rPr>
          <w:rFonts w:ascii="Times New Roman" w:hAnsi="Times New Roman" w:cs="Times New Roman"/>
          <w:sz w:val="22"/>
        </w:rPr>
        <w:t xml:space="preserve">mportant to </w:t>
      </w:r>
      <w:r w:rsidR="00DC6A6A">
        <w:rPr>
          <w:rFonts w:ascii="Times New Roman" w:hAnsi="Times New Roman" w:cs="Times New Roman"/>
          <w:sz w:val="22"/>
        </w:rPr>
        <w:t xml:space="preserve">first </w:t>
      </w:r>
      <w:r w:rsidR="00BB32B0">
        <w:rPr>
          <w:rFonts w:ascii="Times New Roman" w:hAnsi="Times New Roman" w:cs="Times New Roman"/>
          <w:sz w:val="22"/>
        </w:rPr>
        <w:t>acknowledge the main literature that has led to our current understanding of dividend behaviour. This is largely because prior literature has shown the reason</w:t>
      </w:r>
      <w:r w:rsidR="00D04AEB">
        <w:rPr>
          <w:rFonts w:ascii="Times New Roman" w:hAnsi="Times New Roman" w:cs="Times New Roman"/>
          <w:sz w:val="22"/>
        </w:rPr>
        <w:t xml:space="preserve"> with which companies choose</w:t>
      </w:r>
      <w:r w:rsidR="00BB32B0">
        <w:rPr>
          <w:rFonts w:ascii="Times New Roman" w:hAnsi="Times New Roman" w:cs="Times New Roman"/>
          <w:sz w:val="22"/>
        </w:rPr>
        <w:t xml:space="preserve"> to pay dividends to not be entirely self-evident. An example of this can be seen in the work performed </w:t>
      </w:r>
      <w:r w:rsidR="00BB32B0">
        <w:rPr>
          <w:rFonts w:ascii="Times New Roman" w:hAnsi="Times New Roman" w:cs="Times New Roman"/>
          <w:sz w:val="22"/>
        </w:rPr>
        <w:lastRenderedPageBreak/>
        <w:t>by</w:t>
      </w:r>
      <w:r w:rsidR="006B7584" w:rsidRPr="003A1203">
        <w:rPr>
          <w:rFonts w:ascii="Times New Roman" w:hAnsi="Times New Roman" w:cs="Times New Roman"/>
          <w:sz w:val="22"/>
        </w:rPr>
        <w:t xml:space="preserve"> Black (1976)</w:t>
      </w:r>
      <w:r w:rsidR="00BB32B0">
        <w:rPr>
          <w:rFonts w:ascii="Times New Roman" w:hAnsi="Times New Roman" w:cs="Times New Roman"/>
          <w:sz w:val="22"/>
        </w:rPr>
        <w:t>. Black’s (1976)</w:t>
      </w:r>
      <w:r w:rsidR="006B7584" w:rsidRPr="003A1203">
        <w:rPr>
          <w:rFonts w:ascii="Times New Roman" w:hAnsi="Times New Roman" w:cs="Times New Roman"/>
          <w:sz w:val="22"/>
        </w:rPr>
        <w:t xml:space="preserve"> findings</w:t>
      </w:r>
      <w:r w:rsidR="00BB32B0">
        <w:rPr>
          <w:rFonts w:ascii="Times New Roman" w:hAnsi="Times New Roman" w:cs="Times New Roman"/>
          <w:sz w:val="22"/>
        </w:rPr>
        <w:t xml:space="preserve"> support what </w:t>
      </w:r>
      <w:r w:rsidR="00D04AEB">
        <w:rPr>
          <w:rFonts w:ascii="Times New Roman" w:hAnsi="Times New Roman" w:cs="Times New Roman"/>
          <w:sz w:val="22"/>
        </w:rPr>
        <w:t>still largely remains</w:t>
      </w:r>
      <w:r w:rsidR="00BB32B0">
        <w:rPr>
          <w:rFonts w:ascii="Times New Roman" w:hAnsi="Times New Roman" w:cs="Times New Roman"/>
          <w:sz w:val="22"/>
        </w:rPr>
        <w:t xml:space="preserve"> the </w:t>
      </w:r>
      <w:r w:rsidR="00D04AEB">
        <w:rPr>
          <w:rFonts w:ascii="Times New Roman" w:hAnsi="Times New Roman" w:cs="Times New Roman"/>
          <w:sz w:val="22"/>
        </w:rPr>
        <w:t xml:space="preserve">current </w:t>
      </w:r>
      <w:r w:rsidR="00BB32B0">
        <w:rPr>
          <w:rFonts w:ascii="Times New Roman" w:hAnsi="Times New Roman" w:cs="Times New Roman"/>
          <w:sz w:val="22"/>
        </w:rPr>
        <w:t>understanding of</w:t>
      </w:r>
      <w:r w:rsidR="006D2F0F">
        <w:rPr>
          <w:rFonts w:ascii="Times New Roman" w:hAnsi="Times New Roman" w:cs="Times New Roman"/>
          <w:sz w:val="22"/>
        </w:rPr>
        <w:t xml:space="preserve"> most </w:t>
      </w:r>
      <w:r w:rsidR="00BB32B0">
        <w:rPr>
          <w:rFonts w:ascii="Times New Roman" w:hAnsi="Times New Roman" w:cs="Times New Roman"/>
          <w:sz w:val="22"/>
        </w:rPr>
        <w:t xml:space="preserve">researchers </w:t>
      </w:r>
      <w:r w:rsidR="00F6221F">
        <w:rPr>
          <w:rFonts w:ascii="Times New Roman" w:hAnsi="Times New Roman" w:cs="Times New Roman"/>
          <w:sz w:val="22"/>
        </w:rPr>
        <w:t>regarding</w:t>
      </w:r>
      <w:r w:rsidR="00BB32B0">
        <w:rPr>
          <w:rFonts w:ascii="Times New Roman" w:hAnsi="Times New Roman" w:cs="Times New Roman"/>
          <w:sz w:val="22"/>
        </w:rPr>
        <w:t xml:space="preserve"> dividend policy. This being that</w:t>
      </w:r>
      <w:r w:rsidR="00D04AEB">
        <w:rPr>
          <w:rFonts w:ascii="Times New Roman" w:hAnsi="Times New Roman" w:cs="Times New Roman"/>
          <w:sz w:val="22"/>
        </w:rPr>
        <w:t xml:space="preserve"> there is</w:t>
      </w:r>
      <w:r w:rsidR="00BB32B0">
        <w:rPr>
          <w:rFonts w:ascii="Times New Roman" w:hAnsi="Times New Roman" w:cs="Times New Roman"/>
          <w:sz w:val="22"/>
        </w:rPr>
        <w:t xml:space="preserve"> </w:t>
      </w:r>
      <w:r w:rsidR="006B7584" w:rsidRPr="003A1203">
        <w:rPr>
          <w:rFonts w:ascii="Times New Roman" w:hAnsi="Times New Roman" w:cs="Times New Roman"/>
          <w:sz w:val="22"/>
        </w:rPr>
        <w:t>no logical</w:t>
      </w:r>
      <w:r w:rsidR="00BB32B0">
        <w:rPr>
          <w:rFonts w:ascii="Times New Roman" w:hAnsi="Times New Roman" w:cs="Times New Roman"/>
          <w:sz w:val="22"/>
        </w:rPr>
        <w:t xml:space="preserve"> or widely accepted </w:t>
      </w:r>
      <w:r w:rsidR="006B7584" w:rsidRPr="003A1203">
        <w:rPr>
          <w:rFonts w:ascii="Times New Roman" w:hAnsi="Times New Roman" w:cs="Times New Roman"/>
          <w:sz w:val="22"/>
        </w:rPr>
        <w:t xml:space="preserve">explanation for the </w:t>
      </w:r>
      <w:r w:rsidR="00BB32B0">
        <w:rPr>
          <w:rFonts w:ascii="Times New Roman" w:hAnsi="Times New Roman" w:cs="Times New Roman"/>
          <w:sz w:val="22"/>
        </w:rPr>
        <w:t xml:space="preserve">reason as to why dividend payments </w:t>
      </w:r>
      <w:r w:rsidR="00D04AEB">
        <w:rPr>
          <w:rFonts w:ascii="Times New Roman" w:hAnsi="Times New Roman" w:cs="Times New Roman"/>
          <w:sz w:val="22"/>
        </w:rPr>
        <w:t>are</w:t>
      </w:r>
      <w:r w:rsidR="00BB32B0">
        <w:rPr>
          <w:rFonts w:ascii="Times New Roman" w:hAnsi="Times New Roman" w:cs="Times New Roman"/>
          <w:sz w:val="22"/>
        </w:rPr>
        <w:t xml:space="preserve"> made. </w:t>
      </w:r>
    </w:p>
    <w:p w14:paraId="46CDF84A" w14:textId="77777777" w:rsidR="006B7584" w:rsidRPr="003A1203" w:rsidRDefault="006D2F0F" w:rsidP="00536234">
      <w:pPr>
        <w:spacing w:line="480" w:lineRule="auto"/>
        <w:ind w:left="0"/>
        <w:rPr>
          <w:rFonts w:ascii="Times New Roman" w:hAnsi="Times New Roman" w:cs="Times New Roman"/>
          <w:sz w:val="22"/>
        </w:rPr>
      </w:pPr>
      <w:r>
        <w:rPr>
          <w:rFonts w:ascii="Times New Roman" w:hAnsi="Times New Roman" w:cs="Times New Roman"/>
          <w:sz w:val="22"/>
        </w:rPr>
        <w:t>Many f</w:t>
      </w:r>
      <w:r w:rsidR="00D04AEB">
        <w:rPr>
          <w:rFonts w:ascii="Times New Roman" w:hAnsi="Times New Roman" w:cs="Times New Roman"/>
          <w:sz w:val="22"/>
        </w:rPr>
        <w:t>inance researchers have, throughout time</w:t>
      </w:r>
      <w:r w:rsidR="00F6221F">
        <w:rPr>
          <w:rFonts w:ascii="Times New Roman" w:hAnsi="Times New Roman" w:cs="Times New Roman"/>
          <w:sz w:val="22"/>
        </w:rPr>
        <w:t>,</w:t>
      </w:r>
      <w:r w:rsidR="006B7584" w:rsidRPr="003A1203">
        <w:rPr>
          <w:rFonts w:ascii="Times New Roman" w:hAnsi="Times New Roman" w:cs="Times New Roman"/>
          <w:sz w:val="22"/>
        </w:rPr>
        <w:t xml:space="preserve"> attempted to</w:t>
      </w:r>
      <w:r w:rsidR="00BB32B0">
        <w:rPr>
          <w:rFonts w:ascii="Times New Roman" w:hAnsi="Times New Roman" w:cs="Times New Roman"/>
          <w:sz w:val="22"/>
        </w:rPr>
        <w:t xml:space="preserve"> </w:t>
      </w:r>
      <w:r w:rsidR="006B7584" w:rsidRPr="003A1203">
        <w:rPr>
          <w:rFonts w:ascii="Times New Roman" w:hAnsi="Times New Roman" w:cs="Times New Roman"/>
          <w:sz w:val="22"/>
        </w:rPr>
        <w:t xml:space="preserve">answer this question by providing </w:t>
      </w:r>
      <w:r w:rsidR="00BB32B0">
        <w:rPr>
          <w:rFonts w:ascii="Times New Roman" w:hAnsi="Times New Roman" w:cs="Times New Roman"/>
          <w:sz w:val="22"/>
        </w:rPr>
        <w:t xml:space="preserve">their own </w:t>
      </w:r>
      <w:r w:rsidR="006B7584" w:rsidRPr="003A1203">
        <w:rPr>
          <w:rFonts w:ascii="Times New Roman" w:hAnsi="Times New Roman" w:cs="Times New Roman"/>
          <w:sz w:val="22"/>
        </w:rPr>
        <w:t>theories for the payments of dividends.</w:t>
      </w:r>
      <w:r>
        <w:rPr>
          <w:rFonts w:ascii="Times New Roman" w:hAnsi="Times New Roman" w:cs="Times New Roman"/>
          <w:sz w:val="22"/>
        </w:rPr>
        <w:t xml:space="preserve"> Some of these researchers even began with their attempt at unravelling the mystery behind dividend payments prior to the statement made in Black’s (1976) publication.</w:t>
      </w:r>
      <w:r w:rsidR="006B7584" w:rsidRPr="003A1203">
        <w:rPr>
          <w:rFonts w:ascii="Times New Roman" w:hAnsi="Times New Roman" w:cs="Times New Roman"/>
          <w:sz w:val="22"/>
        </w:rPr>
        <w:t xml:space="preserve"> </w:t>
      </w:r>
      <w:r w:rsidR="00D04AEB">
        <w:rPr>
          <w:rFonts w:ascii="Times New Roman" w:hAnsi="Times New Roman" w:cs="Times New Roman"/>
          <w:sz w:val="22"/>
        </w:rPr>
        <w:t>One such theory is described by</w:t>
      </w:r>
      <w:r w:rsidR="00BB32B0">
        <w:rPr>
          <w:rFonts w:ascii="Times New Roman" w:hAnsi="Times New Roman" w:cs="Times New Roman"/>
          <w:sz w:val="22"/>
        </w:rPr>
        <w:t xml:space="preserve"> </w:t>
      </w:r>
      <w:r w:rsidR="00D04AEB">
        <w:rPr>
          <w:rFonts w:ascii="Times New Roman" w:hAnsi="Times New Roman" w:cs="Times New Roman"/>
          <w:sz w:val="22"/>
        </w:rPr>
        <w:t xml:space="preserve">Gordon (1959) and Lintner </w:t>
      </w:r>
      <w:r w:rsidR="006B7584" w:rsidRPr="003A1203">
        <w:rPr>
          <w:rFonts w:ascii="Times New Roman" w:hAnsi="Times New Roman" w:cs="Times New Roman"/>
          <w:sz w:val="22"/>
        </w:rPr>
        <w:t>(1956)</w:t>
      </w:r>
      <w:r w:rsidR="00BB32B0">
        <w:rPr>
          <w:rFonts w:ascii="Times New Roman" w:hAnsi="Times New Roman" w:cs="Times New Roman"/>
          <w:sz w:val="22"/>
        </w:rPr>
        <w:t xml:space="preserve"> </w:t>
      </w:r>
      <w:r w:rsidR="00D04AEB">
        <w:rPr>
          <w:rFonts w:ascii="Times New Roman" w:hAnsi="Times New Roman" w:cs="Times New Roman"/>
          <w:sz w:val="22"/>
        </w:rPr>
        <w:t>as</w:t>
      </w:r>
      <w:r w:rsidR="00BB32B0">
        <w:rPr>
          <w:rFonts w:ascii="Times New Roman" w:hAnsi="Times New Roman" w:cs="Times New Roman"/>
          <w:sz w:val="22"/>
        </w:rPr>
        <w:t xml:space="preserve"> the</w:t>
      </w:r>
      <w:r w:rsidR="006B7584" w:rsidRPr="003A1203">
        <w:rPr>
          <w:rFonts w:ascii="Times New Roman" w:hAnsi="Times New Roman" w:cs="Times New Roman"/>
          <w:sz w:val="22"/>
        </w:rPr>
        <w:t xml:space="preserve"> “Bird in the Hand Theory”. This theory proposed that</w:t>
      </w:r>
      <w:r w:rsidR="00BB32B0">
        <w:rPr>
          <w:rFonts w:ascii="Times New Roman" w:hAnsi="Times New Roman" w:cs="Times New Roman"/>
          <w:sz w:val="22"/>
        </w:rPr>
        <w:t>,</w:t>
      </w:r>
      <w:r w:rsidR="006B7584" w:rsidRPr="003A1203">
        <w:rPr>
          <w:rFonts w:ascii="Times New Roman" w:hAnsi="Times New Roman" w:cs="Times New Roman"/>
          <w:sz w:val="22"/>
        </w:rPr>
        <w:t xml:space="preserve"> due to the uncertainty inherent in investments, risk averse shareholders </w:t>
      </w:r>
      <w:r w:rsidR="00BB32B0">
        <w:rPr>
          <w:rFonts w:ascii="Times New Roman" w:hAnsi="Times New Roman" w:cs="Times New Roman"/>
          <w:sz w:val="22"/>
        </w:rPr>
        <w:t>preferred</w:t>
      </w:r>
      <w:r w:rsidR="006B7584" w:rsidRPr="003A1203">
        <w:rPr>
          <w:rFonts w:ascii="Times New Roman" w:hAnsi="Times New Roman" w:cs="Times New Roman"/>
          <w:sz w:val="22"/>
        </w:rPr>
        <w:t xml:space="preserve"> the benefits of a dividend paid now as opposed to the uncertainty of future capital gains.</w:t>
      </w:r>
      <w:r w:rsidR="00BB32B0">
        <w:rPr>
          <w:rFonts w:ascii="Times New Roman" w:hAnsi="Times New Roman" w:cs="Times New Roman"/>
          <w:sz w:val="22"/>
        </w:rPr>
        <w:t xml:space="preserve"> This led to companies which consisted of a shareholding of risk averse investors, to make large payments of dividends on a regular basis. </w:t>
      </w:r>
      <w:r w:rsidR="006B7584" w:rsidRPr="003A1203">
        <w:rPr>
          <w:rFonts w:ascii="Times New Roman" w:hAnsi="Times New Roman" w:cs="Times New Roman"/>
          <w:sz w:val="22"/>
        </w:rPr>
        <w:t xml:space="preserve"> </w:t>
      </w:r>
    </w:p>
    <w:p w14:paraId="66BB189B"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Miller and Modigliani (1961) further expressed that dividends are irrelevant and that rational shareholders would be indifferent towards these payments. Black (1976) went further on to relax the assumptions made by Miller and Modigliani (1961) by introducing taxes as a determinant of corporate dividend policy decisions. The results of this were that </w:t>
      </w:r>
      <w:r w:rsidR="000B5678">
        <w:rPr>
          <w:rFonts w:ascii="Times New Roman" w:hAnsi="Times New Roman" w:cs="Times New Roman"/>
          <w:sz w:val="22"/>
        </w:rPr>
        <w:t xml:space="preserve">some </w:t>
      </w:r>
      <w:r w:rsidRPr="003A1203">
        <w:rPr>
          <w:rFonts w:ascii="Times New Roman" w:hAnsi="Times New Roman" w:cs="Times New Roman"/>
          <w:sz w:val="22"/>
        </w:rPr>
        <w:t>shareholders preferred either dividends or capital gain depending on which alternative resulted in the lowest amounts of tax being paid by them.</w:t>
      </w:r>
    </w:p>
    <w:p w14:paraId="32ABD777"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Another example of this includes the theory proposed by Bhattacharya (1979) in defence of the payment of dividends. The resulting “Signalling Theory” argued that management will utilise dividends to communicate information regarding the cash flow status of the firm.</w:t>
      </w:r>
      <w:r w:rsidR="000B5678">
        <w:rPr>
          <w:rFonts w:ascii="Times New Roman" w:hAnsi="Times New Roman" w:cs="Times New Roman"/>
          <w:sz w:val="22"/>
        </w:rPr>
        <w:t xml:space="preserve"> This signal would generally relate to the current and future expectations of the performance of the company paying dividends. The issue with this theory, and consistent with the other theories discussed, is that a particular action of the company regarding its dividend payments could be interpreted in different ways by the market and its participants.</w:t>
      </w:r>
    </w:p>
    <w:p w14:paraId="0575ABF4"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Recent theories introduced by Fama and French (2001), and later developed by Baker and Wurgler (2004)</w:t>
      </w:r>
      <w:r w:rsidR="00F6221F">
        <w:rPr>
          <w:rFonts w:ascii="Times New Roman" w:hAnsi="Times New Roman" w:cs="Times New Roman"/>
          <w:sz w:val="22"/>
        </w:rPr>
        <w:t>,</w:t>
      </w:r>
      <w:r w:rsidRPr="003A1203">
        <w:rPr>
          <w:rFonts w:ascii="Times New Roman" w:hAnsi="Times New Roman" w:cs="Times New Roman"/>
          <w:sz w:val="22"/>
        </w:rPr>
        <w:t xml:space="preserve"> focused on the different types of modern shareholders </w:t>
      </w:r>
      <w:r w:rsidR="00F6221F">
        <w:rPr>
          <w:rFonts w:ascii="Times New Roman" w:hAnsi="Times New Roman" w:cs="Times New Roman"/>
          <w:sz w:val="22"/>
        </w:rPr>
        <w:t>and</w:t>
      </w:r>
      <w:r w:rsidRPr="003A1203">
        <w:rPr>
          <w:rFonts w:ascii="Times New Roman" w:hAnsi="Times New Roman" w:cs="Times New Roman"/>
          <w:sz w:val="22"/>
        </w:rPr>
        <w:t xml:space="preserve"> their changing desire for dividends</w:t>
      </w:r>
      <w:r w:rsidR="00F6221F">
        <w:rPr>
          <w:rFonts w:ascii="Times New Roman" w:hAnsi="Times New Roman" w:cs="Times New Roman"/>
          <w:sz w:val="22"/>
        </w:rPr>
        <w:t>,</w:t>
      </w:r>
      <w:r w:rsidRPr="003A1203">
        <w:rPr>
          <w:rFonts w:ascii="Times New Roman" w:hAnsi="Times New Roman" w:cs="Times New Roman"/>
          <w:sz w:val="22"/>
        </w:rPr>
        <w:t xml:space="preserve"> depending on existing market conditions. This went on to be defined as the “Catering Theory”.</w:t>
      </w:r>
      <w:r w:rsidR="000B5678">
        <w:rPr>
          <w:rFonts w:ascii="Times New Roman" w:hAnsi="Times New Roman" w:cs="Times New Roman"/>
          <w:sz w:val="22"/>
        </w:rPr>
        <w:t xml:space="preserve"> </w:t>
      </w:r>
      <w:r w:rsidR="009976B0">
        <w:rPr>
          <w:rFonts w:ascii="Times New Roman" w:hAnsi="Times New Roman" w:cs="Times New Roman"/>
          <w:sz w:val="22"/>
        </w:rPr>
        <w:t xml:space="preserve"> </w:t>
      </w:r>
      <w:r w:rsidR="009976B0" w:rsidRPr="009976B0">
        <w:rPr>
          <w:rFonts w:ascii="Times New Roman" w:hAnsi="Times New Roman" w:cs="Times New Roman"/>
          <w:sz w:val="22"/>
        </w:rPr>
        <w:t xml:space="preserve">This </w:t>
      </w:r>
      <w:r w:rsidR="009976B0">
        <w:rPr>
          <w:rFonts w:ascii="Times New Roman" w:hAnsi="Times New Roman" w:cs="Times New Roman"/>
          <w:sz w:val="22"/>
        </w:rPr>
        <w:t xml:space="preserve">is </w:t>
      </w:r>
      <w:r w:rsidR="009976B0">
        <w:rPr>
          <w:rFonts w:ascii="Times New Roman" w:hAnsi="Times New Roman" w:cs="Times New Roman"/>
          <w:sz w:val="22"/>
        </w:rPr>
        <w:lastRenderedPageBreak/>
        <w:t xml:space="preserve">because the </w:t>
      </w:r>
      <w:r w:rsidR="009976B0" w:rsidRPr="009976B0">
        <w:rPr>
          <w:rFonts w:ascii="Times New Roman" w:hAnsi="Times New Roman" w:cs="Times New Roman"/>
          <w:sz w:val="22"/>
        </w:rPr>
        <w:t xml:space="preserve">demand for dividends </w:t>
      </w:r>
      <w:r w:rsidR="009976B0">
        <w:rPr>
          <w:rFonts w:ascii="Times New Roman" w:hAnsi="Times New Roman" w:cs="Times New Roman"/>
          <w:sz w:val="22"/>
        </w:rPr>
        <w:t xml:space="preserve">by shareholders of a company </w:t>
      </w:r>
      <w:r w:rsidR="009976B0" w:rsidRPr="009976B0">
        <w:rPr>
          <w:rFonts w:ascii="Times New Roman" w:hAnsi="Times New Roman" w:cs="Times New Roman"/>
          <w:sz w:val="22"/>
        </w:rPr>
        <w:t>is not constant but changes with investor sentiment at different points in the economic cycle.</w:t>
      </w:r>
      <w:r w:rsidR="009976B0">
        <w:rPr>
          <w:rFonts w:ascii="Times New Roman" w:hAnsi="Times New Roman" w:cs="Times New Roman"/>
          <w:sz w:val="22"/>
        </w:rPr>
        <w:t xml:space="preserve"> </w:t>
      </w:r>
      <w:r w:rsidRPr="003A1203">
        <w:rPr>
          <w:rFonts w:ascii="Times New Roman" w:hAnsi="Times New Roman" w:cs="Times New Roman"/>
          <w:sz w:val="22"/>
        </w:rPr>
        <w:t>In addition to this, Baker and Wurgler (2004) determined that different d</w:t>
      </w:r>
      <w:r w:rsidR="00F6221F">
        <w:rPr>
          <w:rFonts w:ascii="Times New Roman" w:hAnsi="Times New Roman" w:cs="Times New Roman"/>
          <w:sz w:val="22"/>
        </w:rPr>
        <w:t>ividend pay-out policies set</w:t>
      </w:r>
      <w:r w:rsidRPr="003A1203">
        <w:rPr>
          <w:rFonts w:ascii="Times New Roman" w:hAnsi="Times New Roman" w:cs="Times New Roman"/>
          <w:sz w:val="22"/>
        </w:rPr>
        <w:t xml:space="preserve"> by different companies will</w:t>
      </w:r>
      <w:r w:rsidR="00F6221F">
        <w:rPr>
          <w:rFonts w:ascii="Times New Roman" w:hAnsi="Times New Roman" w:cs="Times New Roman"/>
          <w:sz w:val="22"/>
        </w:rPr>
        <w:t>,</w:t>
      </w:r>
      <w:r w:rsidRPr="003A1203">
        <w:rPr>
          <w:rFonts w:ascii="Times New Roman" w:hAnsi="Times New Roman" w:cs="Times New Roman"/>
          <w:sz w:val="22"/>
        </w:rPr>
        <w:t xml:space="preserve"> in turn</w:t>
      </w:r>
      <w:r w:rsidR="00F6221F">
        <w:rPr>
          <w:rFonts w:ascii="Times New Roman" w:hAnsi="Times New Roman" w:cs="Times New Roman"/>
          <w:sz w:val="22"/>
        </w:rPr>
        <w:t>,</w:t>
      </w:r>
      <w:r w:rsidRPr="003A1203">
        <w:rPr>
          <w:rFonts w:ascii="Times New Roman" w:hAnsi="Times New Roman" w:cs="Times New Roman"/>
          <w:sz w:val="22"/>
        </w:rPr>
        <w:t xml:space="preserve"> attract different kinds of shareholders. These different kinds of shareholder will invest in companies which satisfy their needs for dividends at a particular point in time</w:t>
      </w:r>
      <w:r w:rsidR="00F6221F">
        <w:rPr>
          <w:rFonts w:ascii="Times New Roman" w:hAnsi="Times New Roman" w:cs="Times New Roman"/>
          <w:sz w:val="22"/>
        </w:rPr>
        <w:t>.</w:t>
      </w:r>
      <w:r w:rsidRPr="003A1203">
        <w:rPr>
          <w:rFonts w:ascii="Times New Roman" w:hAnsi="Times New Roman" w:cs="Times New Roman"/>
          <w:sz w:val="22"/>
        </w:rPr>
        <w:t xml:space="preserve"> </w:t>
      </w:r>
      <w:r w:rsidR="00F6221F">
        <w:rPr>
          <w:rFonts w:ascii="Times New Roman" w:hAnsi="Times New Roman" w:cs="Times New Roman"/>
          <w:sz w:val="22"/>
        </w:rPr>
        <w:t>T</w:t>
      </w:r>
      <w:r w:rsidRPr="003A1203">
        <w:rPr>
          <w:rFonts w:ascii="Times New Roman" w:hAnsi="Times New Roman" w:cs="Times New Roman"/>
          <w:sz w:val="22"/>
        </w:rPr>
        <w:t>his is known as the “Clientele Effect” theory.</w:t>
      </w:r>
    </w:p>
    <w:p w14:paraId="0E525A34" w14:textId="666261D4"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Despite the theories developed, none</w:t>
      </w:r>
      <w:r w:rsidR="002C6FC2">
        <w:rPr>
          <w:rFonts w:ascii="Times New Roman" w:hAnsi="Times New Roman" w:cs="Times New Roman"/>
          <w:sz w:val="22"/>
        </w:rPr>
        <w:t xml:space="preserve"> of these researchers</w:t>
      </w:r>
      <w:r w:rsidRPr="003A1203">
        <w:rPr>
          <w:rFonts w:ascii="Times New Roman" w:hAnsi="Times New Roman" w:cs="Times New Roman"/>
          <w:sz w:val="22"/>
        </w:rPr>
        <w:t xml:space="preserve"> </w:t>
      </w:r>
      <w:r w:rsidR="00F6221F">
        <w:rPr>
          <w:rFonts w:ascii="Times New Roman" w:hAnsi="Times New Roman" w:cs="Times New Roman"/>
          <w:sz w:val="22"/>
        </w:rPr>
        <w:t>were able to</w:t>
      </w:r>
      <w:r w:rsidRPr="003A1203">
        <w:rPr>
          <w:rFonts w:ascii="Times New Roman" w:hAnsi="Times New Roman" w:cs="Times New Roman"/>
          <w:sz w:val="22"/>
        </w:rPr>
        <w:t xml:space="preserve"> provide conclusive evidence regarding reasons for dividend payments to </w:t>
      </w:r>
      <w:r w:rsidR="000B5678">
        <w:rPr>
          <w:rFonts w:ascii="Times New Roman" w:hAnsi="Times New Roman" w:cs="Times New Roman"/>
          <w:sz w:val="22"/>
        </w:rPr>
        <w:t xml:space="preserve">shareholders. The effect of this is </w:t>
      </w:r>
      <w:r w:rsidRPr="003A1203">
        <w:rPr>
          <w:rFonts w:ascii="Times New Roman" w:hAnsi="Times New Roman" w:cs="Times New Roman"/>
          <w:sz w:val="22"/>
        </w:rPr>
        <w:t>such</w:t>
      </w:r>
      <w:r w:rsidR="000B5678">
        <w:rPr>
          <w:rFonts w:ascii="Times New Roman" w:hAnsi="Times New Roman" w:cs="Times New Roman"/>
          <w:sz w:val="22"/>
        </w:rPr>
        <w:t xml:space="preserve"> that</w:t>
      </w:r>
      <w:r w:rsidRPr="003A1203">
        <w:rPr>
          <w:rFonts w:ascii="Times New Roman" w:hAnsi="Times New Roman" w:cs="Times New Roman"/>
          <w:sz w:val="22"/>
        </w:rPr>
        <w:t xml:space="preserve"> the puzzle representing dividend payments remains unsolved (Black, 1976</w:t>
      </w:r>
      <w:r w:rsidR="006D2F0F">
        <w:rPr>
          <w:rFonts w:ascii="Times New Roman" w:hAnsi="Times New Roman" w:cs="Times New Roman"/>
          <w:sz w:val="22"/>
        </w:rPr>
        <w:t>;</w:t>
      </w:r>
      <w:r w:rsidR="00A04D1A">
        <w:rPr>
          <w:rFonts w:ascii="Times New Roman" w:hAnsi="Times New Roman" w:cs="Times New Roman"/>
          <w:sz w:val="22"/>
        </w:rPr>
        <w:t xml:space="preserve"> H.K.</w:t>
      </w:r>
      <w:r w:rsidR="006D2F0F">
        <w:rPr>
          <w:rFonts w:ascii="Times New Roman" w:hAnsi="Times New Roman" w:cs="Times New Roman"/>
          <w:sz w:val="22"/>
        </w:rPr>
        <w:t xml:space="preserve"> </w:t>
      </w:r>
      <w:r w:rsidR="006D2F0F" w:rsidRPr="006D2F0F">
        <w:rPr>
          <w:rFonts w:ascii="Times New Roman" w:hAnsi="Times New Roman" w:cs="Times New Roman"/>
          <w:sz w:val="22"/>
        </w:rPr>
        <w:t>Baker</w:t>
      </w:r>
      <w:r w:rsidR="00DD3FE3">
        <w:rPr>
          <w:rFonts w:ascii="Times New Roman" w:hAnsi="Times New Roman" w:cs="Times New Roman"/>
          <w:sz w:val="22"/>
        </w:rPr>
        <w:t>,</w:t>
      </w:r>
      <w:r w:rsidR="006D2F0F">
        <w:rPr>
          <w:rFonts w:ascii="Times New Roman" w:hAnsi="Times New Roman" w:cs="Times New Roman"/>
          <w:sz w:val="22"/>
        </w:rPr>
        <w:t xml:space="preserve"> </w:t>
      </w:r>
      <w:r w:rsidR="006D2F0F" w:rsidRPr="006D2F0F">
        <w:rPr>
          <w:rFonts w:ascii="Times New Roman" w:hAnsi="Times New Roman" w:cs="Times New Roman"/>
          <w:sz w:val="22"/>
        </w:rPr>
        <w:t>Powell</w:t>
      </w:r>
      <w:r w:rsidR="00F04E8C">
        <w:rPr>
          <w:rFonts w:ascii="Times New Roman" w:hAnsi="Times New Roman" w:cs="Times New Roman"/>
          <w:sz w:val="22"/>
        </w:rPr>
        <w:t>,</w:t>
      </w:r>
      <w:r w:rsidR="006D2F0F">
        <w:rPr>
          <w:rFonts w:ascii="Times New Roman" w:hAnsi="Times New Roman" w:cs="Times New Roman"/>
          <w:sz w:val="22"/>
        </w:rPr>
        <w:t xml:space="preserve"> &amp; </w:t>
      </w:r>
      <w:r w:rsidR="006D2F0F" w:rsidRPr="006D2F0F">
        <w:rPr>
          <w:rFonts w:ascii="Times New Roman" w:hAnsi="Times New Roman" w:cs="Times New Roman"/>
          <w:sz w:val="22"/>
        </w:rPr>
        <w:t>Veit</w:t>
      </w:r>
      <w:r w:rsidR="006D2F0F">
        <w:rPr>
          <w:rFonts w:ascii="Times New Roman" w:hAnsi="Times New Roman" w:cs="Times New Roman"/>
          <w:sz w:val="22"/>
        </w:rPr>
        <w:t>, 2002</w:t>
      </w:r>
      <w:r w:rsidRPr="003A1203">
        <w:rPr>
          <w:rFonts w:ascii="Times New Roman" w:hAnsi="Times New Roman" w:cs="Times New Roman"/>
          <w:sz w:val="22"/>
        </w:rPr>
        <w:t>).</w:t>
      </w:r>
      <w:r w:rsidR="009976B0">
        <w:rPr>
          <w:rFonts w:ascii="Times New Roman" w:hAnsi="Times New Roman" w:cs="Times New Roman"/>
          <w:sz w:val="22"/>
        </w:rPr>
        <w:t xml:space="preserve"> Therefore, it remains imperative that research continues to be conducted in order to provide a concrete determinant for the payment of dividends by companies. </w:t>
      </w:r>
      <w:r w:rsidR="002C6FC2">
        <w:rPr>
          <w:rFonts w:ascii="Times New Roman" w:hAnsi="Times New Roman" w:cs="Times New Roman"/>
          <w:sz w:val="22"/>
        </w:rPr>
        <w:t>Th</w:t>
      </w:r>
      <w:r w:rsidR="006D2F0F">
        <w:rPr>
          <w:rFonts w:ascii="Times New Roman" w:hAnsi="Times New Roman" w:cs="Times New Roman"/>
          <w:sz w:val="22"/>
        </w:rPr>
        <w:t>e</w:t>
      </w:r>
      <w:r w:rsidR="002C6FC2">
        <w:rPr>
          <w:rFonts w:ascii="Times New Roman" w:hAnsi="Times New Roman" w:cs="Times New Roman"/>
          <w:sz w:val="22"/>
        </w:rPr>
        <w:t xml:space="preserve"> importance of this lies in the economic impact that dividend payments have on the performance of companies.</w:t>
      </w:r>
    </w:p>
    <w:p w14:paraId="085B36F7" w14:textId="77777777" w:rsidR="006B7584" w:rsidRPr="00A14BA6" w:rsidRDefault="00F0300C" w:rsidP="00536234">
      <w:pPr>
        <w:pStyle w:val="Heading2"/>
        <w:ind w:left="0"/>
        <w:rPr>
          <w:rFonts w:ascii="Times New Roman" w:hAnsi="Times New Roman" w:cs="Times New Roman"/>
          <w:b/>
          <w:color w:val="auto"/>
          <w:sz w:val="24"/>
        </w:rPr>
      </w:pPr>
      <w:bookmarkStart w:id="37" w:name="_Toc506717783"/>
      <w:r w:rsidRPr="00A14BA6">
        <w:rPr>
          <w:rFonts w:ascii="Times New Roman" w:hAnsi="Times New Roman" w:cs="Times New Roman"/>
          <w:b/>
          <w:color w:val="auto"/>
          <w:sz w:val="24"/>
        </w:rPr>
        <w:t>2.4.2</w:t>
      </w:r>
      <w:r w:rsidRPr="00A14BA6">
        <w:rPr>
          <w:rFonts w:ascii="Times New Roman" w:hAnsi="Times New Roman" w:cs="Times New Roman"/>
          <w:b/>
          <w:color w:val="auto"/>
          <w:sz w:val="24"/>
        </w:rPr>
        <w:tab/>
      </w:r>
      <w:r w:rsidR="006B7584" w:rsidRPr="00A14BA6">
        <w:rPr>
          <w:rFonts w:ascii="Times New Roman" w:hAnsi="Times New Roman" w:cs="Times New Roman"/>
          <w:b/>
          <w:color w:val="auto"/>
          <w:sz w:val="24"/>
        </w:rPr>
        <w:t>Agency Theory on Dividend Policy</w:t>
      </w:r>
      <w:bookmarkEnd w:id="37"/>
    </w:p>
    <w:p w14:paraId="2E584C71" w14:textId="12C2836B"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A more recent area of focus regarding the payment of dividends </w:t>
      </w:r>
      <w:r w:rsidR="0041265A">
        <w:rPr>
          <w:rFonts w:ascii="Times New Roman" w:hAnsi="Times New Roman" w:cs="Times New Roman"/>
          <w:sz w:val="22"/>
        </w:rPr>
        <w:t>has attempted</w:t>
      </w:r>
      <w:r w:rsidRPr="003A1203">
        <w:rPr>
          <w:rFonts w:ascii="Times New Roman" w:hAnsi="Times New Roman" w:cs="Times New Roman"/>
          <w:sz w:val="22"/>
        </w:rPr>
        <w:t xml:space="preserve"> to address the use of dividend</w:t>
      </w:r>
      <w:r w:rsidR="0041265A">
        <w:rPr>
          <w:rFonts w:ascii="Times New Roman" w:hAnsi="Times New Roman" w:cs="Times New Roman"/>
          <w:sz w:val="22"/>
        </w:rPr>
        <w:t xml:space="preserve"> payments</w:t>
      </w:r>
      <w:r w:rsidRPr="003A1203">
        <w:rPr>
          <w:rFonts w:ascii="Times New Roman" w:hAnsi="Times New Roman" w:cs="Times New Roman"/>
          <w:sz w:val="22"/>
        </w:rPr>
        <w:t xml:space="preserve"> as a solution to the agency problem (Jensen, 1986). The agency problem </w:t>
      </w:r>
      <w:r w:rsidR="0041265A">
        <w:rPr>
          <w:rFonts w:ascii="Times New Roman" w:hAnsi="Times New Roman" w:cs="Times New Roman"/>
          <w:sz w:val="22"/>
        </w:rPr>
        <w:t xml:space="preserve">can be described by </w:t>
      </w:r>
      <w:r w:rsidRPr="003A1203">
        <w:rPr>
          <w:rFonts w:ascii="Times New Roman" w:hAnsi="Times New Roman" w:cs="Times New Roman"/>
          <w:sz w:val="22"/>
        </w:rPr>
        <w:t>two</w:t>
      </w:r>
      <w:r w:rsidR="0041265A">
        <w:rPr>
          <w:rFonts w:ascii="Times New Roman" w:hAnsi="Times New Roman" w:cs="Times New Roman"/>
          <w:sz w:val="22"/>
        </w:rPr>
        <w:t xml:space="preserve"> primary</w:t>
      </w:r>
      <w:r w:rsidRPr="003A1203">
        <w:rPr>
          <w:rFonts w:ascii="Times New Roman" w:hAnsi="Times New Roman" w:cs="Times New Roman"/>
          <w:sz w:val="22"/>
        </w:rPr>
        <w:t xml:space="preserve"> conflicts of interest </w:t>
      </w:r>
      <w:r w:rsidR="006A4EE6">
        <w:rPr>
          <w:rFonts w:ascii="Times New Roman" w:hAnsi="Times New Roman" w:cs="Times New Roman"/>
          <w:sz w:val="22"/>
        </w:rPr>
        <w:t>existing</w:t>
      </w:r>
      <w:r w:rsidRPr="003A1203">
        <w:rPr>
          <w:rFonts w:ascii="Times New Roman" w:hAnsi="Times New Roman" w:cs="Times New Roman"/>
          <w:sz w:val="22"/>
        </w:rPr>
        <w:t xml:space="preserve"> between management and</w:t>
      </w:r>
      <w:r w:rsidR="0041265A">
        <w:rPr>
          <w:rFonts w:ascii="Times New Roman" w:hAnsi="Times New Roman" w:cs="Times New Roman"/>
          <w:sz w:val="22"/>
        </w:rPr>
        <w:t xml:space="preserve"> shareholders. These problems </w:t>
      </w:r>
      <w:r w:rsidR="006A4EE6">
        <w:rPr>
          <w:rFonts w:ascii="Times New Roman" w:hAnsi="Times New Roman" w:cs="Times New Roman"/>
          <w:sz w:val="22"/>
        </w:rPr>
        <w:t>are</w:t>
      </w:r>
      <w:r w:rsidRPr="003A1203">
        <w:rPr>
          <w:rFonts w:ascii="Times New Roman" w:hAnsi="Times New Roman" w:cs="Times New Roman"/>
          <w:sz w:val="22"/>
        </w:rPr>
        <w:t xml:space="preserve"> </w:t>
      </w:r>
      <w:r w:rsidR="006A4EE6">
        <w:rPr>
          <w:rFonts w:ascii="Times New Roman" w:hAnsi="Times New Roman" w:cs="Times New Roman"/>
          <w:sz w:val="22"/>
        </w:rPr>
        <w:t xml:space="preserve">especially </w:t>
      </w:r>
      <w:r w:rsidR="0041265A">
        <w:rPr>
          <w:rFonts w:ascii="Times New Roman" w:hAnsi="Times New Roman" w:cs="Times New Roman"/>
          <w:sz w:val="22"/>
        </w:rPr>
        <w:t>a common</w:t>
      </w:r>
      <w:r w:rsidRPr="003A1203">
        <w:rPr>
          <w:rFonts w:ascii="Times New Roman" w:hAnsi="Times New Roman" w:cs="Times New Roman"/>
          <w:sz w:val="22"/>
        </w:rPr>
        <w:t xml:space="preserve"> feature of the</w:t>
      </w:r>
      <w:r w:rsidR="0041265A">
        <w:rPr>
          <w:rFonts w:ascii="Times New Roman" w:hAnsi="Times New Roman" w:cs="Times New Roman"/>
          <w:sz w:val="22"/>
        </w:rPr>
        <w:t xml:space="preserve"> modern</w:t>
      </w:r>
      <w:r w:rsidRPr="003A1203">
        <w:rPr>
          <w:rFonts w:ascii="Times New Roman" w:hAnsi="Times New Roman" w:cs="Times New Roman"/>
          <w:sz w:val="22"/>
        </w:rPr>
        <w:t xml:space="preserve"> limited liability c</w:t>
      </w:r>
      <w:r w:rsidR="0041265A">
        <w:rPr>
          <w:rFonts w:ascii="Times New Roman" w:hAnsi="Times New Roman" w:cs="Times New Roman"/>
          <w:sz w:val="22"/>
        </w:rPr>
        <w:t>orporation (Berle &amp;</w:t>
      </w:r>
      <w:r w:rsidRPr="003A1203">
        <w:rPr>
          <w:rFonts w:ascii="Times New Roman" w:hAnsi="Times New Roman" w:cs="Times New Roman"/>
          <w:sz w:val="22"/>
        </w:rPr>
        <w:t xml:space="preserve"> Means, 1932).</w:t>
      </w:r>
      <w:r w:rsidR="0041265A">
        <w:rPr>
          <w:rFonts w:ascii="Times New Roman" w:hAnsi="Times New Roman" w:cs="Times New Roman"/>
          <w:sz w:val="22"/>
        </w:rPr>
        <w:t xml:space="preserve"> Limited liability companies have formed a large part of the way in which modern corporations have been </w:t>
      </w:r>
      <w:r w:rsidR="006A4EE6">
        <w:rPr>
          <w:rFonts w:ascii="Times New Roman" w:hAnsi="Times New Roman" w:cs="Times New Roman"/>
          <w:sz w:val="22"/>
        </w:rPr>
        <w:t>structured and this</w:t>
      </w:r>
      <w:r w:rsidR="0041265A">
        <w:rPr>
          <w:rFonts w:ascii="Times New Roman" w:hAnsi="Times New Roman" w:cs="Times New Roman"/>
          <w:sz w:val="22"/>
        </w:rPr>
        <w:t xml:space="preserve"> indicates the widespread nature of the agency problem.</w:t>
      </w:r>
      <w:r w:rsidRPr="003A1203">
        <w:rPr>
          <w:rFonts w:ascii="Times New Roman" w:hAnsi="Times New Roman" w:cs="Times New Roman"/>
          <w:sz w:val="22"/>
        </w:rPr>
        <w:t xml:space="preserve"> The first of </w:t>
      </w:r>
      <w:r w:rsidR="0041265A">
        <w:rPr>
          <w:rFonts w:ascii="Times New Roman" w:hAnsi="Times New Roman" w:cs="Times New Roman"/>
          <w:sz w:val="22"/>
        </w:rPr>
        <w:t xml:space="preserve">these </w:t>
      </w:r>
      <w:r w:rsidR="006A4EE6">
        <w:rPr>
          <w:rFonts w:ascii="Times New Roman" w:hAnsi="Times New Roman" w:cs="Times New Roman"/>
          <w:sz w:val="22"/>
        </w:rPr>
        <w:t xml:space="preserve">problems </w:t>
      </w:r>
      <w:r w:rsidR="0041265A">
        <w:rPr>
          <w:rFonts w:ascii="Times New Roman" w:hAnsi="Times New Roman" w:cs="Times New Roman"/>
          <w:sz w:val="22"/>
        </w:rPr>
        <w:t>relate to conflicts of interest between management</w:t>
      </w:r>
      <w:r w:rsidRPr="003A1203">
        <w:rPr>
          <w:rFonts w:ascii="Times New Roman" w:hAnsi="Times New Roman" w:cs="Times New Roman"/>
          <w:sz w:val="22"/>
        </w:rPr>
        <w:t xml:space="preserve"> </w:t>
      </w:r>
      <w:r w:rsidR="0041265A">
        <w:rPr>
          <w:rFonts w:ascii="Times New Roman" w:hAnsi="Times New Roman" w:cs="Times New Roman"/>
          <w:sz w:val="22"/>
        </w:rPr>
        <w:t xml:space="preserve">and the individuals making up </w:t>
      </w:r>
      <w:r w:rsidR="006A4EE6">
        <w:rPr>
          <w:rFonts w:ascii="Times New Roman" w:hAnsi="Times New Roman" w:cs="Times New Roman"/>
          <w:sz w:val="22"/>
        </w:rPr>
        <w:t xml:space="preserve">the </w:t>
      </w:r>
      <w:r w:rsidR="0041265A">
        <w:rPr>
          <w:rFonts w:ascii="Times New Roman" w:hAnsi="Times New Roman" w:cs="Times New Roman"/>
          <w:sz w:val="22"/>
        </w:rPr>
        <w:t>shareholding</w:t>
      </w:r>
      <w:r w:rsidR="006A4EE6">
        <w:rPr>
          <w:rFonts w:ascii="Times New Roman" w:hAnsi="Times New Roman" w:cs="Times New Roman"/>
          <w:sz w:val="22"/>
        </w:rPr>
        <w:t xml:space="preserve"> of those particular companies</w:t>
      </w:r>
      <w:r w:rsidR="0041265A">
        <w:rPr>
          <w:rFonts w:ascii="Times New Roman" w:hAnsi="Times New Roman" w:cs="Times New Roman"/>
          <w:sz w:val="22"/>
        </w:rPr>
        <w:t xml:space="preserve">. </w:t>
      </w:r>
      <w:r w:rsidR="006A4EE6">
        <w:rPr>
          <w:rFonts w:ascii="Times New Roman" w:hAnsi="Times New Roman" w:cs="Times New Roman"/>
          <w:sz w:val="22"/>
        </w:rPr>
        <w:t>The</w:t>
      </w:r>
      <w:r w:rsidR="0041265A">
        <w:rPr>
          <w:rFonts w:ascii="Times New Roman" w:hAnsi="Times New Roman" w:cs="Times New Roman"/>
          <w:sz w:val="22"/>
        </w:rPr>
        <w:t xml:space="preserve"> second of </w:t>
      </w:r>
      <w:r w:rsidR="006A4EE6">
        <w:rPr>
          <w:rFonts w:ascii="Times New Roman" w:hAnsi="Times New Roman" w:cs="Times New Roman"/>
          <w:sz w:val="22"/>
        </w:rPr>
        <w:t>these conflicts exist</w:t>
      </w:r>
      <w:r w:rsidRPr="003A1203">
        <w:rPr>
          <w:rFonts w:ascii="Times New Roman" w:hAnsi="Times New Roman" w:cs="Times New Roman"/>
          <w:sz w:val="22"/>
        </w:rPr>
        <w:t xml:space="preserve"> between </w:t>
      </w:r>
      <w:r w:rsidR="0041265A">
        <w:rPr>
          <w:rFonts w:ascii="Times New Roman" w:hAnsi="Times New Roman" w:cs="Times New Roman"/>
          <w:sz w:val="22"/>
        </w:rPr>
        <w:t>controlling shareholders and their minority counterparts</w:t>
      </w:r>
      <w:r w:rsidRPr="003A1203">
        <w:rPr>
          <w:rFonts w:ascii="Times New Roman" w:hAnsi="Times New Roman" w:cs="Times New Roman"/>
          <w:sz w:val="22"/>
        </w:rPr>
        <w:t xml:space="preserve"> (Jensen</w:t>
      </w:r>
      <w:r w:rsidR="0041265A">
        <w:rPr>
          <w:rFonts w:ascii="Times New Roman" w:hAnsi="Times New Roman" w:cs="Times New Roman"/>
          <w:sz w:val="22"/>
        </w:rPr>
        <w:t xml:space="preserve"> &amp;</w:t>
      </w:r>
      <w:r w:rsidRPr="003A1203">
        <w:rPr>
          <w:rFonts w:ascii="Times New Roman" w:hAnsi="Times New Roman" w:cs="Times New Roman"/>
          <w:sz w:val="22"/>
        </w:rPr>
        <w:t xml:space="preserve"> Meckling, 1976; </w:t>
      </w:r>
      <w:r w:rsidR="008A0FCE">
        <w:rPr>
          <w:rFonts w:ascii="Times New Roman" w:hAnsi="Times New Roman" w:cs="Times New Roman"/>
          <w:sz w:val="22"/>
        </w:rPr>
        <w:t xml:space="preserve">M. </w:t>
      </w:r>
      <w:r w:rsidRPr="003A1203">
        <w:rPr>
          <w:rFonts w:ascii="Times New Roman" w:hAnsi="Times New Roman" w:cs="Times New Roman"/>
          <w:sz w:val="22"/>
        </w:rPr>
        <w:t>Faccio</w:t>
      </w:r>
      <w:r w:rsidR="00F04E8C">
        <w:rPr>
          <w:rFonts w:ascii="Times New Roman" w:hAnsi="Times New Roman" w:cs="Times New Roman"/>
          <w:sz w:val="22"/>
        </w:rPr>
        <w:t>,</w:t>
      </w:r>
      <w:r w:rsidRPr="003A1203">
        <w:rPr>
          <w:rFonts w:ascii="Times New Roman" w:hAnsi="Times New Roman" w:cs="Times New Roman"/>
          <w:sz w:val="22"/>
        </w:rPr>
        <w:t xml:space="preserve"> Lang</w:t>
      </w:r>
      <w:r w:rsidR="00F04E8C">
        <w:rPr>
          <w:rFonts w:ascii="Times New Roman" w:hAnsi="Times New Roman" w:cs="Times New Roman"/>
          <w:sz w:val="22"/>
        </w:rPr>
        <w:t>, &amp;</w:t>
      </w:r>
      <w:r w:rsidRPr="003A1203">
        <w:rPr>
          <w:rFonts w:ascii="Times New Roman" w:hAnsi="Times New Roman" w:cs="Times New Roman"/>
          <w:sz w:val="22"/>
        </w:rPr>
        <w:t xml:space="preserve"> Young, 2001; </w:t>
      </w:r>
      <w:r w:rsidR="00F04E8C">
        <w:rPr>
          <w:rFonts w:ascii="Times New Roman" w:hAnsi="Times New Roman" w:cs="Times New Roman"/>
          <w:sz w:val="22"/>
        </w:rPr>
        <w:t xml:space="preserve">R. </w:t>
      </w:r>
      <w:r w:rsidRPr="003A1203">
        <w:rPr>
          <w:rFonts w:ascii="Times New Roman" w:hAnsi="Times New Roman" w:cs="Times New Roman"/>
          <w:sz w:val="22"/>
        </w:rPr>
        <w:t>La Porta</w:t>
      </w:r>
      <w:r w:rsidR="00F04E8C">
        <w:rPr>
          <w:rFonts w:ascii="Times New Roman" w:hAnsi="Times New Roman" w:cs="Times New Roman"/>
          <w:sz w:val="22"/>
        </w:rPr>
        <w:t>,</w:t>
      </w:r>
      <w:r w:rsidRPr="003A1203">
        <w:rPr>
          <w:rFonts w:ascii="Times New Roman" w:hAnsi="Times New Roman" w:cs="Times New Roman"/>
          <w:sz w:val="22"/>
        </w:rPr>
        <w:t xml:space="preserve"> Lopez-de-Silanes</w:t>
      </w:r>
      <w:r w:rsidR="00F04E8C">
        <w:rPr>
          <w:rFonts w:ascii="Times New Roman" w:hAnsi="Times New Roman" w:cs="Times New Roman"/>
          <w:sz w:val="22"/>
        </w:rPr>
        <w:t>,</w:t>
      </w:r>
      <w:r w:rsidRPr="003A1203">
        <w:rPr>
          <w:rFonts w:ascii="Times New Roman" w:hAnsi="Times New Roman" w:cs="Times New Roman"/>
          <w:sz w:val="22"/>
        </w:rPr>
        <w:t xml:space="preserve"> Shleifer</w:t>
      </w:r>
      <w:r w:rsidR="00F04E8C">
        <w:rPr>
          <w:rFonts w:ascii="Times New Roman" w:hAnsi="Times New Roman" w:cs="Times New Roman"/>
          <w:sz w:val="22"/>
        </w:rPr>
        <w:t>,</w:t>
      </w:r>
      <w:r w:rsidR="0041265A">
        <w:rPr>
          <w:rFonts w:ascii="Times New Roman" w:hAnsi="Times New Roman" w:cs="Times New Roman"/>
          <w:sz w:val="22"/>
        </w:rPr>
        <w:t xml:space="preserve"> &amp;</w:t>
      </w:r>
      <w:r w:rsidRPr="003A1203">
        <w:rPr>
          <w:rFonts w:ascii="Times New Roman" w:hAnsi="Times New Roman" w:cs="Times New Roman"/>
          <w:sz w:val="22"/>
        </w:rPr>
        <w:t xml:space="preserve"> Vishny, 2000).</w:t>
      </w:r>
    </w:p>
    <w:p w14:paraId="0C79530F"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conflicts between controlling and minority shareholders arise from the fact that controlling shareholders will use </w:t>
      </w:r>
      <w:r w:rsidR="00822905">
        <w:rPr>
          <w:rFonts w:ascii="Times New Roman" w:hAnsi="Times New Roman" w:cs="Times New Roman"/>
          <w:sz w:val="22"/>
        </w:rPr>
        <w:t xml:space="preserve">the additional power that they have </w:t>
      </w:r>
      <w:r w:rsidRPr="003A1203">
        <w:rPr>
          <w:rFonts w:ascii="Times New Roman" w:hAnsi="Times New Roman" w:cs="Times New Roman"/>
          <w:sz w:val="22"/>
        </w:rPr>
        <w:t>to extract as many benefits as possible from the company (Shleifer</w:t>
      </w:r>
      <w:r w:rsidR="00822905">
        <w:rPr>
          <w:rFonts w:ascii="Times New Roman" w:hAnsi="Times New Roman" w:cs="Times New Roman"/>
          <w:sz w:val="22"/>
        </w:rPr>
        <w:t xml:space="preserve"> &amp;</w:t>
      </w:r>
      <w:r w:rsidRPr="003A1203">
        <w:rPr>
          <w:rFonts w:ascii="Times New Roman" w:hAnsi="Times New Roman" w:cs="Times New Roman"/>
          <w:sz w:val="22"/>
        </w:rPr>
        <w:t xml:space="preserve"> Vishny, 1997).</w:t>
      </w:r>
      <w:r w:rsidR="00822905">
        <w:rPr>
          <w:rFonts w:ascii="Times New Roman" w:hAnsi="Times New Roman" w:cs="Times New Roman"/>
          <w:sz w:val="22"/>
        </w:rPr>
        <w:t xml:space="preserve"> This additional power comes by virtue of their dominant shareholding. The</w:t>
      </w:r>
      <w:r w:rsidRPr="003A1203">
        <w:rPr>
          <w:rFonts w:ascii="Times New Roman" w:hAnsi="Times New Roman" w:cs="Times New Roman"/>
          <w:sz w:val="22"/>
        </w:rPr>
        <w:t xml:space="preserve"> </w:t>
      </w:r>
      <w:r w:rsidR="00822905">
        <w:rPr>
          <w:rFonts w:ascii="Times New Roman" w:hAnsi="Times New Roman" w:cs="Times New Roman"/>
          <w:sz w:val="22"/>
        </w:rPr>
        <w:t xml:space="preserve">result of this </w:t>
      </w:r>
      <w:r w:rsidR="006A4EE6">
        <w:rPr>
          <w:rFonts w:ascii="Times New Roman" w:hAnsi="Times New Roman" w:cs="Times New Roman"/>
          <w:sz w:val="22"/>
        </w:rPr>
        <w:t>sees</w:t>
      </w:r>
      <w:r w:rsidR="00822905">
        <w:rPr>
          <w:rFonts w:ascii="Times New Roman" w:hAnsi="Times New Roman" w:cs="Times New Roman"/>
          <w:sz w:val="22"/>
        </w:rPr>
        <w:t xml:space="preserve"> minority interests feel as though they have been left at the </w:t>
      </w:r>
      <w:r w:rsidRPr="003A1203">
        <w:rPr>
          <w:rFonts w:ascii="Times New Roman" w:hAnsi="Times New Roman" w:cs="Times New Roman"/>
          <w:sz w:val="22"/>
        </w:rPr>
        <w:t xml:space="preserve">mercy </w:t>
      </w:r>
      <w:r w:rsidRPr="003A1203">
        <w:rPr>
          <w:rFonts w:ascii="Times New Roman" w:hAnsi="Times New Roman" w:cs="Times New Roman"/>
          <w:sz w:val="22"/>
        </w:rPr>
        <w:lastRenderedPageBreak/>
        <w:t xml:space="preserve">of </w:t>
      </w:r>
      <w:r w:rsidR="006A4EE6">
        <w:rPr>
          <w:rFonts w:ascii="Times New Roman" w:hAnsi="Times New Roman" w:cs="Times New Roman"/>
          <w:sz w:val="22"/>
        </w:rPr>
        <w:t>these controlling individuals</w:t>
      </w:r>
      <w:r w:rsidRPr="003A1203">
        <w:rPr>
          <w:rFonts w:ascii="Times New Roman" w:hAnsi="Times New Roman" w:cs="Times New Roman"/>
          <w:sz w:val="22"/>
        </w:rPr>
        <w:t>. This is because</w:t>
      </w:r>
      <w:r w:rsidR="006A4EE6">
        <w:rPr>
          <w:rFonts w:ascii="Times New Roman" w:hAnsi="Times New Roman" w:cs="Times New Roman"/>
          <w:sz w:val="22"/>
        </w:rPr>
        <w:t>,</w:t>
      </w:r>
      <w:r w:rsidR="00822905">
        <w:rPr>
          <w:rFonts w:ascii="Times New Roman" w:hAnsi="Times New Roman" w:cs="Times New Roman"/>
          <w:sz w:val="22"/>
        </w:rPr>
        <w:t xml:space="preserve"> while</w:t>
      </w:r>
      <w:r w:rsidRPr="003A1203">
        <w:rPr>
          <w:rFonts w:ascii="Times New Roman" w:hAnsi="Times New Roman" w:cs="Times New Roman"/>
          <w:sz w:val="22"/>
        </w:rPr>
        <w:t xml:space="preserve"> controlling interests will</w:t>
      </w:r>
      <w:r w:rsidR="00822905">
        <w:rPr>
          <w:rFonts w:ascii="Times New Roman" w:hAnsi="Times New Roman" w:cs="Times New Roman"/>
          <w:sz w:val="22"/>
        </w:rPr>
        <w:t xml:space="preserve"> extract the majority of company benefits for themselves, they will also </w:t>
      </w:r>
      <w:r w:rsidRPr="003A1203">
        <w:rPr>
          <w:rFonts w:ascii="Times New Roman" w:hAnsi="Times New Roman" w:cs="Times New Roman"/>
          <w:sz w:val="22"/>
        </w:rPr>
        <w:t>leave min</w:t>
      </w:r>
      <w:r w:rsidR="00822905">
        <w:rPr>
          <w:rFonts w:ascii="Times New Roman" w:hAnsi="Times New Roman" w:cs="Times New Roman"/>
          <w:sz w:val="22"/>
        </w:rPr>
        <w:t>orities with the bare minimum in terms of which to gain for themselves</w:t>
      </w:r>
      <w:r w:rsidRPr="003A1203">
        <w:rPr>
          <w:rFonts w:ascii="Times New Roman" w:hAnsi="Times New Roman" w:cs="Times New Roman"/>
          <w:sz w:val="22"/>
        </w:rPr>
        <w:t>.</w:t>
      </w:r>
      <w:r w:rsidR="00822905">
        <w:rPr>
          <w:rFonts w:ascii="Times New Roman" w:hAnsi="Times New Roman" w:cs="Times New Roman"/>
          <w:sz w:val="22"/>
        </w:rPr>
        <w:t xml:space="preserve"> An example </w:t>
      </w:r>
      <w:r w:rsidRPr="003A1203">
        <w:rPr>
          <w:rFonts w:ascii="Times New Roman" w:hAnsi="Times New Roman" w:cs="Times New Roman"/>
          <w:sz w:val="22"/>
        </w:rPr>
        <w:t>of the most common ways in which this is done</w:t>
      </w:r>
      <w:r w:rsidR="00822905">
        <w:rPr>
          <w:rFonts w:ascii="Times New Roman" w:hAnsi="Times New Roman" w:cs="Times New Roman"/>
          <w:sz w:val="22"/>
        </w:rPr>
        <w:t xml:space="preserve"> by controlling interests</w:t>
      </w:r>
      <w:r w:rsidRPr="003A1203">
        <w:rPr>
          <w:rFonts w:ascii="Times New Roman" w:hAnsi="Times New Roman" w:cs="Times New Roman"/>
          <w:sz w:val="22"/>
        </w:rPr>
        <w:t xml:space="preserve"> is through the use inter-group transactions</w:t>
      </w:r>
      <w:r w:rsidR="00822905">
        <w:rPr>
          <w:rFonts w:ascii="Times New Roman" w:hAnsi="Times New Roman" w:cs="Times New Roman"/>
          <w:sz w:val="22"/>
        </w:rPr>
        <w:t xml:space="preserve">. These inter-group transactions will be structured </w:t>
      </w:r>
      <w:r w:rsidRPr="003A1203">
        <w:rPr>
          <w:rFonts w:ascii="Times New Roman" w:hAnsi="Times New Roman" w:cs="Times New Roman"/>
          <w:sz w:val="22"/>
        </w:rPr>
        <w:t xml:space="preserve">at above market prices </w:t>
      </w:r>
      <w:r w:rsidR="00822905">
        <w:rPr>
          <w:rFonts w:ascii="Times New Roman" w:hAnsi="Times New Roman" w:cs="Times New Roman"/>
          <w:sz w:val="22"/>
        </w:rPr>
        <w:t xml:space="preserve">and at the expense of the company which </w:t>
      </w:r>
      <w:r w:rsidR="00410344">
        <w:rPr>
          <w:rFonts w:ascii="Times New Roman" w:hAnsi="Times New Roman" w:cs="Times New Roman"/>
          <w:sz w:val="22"/>
        </w:rPr>
        <w:t xml:space="preserve">these </w:t>
      </w:r>
      <w:r w:rsidR="00822905">
        <w:rPr>
          <w:rFonts w:ascii="Times New Roman" w:hAnsi="Times New Roman" w:cs="Times New Roman"/>
          <w:sz w:val="22"/>
        </w:rPr>
        <w:t>controlling shareholders have vested interest</w:t>
      </w:r>
      <w:r w:rsidR="006A4EE6">
        <w:rPr>
          <w:rFonts w:ascii="Times New Roman" w:hAnsi="Times New Roman" w:cs="Times New Roman"/>
          <w:sz w:val="22"/>
        </w:rPr>
        <w:t>s</w:t>
      </w:r>
      <w:r w:rsidR="00822905">
        <w:rPr>
          <w:rFonts w:ascii="Times New Roman" w:hAnsi="Times New Roman" w:cs="Times New Roman"/>
          <w:sz w:val="22"/>
        </w:rPr>
        <w:t xml:space="preserve"> in</w:t>
      </w:r>
      <w:r w:rsidRPr="003A1203">
        <w:rPr>
          <w:rFonts w:ascii="Times New Roman" w:hAnsi="Times New Roman" w:cs="Times New Roman"/>
          <w:sz w:val="22"/>
        </w:rPr>
        <w:t xml:space="preserve"> (Maury</w:t>
      </w:r>
      <w:r w:rsidR="00B77232">
        <w:rPr>
          <w:rFonts w:ascii="Times New Roman" w:hAnsi="Times New Roman" w:cs="Times New Roman"/>
          <w:sz w:val="22"/>
        </w:rPr>
        <w:t xml:space="preserve"> &amp;</w:t>
      </w:r>
      <w:r w:rsidRPr="003A1203">
        <w:rPr>
          <w:rFonts w:ascii="Times New Roman" w:hAnsi="Times New Roman" w:cs="Times New Roman"/>
          <w:sz w:val="22"/>
        </w:rPr>
        <w:t xml:space="preserve"> Pajuste, 2002).</w:t>
      </w:r>
    </w:p>
    <w:p w14:paraId="25742F48" w14:textId="4A557557" w:rsidR="006B7584"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Dividends </w:t>
      </w:r>
      <w:r w:rsidR="006A4EE6">
        <w:rPr>
          <w:rFonts w:ascii="Times New Roman" w:hAnsi="Times New Roman" w:cs="Times New Roman"/>
          <w:sz w:val="22"/>
        </w:rPr>
        <w:t>have been</w:t>
      </w:r>
      <w:r w:rsidR="00822905">
        <w:rPr>
          <w:rFonts w:ascii="Times New Roman" w:hAnsi="Times New Roman" w:cs="Times New Roman"/>
          <w:sz w:val="22"/>
        </w:rPr>
        <w:t xml:space="preserve"> recognised as a way of </w:t>
      </w:r>
      <w:r w:rsidR="006A4EE6">
        <w:rPr>
          <w:rFonts w:ascii="Times New Roman" w:hAnsi="Times New Roman" w:cs="Times New Roman"/>
          <w:sz w:val="22"/>
        </w:rPr>
        <w:t>addressing and resolving</w:t>
      </w:r>
      <w:r w:rsidR="00822905">
        <w:rPr>
          <w:rFonts w:ascii="Times New Roman" w:hAnsi="Times New Roman" w:cs="Times New Roman"/>
          <w:sz w:val="22"/>
        </w:rPr>
        <w:t xml:space="preserve"> </w:t>
      </w:r>
      <w:r w:rsidRPr="003A1203">
        <w:rPr>
          <w:rFonts w:ascii="Times New Roman" w:hAnsi="Times New Roman" w:cs="Times New Roman"/>
          <w:sz w:val="22"/>
        </w:rPr>
        <w:t>this problem</w:t>
      </w:r>
      <w:r w:rsidR="00822905">
        <w:rPr>
          <w:rFonts w:ascii="Times New Roman" w:hAnsi="Times New Roman" w:cs="Times New Roman"/>
          <w:sz w:val="22"/>
        </w:rPr>
        <w:t>. This is because dividends will play the role of</w:t>
      </w:r>
      <w:r w:rsidRPr="003A1203">
        <w:rPr>
          <w:rFonts w:ascii="Times New Roman" w:hAnsi="Times New Roman" w:cs="Times New Roman"/>
          <w:sz w:val="22"/>
        </w:rPr>
        <w:t xml:space="preserve"> </w:t>
      </w:r>
      <w:r w:rsidR="00822905">
        <w:rPr>
          <w:rFonts w:ascii="Times New Roman" w:hAnsi="Times New Roman" w:cs="Times New Roman"/>
          <w:sz w:val="22"/>
        </w:rPr>
        <w:t>levelling</w:t>
      </w:r>
      <w:r w:rsidRPr="003A1203">
        <w:rPr>
          <w:rFonts w:ascii="Times New Roman" w:hAnsi="Times New Roman" w:cs="Times New Roman"/>
          <w:sz w:val="22"/>
        </w:rPr>
        <w:t xml:space="preserve"> out and equat</w:t>
      </w:r>
      <w:r w:rsidR="00822905">
        <w:rPr>
          <w:rFonts w:ascii="Times New Roman" w:hAnsi="Times New Roman" w:cs="Times New Roman"/>
          <w:sz w:val="22"/>
        </w:rPr>
        <w:t>ing</w:t>
      </w:r>
      <w:r w:rsidRPr="003A1203">
        <w:rPr>
          <w:rFonts w:ascii="Times New Roman" w:hAnsi="Times New Roman" w:cs="Times New Roman"/>
          <w:sz w:val="22"/>
        </w:rPr>
        <w:t xml:space="preserve"> each shareholder</w:t>
      </w:r>
      <w:r w:rsidR="00822905">
        <w:rPr>
          <w:rFonts w:ascii="Times New Roman" w:hAnsi="Times New Roman" w:cs="Times New Roman"/>
          <w:sz w:val="22"/>
        </w:rPr>
        <w:t>’</w:t>
      </w:r>
      <w:r w:rsidRPr="003A1203">
        <w:rPr>
          <w:rFonts w:ascii="Times New Roman" w:hAnsi="Times New Roman" w:cs="Times New Roman"/>
          <w:sz w:val="22"/>
        </w:rPr>
        <w:t xml:space="preserve">s claim to company profits (Jensen, 1986; </w:t>
      </w:r>
      <w:r w:rsidR="008A0FCE">
        <w:rPr>
          <w:rFonts w:ascii="Times New Roman" w:hAnsi="Times New Roman" w:cs="Times New Roman"/>
          <w:sz w:val="22"/>
        </w:rPr>
        <w:t xml:space="preserve">M. </w:t>
      </w:r>
      <w:r w:rsidRPr="003A1203">
        <w:rPr>
          <w:rFonts w:ascii="Times New Roman" w:hAnsi="Times New Roman" w:cs="Times New Roman"/>
          <w:sz w:val="22"/>
        </w:rPr>
        <w:t>Facci</w:t>
      </w:r>
      <w:r w:rsidR="00822905">
        <w:rPr>
          <w:rFonts w:ascii="Times New Roman" w:hAnsi="Times New Roman" w:cs="Times New Roman"/>
          <w:sz w:val="22"/>
        </w:rPr>
        <w:t>o</w:t>
      </w:r>
      <w:r w:rsidR="005A034F">
        <w:rPr>
          <w:rFonts w:ascii="Times New Roman" w:hAnsi="Times New Roman" w:cs="Times New Roman"/>
          <w:sz w:val="22"/>
        </w:rPr>
        <w:t xml:space="preserve"> </w:t>
      </w:r>
      <w:r w:rsidR="008A0FCE">
        <w:rPr>
          <w:rFonts w:ascii="Times New Roman" w:hAnsi="Times New Roman" w:cs="Times New Roman"/>
          <w:sz w:val="22"/>
        </w:rPr>
        <w:t>et al.</w:t>
      </w:r>
      <w:r w:rsidR="005A034F">
        <w:rPr>
          <w:rFonts w:ascii="Times New Roman" w:hAnsi="Times New Roman" w:cs="Times New Roman"/>
          <w:sz w:val="22"/>
        </w:rPr>
        <w:t>,</w:t>
      </w:r>
      <w:r w:rsidR="00822905">
        <w:rPr>
          <w:rFonts w:ascii="Times New Roman" w:hAnsi="Times New Roman" w:cs="Times New Roman"/>
          <w:sz w:val="22"/>
        </w:rPr>
        <w:t xml:space="preserve"> 2001). </w:t>
      </w:r>
      <w:r w:rsidR="006A4EE6">
        <w:rPr>
          <w:rFonts w:ascii="Times New Roman" w:hAnsi="Times New Roman" w:cs="Times New Roman"/>
          <w:sz w:val="22"/>
        </w:rPr>
        <w:t>This is</w:t>
      </w:r>
      <w:r w:rsidR="00822905">
        <w:rPr>
          <w:rFonts w:ascii="Times New Roman" w:hAnsi="Times New Roman" w:cs="Times New Roman"/>
          <w:sz w:val="22"/>
        </w:rPr>
        <w:t xml:space="preserve"> due to the fact that</w:t>
      </w:r>
      <w:r w:rsidRPr="003A1203">
        <w:rPr>
          <w:rFonts w:ascii="Times New Roman" w:hAnsi="Times New Roman" w:cs="Times New Roman"/>
          <w:sz w:val="22"/>
        </w:rPr>
        <w:t xml:space="preserve"> </w:t>
      </w:r>
      <w:r w:rsidR="00822905">
        <w:rPr>
          <w:rFonts w:ascii="Times New Roman" w:hAnsi="Times New Roman" w:cs="Times New Roman"/>
          <w:sz w:val="22"/>
        </w:rPr>
        <w:t>shareholders</w:t>
      </w:r>
      <w:r w:rsidRPr="003A1203">
        <w:rPr>
          <w:rFonts w:ascii="Times New Roman" w:hAnsi="Times New Roman" w:cs="Times New Roman"/>
          <w:sz w:val="22"/>
        </w:rPr>
        <w:t xml:space="preserve"> will each receive an equal share of company profits with the only difference being</w:t>
      </w:r>
      <w:r w:rsidR="00B77232">
        <w:rPr>
          <w:rFonts w:ascii="Times New Roman" w:hAnsi="Times New Roman" w:cs="Times New Roman"/>
          <w:sz w:val="22"/>
        </w:rPr>
        <w:t xml:space="preserve"> that this share will be calculated according to their </w:t>
      </w:r>
      <w:r w:rsidRPr="003A1203">
        <w:rPr>
          <w:rFonts w:ascii="Times New Roman" w:hAnsi="Times New Roman" w:cs="Times New Roman"/>
          <w:sz w:val="22"/>
        </w:rPr>
        <w:t xml:space="preserve">percentage </w:t>
      </w:r>
      <w:r w:rsidR="00B77232">
        <w:rPr>
          <w:rFonts w:ascii="Times New Roman" w:hAnsi="Times New Roman" w:cs="Times New Roman"/>
          <w:sz w:val="22"/>
        </w:rPr>
        <w:t>shareholding</w:t>
      </w:r>
      <w:r w:rsidR="006A4EE6">
        <w:rPr>
          <w:rFonts w:ascii="Times New Roman" w:hAnsi="Times New Roman" w:cs="Times New Roman"/>
          <w:sz w:val="22"/>
        </w:rPr>
        <w:t xml:space="preserve"> held by the different investors</w:t>
      </w:r>
      <w:r w:rsidRPr="003A1203">
        <w:rPr>
          <w:rFonts w:ascii="Times New Roman" w:hAnsi="Times New Roman" w:cs="Times New Roman"/>
          <w:sz w:val="22"/>
        </w:rPr>
        <w:t>.</w:t>
      </w:r>
      <w:r w:rsidR="00B77232">
        <w:rPr>
          <w:rFonts w:ascii="Times New Roman" w:hAnsi="Times New Roman" w:cs="Times New Roman"/>
          <w:sz w:val="22"/>
        </w:rPr>
        <w:t xml:space="preserve"> </w:t>
      </w:r>
      <w:r w:rsidR="006A4EE6">
        <w:rPr>
          <w:rFonts w:ascii="Times New Roman" w:hAnsi="Times New Roman" w:cs="Times New Roman"/>
          <w:sz w:val="22"/>
        </w:rPr>
        <w:t>Mi</w:t>
      </w:r>
      <w:r w:rsidR="00B77232">
        <w:rPr>
          <w:rFonts w:ascii="Times New Roman" w:hAnsi="Times New Roman" w:cs="Times New Roman"/>
          <w:sz w:val="22"/>
        </w:rPr>
        <w:t>nority shareholders</w:t>
      </w:r>
      <w:r w:rsidR="006A4EE6">
        <w:rPr>
          <w:rFonts w:ascii="Times New Roman" w:hAnsi="Times New Roman" w:cs="Times New Roman"/>
          <w:sz w:val="22"/>
        </w:rPr>
        <w:t xml:space="preserve"> will</w:t>
      </w:r>
      <w:r w:rsidR="00B77232">
        <w:rPr>
          <w:rFonts w:ascii="Times New Roman" w:hAnsi="Times New Roman" w:cs="Times New Roman"/>
          <w:sz w:val="22"/>
        </w:rPr>
        <w:t xml:space="preserve"> now feeling less</w:t>
      </w:r>
      <w:r w:rsidRPr="003A1203">
        <w:rPr>
          <w:rFonts w:ascii="Times New Roman" w:hAnsi="Times New Roman" w:cs="Times New Roman"/>
          <w:sz w:val="22"/>
        </w:rPr>
        <w:t xml:space="preserve"> concerned </w:t>
      </w:r>
      <w:r w:rsidR="00B77232">
        <w:rPr>
          <w:rFonts w:ascii="Times New Roman" w:hAnsi="Times New Roman" w:cs="Times New Roman"/>
          <w:sz w:val="22"/>
        </w:rPr>
        <w:t>regarding</w:t>
      </w:r>
      <w:r w:rsidRPr="003A1203">
        <w:rPr>
          <w:rFonts w:ascii="Times New Roman" w:hAnsi="Times New Roman" w:cs="Times New Roman"/>
          <w:sz w:val="22"/>
        </w:rPr>
        <w:t xml:space="preserve"> the possibilities of expropriation</w:t>
      </w:r>
      <w:r w:rsidR="00B77232">
        <w:rPr>
          <w:rFonts w:ascii="Times New Roman" w:hAnsi="Times New Roman" w:cs="Times New Roman"/>
          <w:sz w:val="22"/>
        </w:rPr>
        <w:t>. This is because the payment of dividends will lead to less money being kept within the company and, as such, being subject to expropriation by controlling interests.</w:t>
      </w:r>
      <w:r w:rsidRPr="003A1203">
        <w:rPr>
          <w:rFonts w:ascii="Times New Roman" w:hAnsi="Times New Roman" w:cs="Times New Roman"/>
          <w:sz w:val="22"/>
        </w:rPr>
        <w:t xml:space="preserve"> (Maury</w:t>
      </w:r>
      <w:r w:rsidR="00B77232">
        <w:rPr>
          <w:rFonts w:ascii="Times New Roman" w:hAnsi="Times New Roman" w:cs="Times New Roman"/>
          <w:sz w:val="22"/>
        </w:rPr>
        <w:t xml:space="preserve"> &amp;</w:t>
      </w:r>
      <w:r w:rsidRPr="003A1203">
        <w:rPr>
          <w:rFonts w:ascii="Times New Roman" w:hAnsi="Times New Roman" w:cs="Times New Roman"/>
          <w:sz w:val="22"/>
        </w:rPr>
        <w:t xml:space="preserve"> Pajuste, 2002).</w:t>
      </w:r>
    </w:p>
    <w:p w14:paraId="7546A5E9" w14:textId="77777777" w:rsidR="00F0300C" w:rsidRPr="00A14BA6" w:rsidRDefault="008A0FCE" w:rsidP="00536234">
      <w:pPr>
        <w:pStyle w:val="Heading3"/>
        <w:ind w:left="0"/>
        <w:rPr>
          <w:rFonts w:ascii="Times New Roman" w:hAnsi="Times New Roman" w:cs="Times New Roman"/>
          <w:i/>
          <w:color w:val="auto"/>
          <w:sz w:val="22"/>
        </w:rPr>
      </w:pPr>
      <w:bookmarkStart w:id="38" w:name="_Toc506717784"/>
      <w:r>
        <w:rPr>
          <w:rFonts w:ascii="Times New Roman" w:hAnsi="Times New Roman" w:cs="Times New Roman"/>
          <w:i/>
          <w:color w:val="auto"/>
          <w:sz w:val="22"/>
        </w:rPr>
        <w:t>2.4.2.1</w:t>
      </w:r>
      <w:r>
        <w:rPr>
          <w:rFonts w:ascii="Times New Roman" w:hAnsi="Times New Roman" w:cs="Times New Roman"/>
          <w:i/>
          <w:color w:val="auto"/>
          <w:sz w:val="22"/>
        </w:rPr>
        <w:tab/>
      </w:r>
      <w:r w:rsidR="00F0300C" w:rsidRPr="00A14BA6">
        <w:rPr>
          <w:rFonts w:ascii="Times New Roman" w:hAnsi="Times New Roman" w:cs="Times New Roman"/>
          <w:i/>
          <w:color w:val="auto"/>
          <w:sz w:val="22"/>
        </w:rPr>
        <w:t>Conclusion</w:t>
      </w:r>
      <w:bookmarkEnd w:id="38"/>
    </w:p>
    <w:p w14:paraId="3257C3CC" w14:textId="77777777" w:rsidR="006B7584" w:rsidRPr="003A1203" w:rsidRDefault="006A4EE6" w:rsidP="00536234">
      <w:pPr>
        <w:spacing w:line="480" w:lineRule="auto"/>
        <w:ind w:left="0"/>
        <w:rPr>
          <w:rFonts w:ascii="Times New Roman" w:hAnsi="Times New Roman" w:cs="Times New Roman"/>
          <w:sz w:val="22"/>
        </w:rPr>
      </w:pPr>
      <w:r>
        <w:rPr>
          <w:rFonts w:ascii="Times New Roman" w:hAnsi="Times New Roman" w:cs="Times New Roman"/>
          <w:sz w:val="22"/>
        </w:rPr>
        <w:t>BBBEE participants encounter this problem as</w:t>
      </w:r>
      <w:r w:rsidR="00BE5A70">
        <w:rPr>
          <w:rFonts w:ascii="Times New Roman" w:hAnsi="Times New Roman" w:cs="Times New Roman"/>
          <w:sz w:val="22"/>
        </w:rPr>
        <w:t xml:space="preserve"> they retain</w:t>
      </w:r>
      <w:r>
        <w:rPr>
          <w:rFonts w:ascii="Times New Roman" w:hAnsi="Times New Roman" w:cs="Times New Roman"/>
          <w:sz w:val="22"/>
        </w:rPr>
        <w:t xml:space="preserve"> only</w:t>
      </w:r>
      <w:r w:rsidR="006B7584" w:rsidRPr="003A1203">
        <w:rPr>
          <w:rFonts w:ascii="Times New Roman" w:hAnsi="Times New Roman" w:cs="Times New Roman"/>
          <w:sz w:val="22"/>
        </w:rPr>
        <w:t xml:space="preserve"> </w:t>
      </w:r>
      <w:r w:rsidR="00BE5A70">
        <w:rPr>
          <w:rFonts w:ascii="Times New Roman" w:hAnsi="Times New Roman" w:cs="Times New Roman"/>
          <w:sz w:val="22"/>
        </w:rPr>
        <w:t>a minority</w:t>
      </w:r>
      <w:r w:rsidR="006B7584" w:rsidRPr="003A1203">
        <w:rPr>
          <w:rFonts w:ascii="Times New Roman" w:hAnsi="Times New Roman" w:cs="Times New Roman"/>
          <w:sz w:val="22"/>
        </w:rPr>
        <w:t xml:space="preserve"> interest </w:t>
      </w:r>
      <w:r w:rsidR="00BE5A70">
        <w:rPr>
          <w:rFonts w:ascii="Times New Roman" w:hAnsi="Times New Roman" w:cs="Times New Roman"/>
          <w:sz w:val="22"/>
        </w:rPr>
        <w:t>in the company whose shares they have purchased</w:t>
      </w:r>
      <w:r w:rsidR="00E42C56">
        <w:rPr>
          <w:rFonts w:ascii="Times New Roman" w:hAnsi="Times New Roman" w:cs="Times New Roman"/>
          <w:sz w:val="22"/>
        </w:rPr>
        <w:t xml:space="preserve"> as a result of the deal</w:t>
      </w:r>
      <w:r w:rsidR="006B7584" w:rsidRPr="003A1203">
        <w:rPr>
          <w:rFonts w:ascii="Times New Roman" w:hAnsi="Times New Roman" w:cs="Times New Roman"/>
          <w:sz w:val="22"/>
        </w:rPr>
        <w:t xml:space="preserve">. </w:t>
      </w:r>
      <w:r w:rsidR="00236A2B">
        <w:rPr>
          <w:rFonts w:ascii="Times New Roman" w:hAnsi="Times New Roman" w:cs="Times New Roman"/>
          <w:sz w:val="22"/>
        </w:rPr>
        <w:t xml:space="preserve">The result of this </w:t>
      </w:r>
      <w:r>
        <w:rPr>
          <w:rFonts w:ascii="Times New Roman" w:hAnsi="Times New Roman" w:cs="Times New Roman"/>
          <w:sz w:val="22"/>
        </w:rPr>
        <w:t xml:space="preserve">is </w:t>
      </w:r>
      <w:r w:rsidR="00236A2B">
        <w:rPr>
          <w:rFonts w:ascii="Times New Roman" w:hAnsi="Times New Roman" w:cs="Times New Roman"/>
          <w:sz w:val="22"/>
        </w:rPr>
        <w:t>that</w:t>
      </w:r>
      <w:r w:rsidR="006B7584" w:rsidRPr="003A1203">
        <w:rPr>
          <w:rFonts w:ascii="Times New Roman" w:hAnsi="Times New Roman" w:cs="Times New Roman"/>
          <w:sz w:val="22"/>
        </w:rPr>
        <w:t xml:space="preserve"> they subject</w:t>
      </w:r>
      <w:r w:rsidR="00236A2B">
        <w:rPr>
          <w:rFonts w:ascii="Times New Roman" w:hAnsi="Times New Roman" w:cs="Times New Roman"/>
          <w:sz w:val="22"/>
        </w:rPr>
        <w:t xml:space="preserve"> themselves</w:t>
      </w:r>
      <w:r w:rsidR="006B7584" w:rsidRPr="003A1203">
        <w:rPr>
          <w:rFonts w:ascii="Times New Roman" w:hAnsi="Times New Roman" w:cs="Times New Roman"/>
          <w:sz w:val="22"/>
        </w:rPr>
        <w:t xml:space="preserve"> to the same </w:t>
      </w:r>
      <w:r w:rsidR="00236A2B">
        <w:rPr>
          <w:rFonts w:ascii="Times New Roman" w:hAnsi="Times New Roman" w:cs="Times New Roman"/>
          <w:sz w:val="22"/>
        </w:rPr>
        <w:t xml:space="preserve">extent </w:t>
      </w:r>
      <w:r w:rsidR="006B7584" w:rsidRPr="003A1203">
        <w:rPr>
          <w:rFonts w:ascii="Times New Roman" w:hAnsi="Times New Roman" w:cs="Times New Roman"/>
          <w:sz w:val="22"/>
        </w:rPr>
        <w:t xml:space="preserve">of expropriation as other minority shareholders. Therefore, </w:t>
      </w:r>
      <w:r w:rsidR="00236A2B">
        <w:rPr>
          <w:rFonts w:ascii="Times New Roman" w:hAnsi="Times New Roman" w:cs="Times New Roman"/>
          <w:sz w:val="22"/>
        </w:rPr>
        <w:t>it can be expected that the</w:t>
      </w:r>
      <w:r w:rsidR="00E42C56">
        <w:rPr>
          <w:rFonts w:ascii="Times New Roman" w:hAnsi="Times New Roman" w:cs="Times New Roman"/>
          <w:sz w:val="22"/>
        </w:rPr>
        <w:t xml:space="preserve"> requirement of</w:t>
      </w:r>
      <w:r w:rsidR="006B7584" w:rsidRPr="003A1203">
        <w:rPr>
          <w:rFonts w:ascii="Times New Roman" w:hAnsi="Times New Roman" w:cs="Times New Roman"/>
          <w:sz w:val="22"/>
        </w:rPr>
        <w:t xml:space="preserve"> dividends</w:t>
      </w:r>
      <w:r w:rsidR="00E42C56">
        <w:rPr>
          <w:rFonts w:ascii="Times New Roman" w:hAnsi="Times New Roman" w:cs="Times New Roman"/>
          <w:sz w:val="22"/>
        </w:rPr>
        <w:t xml:space="preserve"> for BBBEE beneficiaries</w:t>
      </w:r>
      <w:r w:rsidR="00236A2B">
        <w:rPr>
          <w:rFonts w:ascii="Times New Roman" w:hAnsi="Times New Roman" w:cs="Times New Roman"/>
          <w:sz w:val="22"/>
        </w:rPr>
        <w:t>,</w:t>
      </w:r>
      <w:r w:rsidR="006B7584" w:rsidRPr="003A1203">
        <w:rPr>
          <w:rFonts w:ascii="Times New Roman" w:hAnsi="Times New Roman" w:cs="Times New Roman"/>
          <w:sz w:val="22"/>
        </w:rPr>
        <w:t xml:space="preserve"> for the purpose of satisfying the risk of expropriation</w:t>
      </w:r>
      <w:r w:rsidR="00236A2B">
        <w:rPr>
          <w:rFonts w:ascii="Times New Roman" w:hAnsi="Times New Roman" w:cs="Times New Roman"/>
          <w:sz w:val="22"/>
        </w:rPr>
        <w:t>,</w:t>
      </w:r>
      <w:r w:rsidR="006B7584" w:rsidRPr="003A1203">
        <w:rPr>
          <w:rFonts w:ascii="Times New Roman" w:hAnsi="Times New Roman" w:cs="Times New Roman"/>
          <w:sz w:val="22"/>
        </w:rPr>
        <w:t xml:space="preserve"> </w:t>
      </w:r>
      <w:r w:rsidR="00E42C56">
        <w:rPr>
          <w:rFonts w:ascii="Times New Roman" w:hAnsi="Times New Roman" w:cs="Times New Roman"/>
          <w:sz w:val="22"/>
        </w:rPr>
        <w:t>to at the very least be in</w:t>
      </w:r>
      <w:r w:rsidR="00236A2B">
        <w:rPr>
          <w:rFonts w:ascii="Times New Roman" w:hAnsi="Times New Roman" w:cs="Times New Roman"/>
          <w:sz w:val="22"/>
        </w:rPr>
        <w:t xml:space="preserve"> line with existing </w:t>
      </w:r>
      <w:r w:rsidR="006B7584" w:rsidRPr="003A1203">
        <w:rPr>
          <w:rFonts w:ascii="Times New Roman" w:hAnsi="Times New Roman" w:cs="Times New Roman"/>
          <w:sz w:val="22"/>
        </w:rPr>
        <w:t>literature.</w:t>
      </w:r>
      <w:r w:rsidR="00236A2B">
        <w:rPr>
          <w:rFonts w:ascii="Times New Roman" w:hAnsi="Times New Roman" w:cs="Times New Roman"/>
          <w:sz w:val="22"/>
        </w:rPr>
        <w:t xml:space="preserve"> However, one must also consider the extreme levels of capital constraints faced by </w:t>
      </w:r>
      <w:r w:rsidR="00E42C56">
        <w:rPr>
          <w:rFonts w:ascii="Times New Roman" w:hAnsi="Times New Roman" w:cs="Times New Roman"/>
          <w:sz w:val="22"/>
        </w:rPr>
        <w:t xml:space="preserve">these </w:t>
      </w:r>
      <w:r w:rsidR="00236A2B">
        <w:rPr>
          <w:rFonts w:ascii="Times New Roman" w:hAnsi="Times New Roman" w:cs="Times New Roman"/>
          <w:sz w:val="22"/>
        </w:rPr>
        <w:t>minority interests</w:t>
      </w:r>
      <w:r w:rsidR="006B7584" w:rsidRPr="003A1203">
        <w:rPr>
          <w:rFonts w:ascii="Times New Roman" w:hAnsi="Times New Roman" w:cs="Times New Roman"/>
          <w:sz w:val="22"/>
        </w:rPr>
        <w:t xml:space="preserve">. This additional factor will </w:t>
      </w:r>
      <w:r w:rsidR="00236A2B">
        <w:rPr>
          <w:rFonts w:ascii="Times New Roman" w:hAnsi="Times New Roman" w:cs="Times New Roman"/>
          <w:sz w:val="22"/>
        </w:rPr>
        <w:t>cause</w:t>
      </w:r>
      <w:r w:rsidR="006B7584" w:rsidRPr="003A1203">
        <w:rPr>
          <w:rFonts w:ascii="Times New Roman" w:hAnsi="Times New Roman" w:cs="Times New Roman"/>
          <w:sz w:val="22"/>
        </w:rPr>
        <w:t xml:space="preserve"> BBBEE participants </w:t>
      </w:r>
      <w:r w:rsidR="00236A2B">
        <w:rPr>
          <w:rFonts w:ascii="Times New Roman" w:hAnsi="Times New Roman" w:cs="Times New Roman"/>
          <w:sz w:val="22"/>
        </w:rPr>
        <w:t xml:space="preserve">to place additional emphasis </w:t>
      </w:r>
      <w:r w:rsidR="00E42C56">
        <w:rPr>
          <w:rFonts w:ascii="Times New Roman" w:hAnsi="Times New Roman" w:cs="Times New Roman"/>
          <w:sz w:val="22"/>
        </w:rPr>
        <w:t>on the payment of dividends</w:t>
      </w:r>
      <w:r w:rsidR="00236A2B">
        <w:rPr>
          <w:rFonts w:ascii="Times New Roman" w:hAnsi="Times New Roman" w:cs="Times New Roman"/>
          <w:sz w:val="22"/>
        </w:rPr>
        <w:t xml:space="preserve"> for reasons beyond that of fear of expropriation by controlling shareholders</w:t>
      </w:r>
      <w:r w:rsidR="006B7584" w:rsidRPr="003A1203">
        <w:rPr>
          <w:rFonts w:ascii="Times New Roman" w:hAnsi="Times New Roman" w:cs="Times New Roman"/>
          <w:sz w:val="22"/>
        </w:rPr>
        <w:t xml:space="preserve">. The following section of the literature review will now </w:t>
      </w:r>
      <w:r w:rsidR="00236A2B">
        <w:rPr>
          <w:rFonts w:ascii="Times New Roman" w:hAnsi="Times New Roman" w:cs="Times New Roman"/>
          <w:sz w:val="22"/>
        </w:rPr>
        <w:t xml:space="preserve">explore the power </w:t>
      </w:r>
      <w:r w:rsidR="00410344">
        <w:rPr>
          <w:rFonts w:ascii="Times New Roman" w:hAnsi="Times New Roman" w:cs="Times New Roman"/>
          <w:sz w:val="22"/>
        </w:rPr>
        <w:t>of</w:t>
      </w:r>
      <w:r w:rsidR="00236A2B">
        <w:rPr>
          <w:rFonts w:ascii="Times New Roman" w:hAnsi="Times New Roman" w:cs="Times New Roman"/>
          <w:sz w:val="22"/>
        </w:rPr>
        <w:t xml:space="preserve"> minorities</w:t>
      </w:r>
      <w:r w:rsidR="00E42C56">
        <w:rPr>
          <w:rFonts w:ascii="Times New Roman" w:hAnsi="Times New Roman" w:cs="Times New Roman"/>
          <w:sz w:val="22"/>
        </w:rPr>
        <w:t xml:space="preserve"> and BBBEE beneficiaries</w:t>
      </w:r>
      <w:r w:rsidR="00236A2B">
        <w:rPr>
          <w:rFonts w:ascii="Times New Roman" w:hAnsi="Times New Roman" w:cs="Times New Roman"/>
          <w:sz w:val="22"/>
        </w:rPr>
        <w:t xml:space="preserve"> </w:t>
      </w:r>
      <w:r w:rsidR="00410344">
        <w:rPr>
          <w:rFonts w:ascii="Times New Roman" w:hAnsi="Times New Roman" w:cs="Times New Roman"/>
          <w:sz w:val="22"/>
        </w:rPr>
        <w:t>to</w:t>
      </w:r>
      <w:r w:rsidR="00236A2B">
        <w:rPr>
          <w:rFonts w:ascii="Times New Roman" w:hAnsi="Times New Roman" w:cs="Times New Roman"/>
          <w:sz w:val="22"/>
        </w:rPr>
        <w:t xml:space="preserve"> demand not only dividends, but the level of dividends that they require</w:t>
      </w:r>
      <w:r w:rsidR="006B7584" w:rsidRPr="003A1203">
        <w:rPr>
          <w:rFonts w:ascii="Times New Roman" w:hAnsi="Times New Roman" w:cs="Times New Roman"/>
          <w:sz w:val="22"/>
        </w:rPr>
        <w:t>.</w:t>
      </w:r>
    </w:p>
    <w:p w14:paraId="6BFF2F2A" w14:textId="77777777" w:rsidR="006B7584" w:rsidRPr="00A14BA6" w:rsidRDefault="00F0300C" w:rsidP="00536234">
      <w:pPr>
        <w:pStyle w:val="Heading2"/>
        <w:ind w:left="0"/>
        <w:rPr>
          <w:rFonts w:ascii="Times New Roman" w:hAnsi="Times New Roman" w:cs="Times New Roman"/>
          <w:b/>
          <w:color w:val="auto"/>
          <w:sz w:val="24"/>
        </w:rPr>
      </w:pPr>
      <w:bookmarkStart w:id="39" w:name="_Toc506717785"/>
      <w:r w:rsidRPr="00A14BA6">
        <w:rPr>
          <w:rFonts w:ascii="Times New Roman" w:hAnsi="Times New Roman" w:cs="Times New Roman"/>
          <w:b/>
          <w:color w:val="auto"/>
          <w:sz w:val="24"/>
        </w:rPr>
        <w:lastRenderedPageBreak/>
        <w:t>2.4.3</w:t>
      </w:r>
      <w:r w:rsidRPr="00A14BA6">
        <w:rPr>
          <w:rFonts w:ascii="Times New Roman" w:hAnsi="Times New Roman" w:cs="Times New Roman"/>
          <w:b/>
          <w:color w:val="auto"/>
          <w:sz w:val="24"/>
        </w:rPr>
        <w:tab/>
      </w:r>
      <w:r w:rsidR="006B7584" w:rsidRPr="00A14BA6">
        <w:rPr>
          <w:rFonts w:ascii="Times New Roman" w:hAnsi="Times New Roman" w:cs="Times New Roman"/>
          <w:b/>
          <w:color w:val="auto"/>
          <w:sz w:val="24"/>
        </w:rPr>
        <w:t>Minorities Claim to Dividends</w:t>
      </w:r>
      <w:bookmarkEnd w:id="39"/>
    </w:p>
    <w:p w14:paraId="37C15818" w14:textId="659F9BC8"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There are three </w:t>
      </w:r>
      <w:r w:rsidR="00410344">
        <w:rPr>
          <w:rFonts w:ascii="Times New Roman" w:hAnsi="Times New Roman" w:cs="Times New Roman"/>
          <w:sz w:val="22"/>
        </w:rPr>
        <w:t>different ways</w:t>
      </w:r>
      <w:r w:rsidRPr="003A1203">
        <w:rPr>
          <w:rFonts w:ascii="Times New Roman" w:hAnsi="Times New Roman" w:cs="Times New Roman"/>
          <w:sz w:val="22"/>
        </w:rPr>
        <w:t xml:space="preserve"> that</w:t>
      </w:r>
      <w:r w:rsidR="00236A2B">
        <w:rPr>
          <w:rFonts w:ascii="Times New Roman" w:hAnsi="Times New Roman" w:cs="Times New Roman"/>
          <w:sz w:val="22"/>
        </w:rPr>
        <w:t xml:space="preserve"> minorities can use to target payments of dividends. These three </w:t>
      </w:r>
      <w:r w:rsidR="00410344">
        <w:rPr>
          <w:rFonts w:ascii="Times New Roman" w:hAnsi="Times New Roman" w:cs="Times New Roman"/>
          <w:sz w:val="22"/>
        </w:rPr>
        <w:t xml:space="preserve">ways </w:t>
      </w:r>
      <w:r w:rsidRPr="003A1203">
        <w:rPr>
          <w:rFonts w:ascii="Times New Roman" w:hAnsi="Times New Roman" w:cs="Times New Roman"/>
          <w:sz w:val="22"/>
        </w:rPr>
        <w:t>have been found to</w:t>
      </w:r>
      <w:r w:rsidR="00236A2B">
        <w:rPr>
          <w:rFonts w:ascii="Times New Roman" w:hAnsi="Times New Roman" w:cs="Times New Roman"/>
          <w:sz w:val="22"/>
        </w:rPr>
        <w:t xml:space="preserve"> </w:t>
      </w:r>
      <w:r w:rsidRPr="003A1203">
        <w:rPr>
          <w:rFonts w:ascii="Times New Roman" w:hAnsi="Times New Roman" w:cs="Times New Roman"/>
          <w:sz w:val="22"/>
        </w:rPr>
        <w:t xml:space="preserve">impact on </w:t>
      </w:r>
      <w:r w:rsidR="00236A2B">
        <w:rPr>
          <w:rFonts w:ascii="Times New Roman" w:hAnsi="Times New Roman" w:cs="Times New Roman"/>
          <w:sz w:val="22"/>
        </w:rPr>
        <w:t xml:space="preserve">the ability of </w:t>
      </w:r>
      <w:r w:rsidRPr="003A1203">
        <w:rPr>
          <w:rFonts w:ascii="Times New Roman" w:hAnsi="Times New Roman" w:cs="Times New Roman"/>
          <w:sz w:val="22"/>
        </w:rPr>
        <w:t>minorities to influence divide</w:t>
      </w:r>
      <w:r w:rsidR="00DA24C0">
        <w:rPr>
          <w:rFonts w:ascii="Times New Roman" w:hAnsi="Times New Roman" w:cs="Times New Roman"/>
          <w:sz w:val="22"/>
        </w:rPr>
        <w:t>nd policy. The first of these can be described as</w:t>
      </w:r>
      <w:r w:rsidRPr="003A1203">
        <w:rPr>
          <w:rFonts w:ascii="Times New Roman" w:hAnsi="Times New Roman" w:cs="Times New Roman"/>
          <w:sz w:val="22"/>
        </w:rPr>
        <w:t xml:space="preserve"> the legal and corporate governance environment within which companies operate (</w:t>
      </w:r>
      <w:r w:rsidR="008A0FCE">
        <w:rPr>
          <w:rFonts w:ascii="Times New Roman" w:hAnsi="Times New Roman" w:cs="Times New Roman"/>
          <w:sz w:val="22"/>
        </w:rPr>
        <w:t xml:space="preserve">R. </w:t>
      </w:r>
      <w:r w:rsidR="008A0FCE" w:rsidRPr="003A1203">
        <w:rPr>
          <w:rFonts w:ascii="Times New Roman" w:hAnsi="Times New Roman" w:cs="Times New Roman"/>
          <w:sz w:val="22"/>
        </w:rPr>
        <w:t>La Porta</w:t>
      </w:r>
      <w:r w:rsidR="008A0FCE">
        <w:rPr>
          <w:rFonts w:ascii="Times New Roman" w:hAnsi="Times New Roman" w:cs="Times New Roman"/>
          <w:sz w:val="22"/>
        </w:rPr>
        <w:t>,</w:t>
      </w:r>
      <w:r w:rsidR="008A0FCE" w:rsidRPr="003A1203">
        <w:rPr>
          <w:rFonts w:ascii="Times New Roman" w:hAnsi="Times New Roman" w:cs="Times New Roman"/>
          <w:sz w:val="22"/>
        </w:rPr>
        <w:t xml:space="preserve"> Lopez-de-Silanes</w:t>
      </w:r>
      <w:r w:rsidR="008A0FCE">
        <w:rPr>
          <w:rFonts w:ascii="Times New Roman" w:hAnsi="Times New Roman" w:cs="Times New Roman"/>
          <w:sz w:val="22"/>
        </w:rPr>
        <w:t>,</w:t>
      </w:r>
      <w:r w:rsidR="008A0FCE" w:rsidRPr="003A1203">
        <w:rPr>
          <w:rFonts w:ascii="Times New Roman" w:hAnsi="Times New Roman" w:cs="Times New Roman"/>
          <w:sz w:val="22"/>
        </w:rPr>
        <w:t xml:space="preserve"> Shleifer</w:t>
      </w:r>
      <w:r w:rsidR="008A0FCE">
        <w:rPr>
          <w:rFonts w:ascii="Times New Roman" w:hAnsi="Times New Roman" w:cs="Times New Roman"/>
          <w:sz w:val="22"/>
        </w:rPr>
        <w:t>, &amp;</w:t>
      </w:r>
      <w:r w:rsidR="008A0FCE" w:rsidRPr="003A1203">
        <w:rPr>
          <w:rFonts w:ascii="Times New Roman" w:hAnsi="Times New Roman" w:cs="Times New Roman"/>
          <w:sz w:val="22"/>
        </w:rPr>
        <w:t xml:space="preserve"> Vishny, 2000</w:t>
      </w:r>
      <w:r w:rsidRPr="003A1203">
        <w:rPr>
          <w:rFonts w:ascii="Times New Roman" w:hAnsi="Times New Roman" w:cs="Times New Roman"/>
          <w:sz w:val="22"/>
        </w:rPr>
        <w:t>).</w:t>
      </w:r>
      <w:r w:rsidR="00236A2B">
        <w:rPr>
          <w:rFonts w:ascii="Times New Roman" w:hAnsi="Times New Roman" w:cs="Times New Roman"/>
          <w:sz w:val="22"/>
        </w:rPr>
        <w:t xml:space="preserve"> </w:t>
      </w:r>
      <w:r w:rsidRPr="003A1203">
        <w:rPr>
          <w:rFonts w:ascii="Times New Roman" w:hAnsi="Times New Roman" w:cs="Times New Roman"/>
          <w:sz w:val="22"/>
        </w:rPr>
        <w:t xml:space="preserve"> The second is the need for companies to enter the capital market in </w:t>
      </w:r>
      <w:r w:rsidR="00E42C56">
        <w:rPr>
          <w:rFonts w:ascii="Times New Roman" w:hAnsi="Times New Roman" w:cs="Times New Roman"/>
          <w:sz w:val="22"/>
        </w:rPr>
        <w:t>order to obtain</w:t>
      </w:r>
      <w:r w:rsidRPr="003A1203">
        <w:rPr>
          <w:rFonts w:ascii="Times New Roman" w:hAnsi="Times New Roman" w:cs="Times New Roman"/>
          <w:sz w:val="22"/>
        </w:rPr>
        <w:t xml:space="preserve"> additional equity funding (Kapoor, 20</w:t>
      </w:r>
      <w:r w:rsidR="00DA24C0">
        <w:rPr>
          <w:rFonts w:ascii="Times New Roman" w:hAnsi="Times New Roman" w:cs="Times New Roman"/>
          <w:sz w:val="22"/>
        </w:rPr>
        <w:t>00), while</w:t>
      </w:r>
      <w:r w:rsidRPr="003A1203">
        <w:rPr>
          <w:rFonts w:ascii="Times New Roman" w:hAnsi="Times New Roman" w:cs="Times New Roman"/>
          <w:sz w:val="22"/>
        </w:rPr>
        <w:t xml:space="preserve"> the third relates to the </w:t>
      </w:r>
      <w:r w:rsidR="00DA24C0">
        <w:rPr>
          <w:rFonts w:ascii="Times New Roman" w:hAnsi="Times New Roman" w:cs="Times New Roman"/>
          <w:sz w:val="22"/>
        </w:rPr>
        <w:t xml:space="preserve">general </w:t>
      </w:r>
      <w:r w:rsidRPr="003A1203">
        <w:rPr>
          <w:rFonts w:ascii="Times New Roman" w:hAnsi="Times New Roman" w:cs="Times New Roman"/>
          <w:sz w:val="22"/>
        </w:rPr>
        <w:t>ownership structure o</w:t>
      </w:r>
      <w:r w:rsidR="00DA24C0">
        <w:rPr>
          <w:rFonts w:ascii="Times New Roman" w:hAnsi="Times New Roman" w:cs="Times New Roman"/>
          <w:sz w:val="22"/>
        </w:rPr>
        <w:t>f a particular company</w:t>
      </w:r>
      <w:r w:rsidRPr="003A1203">
        <w:rPr>
          <w:rFonts w:ascii="Times New Roman" w:hAnsi="Times New Roman" w:cs="Times New Roman"/>
          <w:sz w:val="22"/>
        </w:rPr>
        <w:t xml:space="preserve"> (</w:t>
      </w:r>
      <w:r w:rsidR="008A0FCE">
        <w:rPr>
          <w:rFonts w:ascii="Times New Roman" w:hAnsi="Times New Roman" w:cs="Times New Roman"/>
          <w:sz w:val="22"/>
        </w:rPr>
        <w:t xml:space="preserve">R. </w:t>
      </w:r>
      <w:r w:rsidRPr="003A1203">
        <w:rPr>
          <w:rFonts w:ascii="Times New Roman" w:hAnsi="Times New Roman" w:cs="Times New Roman"/>
          <w:sz w:val="22"/>
        </w:rPr>
        <w:t>La Porta,</w:t>
      </w:r>
      <w:r w:rsidR="008A0FCE">
        <w:rPr>
          <w:rFonts w:ascii="Times New Roman" w:hAnsi="Times New Roman" w:cs="Times New Roman"/>
          <w:sz w:val="22"/>
        </w:rPr>
        <w:t xml:space="preserve"> Lopez-de-Silanes, &amp; Shleifer,</w:t>
      </w:r>
      <w:r w:rsidRPr="003A1203">
        <w:rPr>
          <w:rFonts w:ascii="Times New Roman" w:hAnsi="Times New Roman" w:cs="Times New Roman"/>
          <w:sz w:val="22"/>
        </w:rPr>
        <w:t xml:space="preserve"> 1999). </w:t>
      </w:r>
      <w:r w:rsidR="00410344">
        <w:rPr>
          <w:rFonts w:ascii="Times New Roman" w:hAnsi="Times New Roman" w:cs="Times New Roman"/>
          <w:sz w:val="22"/>
        </w:rPr>
        <w:t>These three different ways</w:t>
      </w:r>
      <w:r w:rsidR="002F4880">
        <w:rPr>
          <w:rFonts w:ascii="Times New Roman" w:hAnsi="Times New Roman" w:cs="Times New Roman"/>
          <w:sz w:val="22"/>
        </w:rPr>
        <w:t xml:space="preserve"> will now</w:t>
      </w:r>
      <w:r w:rsidR="00410344">
        <w:rPr>
          <w:rFonts w:ascii="Times New Roman" w:hAnsi="Times New Roman" w:cs="Times New Roman"/>
          <w:sz w:val="22"/>
        </w:rPr>
        <w:t xml:space="preserve"> be investigated in more detail</w:t>
      </w:r>
      <w:r w:rsidR="002F4880">
        <w:rPr>
          <w:rFonts w:ascii="Times New Roman" w:hAnsi="Times New Roman" w:cs="Times New Roman"/>
          <w:sz w:val="22"/>
        </w:rPr>
        <w:t>:</w:t>
      </w:r>
    </w:p>
    <w:p w14:paraId="0F5D51AF" w14:textId="77777777" w:rsidR="006B7584" w:rsidRPr="00A14BA6" w:rsidRDefault="008A0FCE" w:rsidP="00536234">
      <w:pPr>
        <w:pStyle w:val="Heading3"/>
        <w:ind w:left="0"/>
        <w:rPr>
          <w:rFonts w:ascii="Times New Roman" w:hAnsi="Times New Roman" w:cs="Times New Roman"/>
          <w:i/>
          <w:color w:val="auto"/>
          <w:sz w:val="22"/>
        </w:rPr>
      </w:pPr>
      <w:bookmarkStart w:id="40" w:name="_Toc506717786"/>
      <w:r>
        <w:rPr>
          <w:rFonts w:ascii="Times New Roman" w:hAnsi="Times New Roman" w:cs="Times New Roman"/>
          <w:i/>
          <w:color w:val="auto"/>
          <w:sz w:val="22"/>
        </w:rPr>
        <w:t>2.4.3.1</w:t>
      </w:r>
      <w:r>
        <w:rPr>
          <w:rFonts w:ascii="Times New Roman" w:hAnsi="Times New Roman" w:cs="Times New Roman"/>
          <w:i/>
          <w:color w:val="auto"/>
          <w:sz w:val="22"/>
        </w:rPr>
        <w:tab/>
      </w:r>
      <w:r w:rsidR="006B7584" w:rsidRPr="00A14BA6">
        <w:rPr>
          <w:rFonts w:ascii="Times New Roman" w:hAnsi="Times New Roman" w:cs="Times New Roman"/>
          <w:i/>
          <w:color w:val="auto"/>
          <w:sz w:val="22"/>
        </w:rPr>
        <w:t>Dividend Outcome Due to Legal Protection and Corporate Governance</w:t>
      </w:r>
      <w:bookmarkEnd w:id="40"/>
    </w:p>
    <w:p w14:paraId="0A136C90"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Under th</w:t>
      </w:r>
      <w:r w:rsidR="00410344">
        <w:rPr>
          <w:rFonts w:ascii="Times New Roman" w:hAnsi="Times New Roman" w:cs="Times New Roman"/>
          <w:sz w:val="22"/>
        </w:rPr>
        <w:t>is first way</w:t>
      </w:r>
      <w:r w:rsidRPr="003A1203">
        <w:rPr>
          <w:rFonts w:ascii="Times New Roman" w:hAnsi="Times New Roman" w:cs="Times New Roman"/>
          <w:sz w:val="22"/>
        </w:rPr>
        <w:t xml:space="preserve">, dividends are paid out as a result of legal protection and emphasis </w:t>
      </w:r>
      <w:r w:rsidR="00410344">
        <w:rPr>
          <w:rFonts w:ascii="Times New Roman" w:hAnsi="Times New Roman" w:cs="Times New Roman"/>
          <w:sz w:val="22"/>
        </w:rPr>
        <w:t>is</w:t>
      </w:r>
      <w:r w:rsidR="00E42C56">
        <w:rPr>
          <w:rFonts w:ascii="Times New Roman" w:hAnsi="Times New Roman" w:cs="Times New Roman"/>
          <w:sz w:val="22"/>
        </w:rPr>
        <w:t xml:space="preserve"> placed</w:t>
      </w:r>
      <w:r w:rsidR="00410344">
        <w:rPr>
          <w:rFonts w:ascii="Times New Roman" w:hAnsi="Times New Roman" w:cs="Times New Roman"/>
          <w:sz w:val="22"/>
        </w:rPr>
        <w:t xml:space="preserve"> </w:t>
      </w:r>
      <w:r w:rsidRPr="003A1203">
        <w:rPr>
          <w:rFonts w:ascii="Times New Roman" w:hAnsi="Times New Roman" w:cs="Times New Roman"/>
          <w:sz w:val="22"/>
        </w:rPr>
        <w:t>on corporate governance. This means that minority shareholders use the powers that they have to force management to pay out the amounts of dividends they feel entitled to. From a corporate governance point of view, minorities can display their dissatisfaction publically which will result in the c</w:t>
      </w:r>
      <w:r w:rsidR="002F4880">
        <w:rPr>
          <w:rFonts w:ascii="Times New Roman" w:hAnsi="Times New Roman" w:cs="Times New Roman"/>
          <w:sz w:val="22"/>
        </w:rPr>
        <w:t>ompany gaining a bad reputation. These companies will want to avoid a damage to their reputation at all costs</w:t>
      </w:r>
      <w:r w:rsidR="00410344">
        <w:rPr>
          <w:rFonts w:ascii="Times New Roman" w:hAnsi="Times New Roman" w:cs="Times New Roman"/>
          <w:sz w:val="22"/>
        </w:rPr>
        <w:t xml:space="preserve"> </w:t>
      </w:r>
      <w:r w:rsidR="00410344" w:rsidRPr="00410344">
        <w:rPr>
          <w:rFonts w:ascii="Times New Roman" w:hAnsi="Times New Roman" w:cs="Times New Roman"/>
          <w:sz w:val="22"/>
        </w:rPr>
        <w:t>(Klapper &amp; Love, 200</w:t>
      </w:r>
      <w:r w:rsidR="006333FA">
        <w:rPr>
          <w:rFonts w:ascii="Times New Roman" w:hAnsi="Times New Roman" w:cs="Times New Roman"/>
          <w:sz w:val="22"/>
        </w:rPr>
        <w:t>4</w:t>
      </w:r>
      <w:r w:rsidR="00410344" w:rsidRPr="00410344">
        <w:rPr>
          <w:rFonts w:ascii="Times New Roman" w:hAnsi="Times New Roman" w:cs="Times New Roman"/>
          <w:sz w:val="22"/>
        </w:rPr>
        <w:t>)</w:t>
      </w:r>
      <w:r w:rsidRPr="003A1203">
        <w:rPr>
          <w:rFonts w:ascii="Times New Roman" w:hAnsi="Times New Roman" w:cs="Times New Roman"/>
          <w:sz w:val="22"/>
        </w:rPr>
        <w:t xml:space="preserve">. </w:t>
      </w:r>
    </w:p>
    <w:p w14:paraId="26387674" w14:textId="0562CF6F" w:rsidR="006B7584" w:rsidRPr="003A1203" w:rsidRDefault="002F4880" w:rsidP="00536234">
      <w:pPr>
        <w:spacing w:line="480" w:lineRule="auto"/>
        <w:ind w:left="0"/>
        <w:rPr>
          <w:rFonts w:ascii="Times New Roman" w:hAnsi="Times New Roman" w:cs="Times New Roman"/>
          <w:sz w:val="22"/>
        </w:rPr>
      </w:pPr>
      <w:r>
        <w:rPr>
          <w:rFonts w:ascii="Times New Roman" w:hAnsi="Times New Roman" w:cs="Times New Roman"/>
          <w:sz w:val="22"/>
        </w:rPr>
        <w:t>Research</w:t>
      </w:r>
      <w:r w:rsidR="006B7584" w:rsidRPr="003A1203">
        <w:rPr>
          <w:rFonts w:ascii="Times New Roman" w:hAnsi="Times New Roman" w:cs="Times New Roman"/>
          <w:sz w:val="22"/>
        </w:rPr>
        <w:t xml:space="preserve"> conducted by La Porta et al. (2000) proposed an outcome model in support of the link between shareholder protection and dividend policy. The study performed a cross section on 4000 companies across a total of 33 countries and found a positive relationship in support of the fact that stronger rights in favour of minorities resulted in higher dividend pay-outs.</w:t>
      </w:r>
      <w:r>
        <w:rPr>
          <w:rFonts w:ascii="Times New Roman" w:hAnsi="Times New Roman" w:cs="Times New Roman"/>
          <w:sz w:val="22"/>
        </w:rPr>
        <w:t xml:space="preserve"> On the other hand, o</w:t>
      </w:r>
      <w:r w:rsidR="006B7584" w:rsidRPr="003A1203">
        <w:rPr>
          <w:rFonts w:ascii="Times New Roman" w:hAnsi="Times New Roman" w:cs="Times New Roman"/>
          <w:sz w:val="22"/>
        </w:rPr>
        <w:t>ther research ha</w:t>
      </w:r>
      <w:r>
        <w:rPr>
          <w:rFonts w:ascii="Times New Roman" w:hAnsi="Times New Roman" w:cs="Times New Roman"/>
          <w:sz w:val="22"/>
        </w:rPr>
        <w:t>s</w:t>
      </w:r>
      <w:r w:rsidR="006B7584" w:rsidRPr="003A1203">
        <w:rPr>
          <w:rFonts w:ascii="Times New Roman" w:hAnsi="Times New Roman" w:cs="Times New Roman"/>
          <w:sz w:val="22"/>
        </w:rPr>
        <w:t xml:space="preserve"> found that companies operating within a poor legal </w:t>
      </w:r>
      <w:r w:rsidRPr="003A1203">
        <w:rPr>
          <w:rFonts w:ascii="Times New Roman" w:hAnsi="Times New Roman" w:cs="Times New Roman"/>
          <w:sz w:val="22"/>
        </w:rPr>
        <w:t>environment will</w:t>
      </w:r>
      <w:r w:rsidR="006B7584" w:rsidRPr="003A1203">
        <w:rPr>
          <w:rFonts w:ascii="Times New Roman" w:hAnsi="Times New Roman" w:cs="Times New Roman"/>
          <w:sz w:val="22"/>
        </w:rPr>
        <w:t xml:space="preserve"> </w:t>
      </w:r>
      <w:r>
        <w:rPr>
          <w:rFonts w:ascii="Times New Roman" w:hAnsi="Times New Roman" w:cs="Times New Roman"/>
          <w:sz w:val="22"/>
        </w:rPr>
        <w:t xml:space="preserve">also </w:t>
      </w:r>
      <w:r w:rsidR="006B7584" w:rsidRPr="003A1203">
        <w:rPr>
          <w:rFonts w:ascii="Times New Roman" w:hAnsi="Times New Roman" w:cs="Times New Roman"/>
          <w:sz w:val="22"/>
        </w:rPr>
        <w:t>offer</w:t>
      </w:r>
      <w:r>
        <w:rPr>
          <w:rFonts w:ascii="Times New Roman" w:hAnsi="Times New Roman" w:cs="Times New Roman"/>
          <w:sz w:val="22"/>
        </w:rPr>
        <w:t xml:space="preserve"> payments of</w:t>
      </w:r>
      <w:r w:rsidR="006B7584" w:rsidRPr="003A1203">
        <w:rPr>
          <w:rFonts w:ascii="Times New Roman" w:hAnsi="Times New Roman" w:cs="Times New Roman"/>
          <w:sz w:val="22"/>
        </w:rPr>
        <w:t xml:space="preserve"> dividends</w:t>
      </w:r>
      <w:r>
        <w:rPr>
          <w:rFonts w:ascii="Times New Roman" w:hAnsi="Times New Roman" w:cs="Times New Roman"/>
          <w:sz w:val="22"/>
        </w:rPr>
        <w:t>. In this case</w:t>
      </w:r>
      <w:r w:rsidR="00E42C56">
        <w:rPr>
          <w:rFonts w:ascii="Times New Roman" w:hAnsi="Times New Roman" w:cs="Times New Roman"/>
          <w:sz w:val="22"/>
        </w:rPr>
        <w:t>,</w:t>
      </w:r>
      <w:r>
        <w:rPr>
          <w:rFonts w:ascii="Times New Roman" w:hAnsi="Times New Roman" w:cs="Times New Roman"/>
          <w:sz w:val="22"/>
        </w:rPr>
        <w:t xml:space="preserve"> dividends will be offered </w:t>
      </w:r>
      <w:r w:rsidR="006B7584" w:rsidRPr="003A1203">
        <w:rPr>
          <w:rFonts w:ascii="Times New Roman" w:hAnsi="Times New Roman" w:cs="Times New Roman"/>
          <w:sz w:val="22"/>
        </w:rPr>
        <w:t>as a substitute</w:t>
      </w:r>
      <w:r w:rsidR="00E42C56">
        <w:rPr>
          <w:rFonts w:ascii="Times New Roman" w:hAnsi="Times New Roman" w:cs="Times New Roman"/>
          <w:sz w:val="22"/>
        </w:rPr>
        <w:t xml:space="preserve"> and compensation</w:t>
      </w:r>
      <w:r w:rsidR="006B7584" w:rsidRPr="003A1203">
        <w:rPr>
          <w:rFonts w:ascii="Times New Roman" w:hAnsi="Times New Roman" w:cs="Times New Roman"/>
          <w:sz w:val="22"/>
        </w:rPr>
        <w:t xml:space="preserve"> for the poor legal protection of minority shareholders (</w:t>
      </w:r>
      <w:r w:rsidR="008A0FCE">
        <w:rPr>
          <w:rFonts w:ascii="Times New Roman" w:hAnsi="Times New Roman" w:cs="Times New Roman"/>
          <w:sz w:val="22"/>
        </w:rPr>
        <w:t xml:space="preserve">R. </w:t>
      </w:r>
      <w:r w:rsidR="006B7584" w:rsidRPr="003A1203">
        <w:rPr>
          <w:rFonts w:ascii="Times New Roman" w:hAnsi="Times New Roman" w:cs="Times New Roman"/>
          <w:sz w:val="22"/>
        </w:rPr>
        <w:t>La Porta</w:t>
      </w:r>
      <w:r w:rsidR="008A0FCE">
        <w:rPr>
          <w:rFonts w:ascii="Times New Roman" w:hAnsi="Times New Roman" w:cs="Times New Roman"/>
          <w:sz w:val="22"/>
        </w:rPr>
        <w:t xml:space="preserve"> et al.</w:t>
      </w:r>
      <w:r w:rsidR="006B7584" w:rsidRPr="003A1203">
        <w:rPr>
          <w:rFonts w:ascii="Times New Roman" w:hAnsi="Times New Roman" w:cs="Times New Roman"/>
          <w:sz w:val="22"/>
        </w:rPr>
        <w:t xml:space="preserve">, 1999). </w:t>
      </w:r>
      <w:r>
        <w:rPr>
          <w:rFonts w:ascii="Times New Roman" w:hAnsi="Times New Roman" w:cs="Times New Roman"/>
          <w:sz w:val="22"/>
        </w:rPr>
        <w:t>In addition to this, m</w:t>
      </w:r>
      <w:r w:rsidR="006B7584" w:rsidRPr="003A1203">
        <w:rPr>
          <w:rFonts w:ascii="Times New Roman" w:hAnsi="Times New Roman" w:cs="Times New Roman"/>
          <w:sz w:val="22"/>
        </w:rPr>
        <w:t xml:space="preserve">inority shareholders will </w:t>
      </w:r>
      <w:r>
        <w:rPr>
          <w:rFonts w:ascii="Times New Roman" w:hAnsi="Times New Roman" w:cs="Times New Roman"/>
          <w:sz w:val="22"/>
        </w:rPr>
        <w:t>also be aware of any</w:t>
      </w:r>
      <w:r w:rsidR="006B7584" w:rsidRPr="003A1203">
        <w:rPr>
          <w:rFonts w:ascii="Times New Roman" w:hAnsi="Times New Roman" w:cs="Times New Roman"/>
          <w:sz w:val="22"/>
        </w:rPr>
        <w:t xml:space="preserve"> risk of expropriation</w:t>
      </w:r>
      <w:r>
        <w:rPr>
          <w:rFonts w:ascii="Times New Roman" w:hAnsi="Times New Roman" w:cs="Times New Roman"/>
          <w:sz w:val="22"/>
        </w:rPr>
        <w:t xml:space="preserve"> that they may face upon subscribing to the shareholding of a particular company</w:t>
      </w:r>
      <w:r w:rsidR="006B7584" w:rsidRPr="003A1203">
        <w:rPr>
          <w:rFonts w:ascii="Times New Roman" w:hAnsi="Times New Roman" w:cs="Times New Roman"/>
          <w:sz w:val="22"/>
        </w:rPr>
        <w:t xml:space="preserve"> (Maury</w:t>
      </w:r>
      <w:r>
        <w:rPr>
          <w:rFonts w:ascii="Times New Roman" w:hAnsi="Times New Roman" w:cs="Times New Roman"/>
          <w:sz w:val="22"/>
        </w:rPr>
        <w:t xml:space="preserve"> &amp;</w:t>
      </w:r>
      <w:r w:rsidR="006B7584" w:rsidRPr="003A1203">
        <w:rPr>
          <w:rFonts w:ascii="Times New Roman" w:hAnsi="Times New Roman" w:cs="Times New Roman"/>
          <w:sz w:val="22"/>
        </w:rPr>
        <w:t xml:space="preserve"> Pajuste, 2002). In light of this realisation, they will</w:t>
      </w:r>
      <w:r>
        <w:rPr>
          <w:rFonts w:ascii="Times New Roman" w:hAnsi="Times New Roman" w:cs="Times New Roman"/>
          <w:sz w:val="22"/>
        </w:rPr>
        <w:t xml:space="preserve"> aim to</w:t>
      </w:r>
      <w:r w:rsidR="006B7584" w:rsidRPr="003A1203">
        <w:rPr>
          <w:rFonts w:ascii="Times New Roman" w:hAnsi="Times New Roman" w:cs="Times New Roman"/>
          <w:sz w:val="22"/>
        </w:rPr>
        <w:t xml:space="preserve"> take </w:t>
      </w:r>
      <w:r w:rsidR="005E63B3">
        <w:rPr>
          <w:rFonts w:ascii="Times New Roman" w:hAnsi="Times New Roman" w:cs="Times New Roman"/>
          <w:sz w:val="22"/>
        </w:rPr>
        <w:t>increased</w:t>
      </w:r>
      <w:r w:rsidR="006B7584" w:rsidRPr="003A1203">
        <w:rPr>
          <w:rFonts w:ascii="Times New Roman" w:hAnsi="Times New Roman" w:cs="Times New Roman"/>
          <w:sz w:val="22"/>
        </w:rPr>
        <w:t xml:space="preserve"> measures aimed at forcing management to increase the amount of dividends paid.</w:t>
      </w:r>
      <w:r>
        <w:rPr>
          <w:rFonts w:ascii="Times New Roman" w:hAnsi="Times New Roman" w:cs="Times New Roman"/>
          <w:sz w:val="22"/>
        </w:rPr>
        <w:t xml:space="preserve"> This will further ensure that their interests are protected.</w:t>
      </w:r>
      <w:r w:rsidR="006B7584" w:rsidRPr="003A1203">
        <w:rPr>
          <w:rFonts w:ascii="Times New Roman" w:hAnsi="Times New Roman" w:cs="Times New Roman"/>
          <w:sz w:val="22"/>
        </w:rPr>
        <w:t xml:space="preserve"> </w:t>
      </w:r>
    </w:p>
    <w:p w14:paraId="5F250513"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lastRenderedPageBreak/>
        <w:t>This alternative outlook is</w:t>
      </w:r>
      <w:r w:rsidR="005E63B3">
        <w:rPr>
          <w:rFonts w:ascii="Times New Roman" w:hAnsi="Times New Roman" w:cs="Times New Roman"/>
          <w:sz w:val="22"/>
        </w:rPr>
        <w:t xml:space="preserve"> also</w:t>
      </w:r>
      <w:r w:rsidRPr="003A1203">
        <w:rPr>
          <w:rFonts w:ascii="Times New Roman" w:hAnsi="Times New Roman" w:cs="Times New Roman"/>
          <w:sz w:val="22"/>
        </w:rPr>
        <w:t xml:space="preserve"> supported by Kapoor (2009) who found that</w:t>
      </w:r>
      <w:r w:rsidR="005E63B3">
        <w:rPr>
          <w:rFonts w:ascii="Times New Roman" w:hAnsi="Times New Roman" w:cs="Times New Roman"/>
          <w:sz w:val="22"/>
        </w:rPr>
        <w:t>,</w:t>
      </w:r>
      <w:r w:rsidRPr="003A1203">
        <w:rPr>
          <w:rFonts w:ascii="Times New Roman" w:hAnsi="Times New Roman" w:cs="Times New Roman"/>
          <w:sz w:val="22"/>
        </w:rPr>
        <w:t xml:space="preserve"> in the case of countries with poor legal protection, management were found to acknowledge the fact that dividend payments were recognised by mi</w:t>
      </w:r>
      <w:r w:rsidR="005E63B3">
        <w:rPr>
          <w:rFonts w:ascii="Times New Roman" w:hAnsi="Times New Roman" w:cs="Times New Roman"/>
          <w:sz w:val="22"/>
        </w:rPr>
        <w:t>norities as a substitute for a</w:t>
      </w:r>
      <w:r w:rsidRPr="003A1203">
        <w:rPr>
          <w:rFonts w:ascii="Times New Roman" w:hAnsi="Times New Roman" w:cs="Times New Roman"/>
          <w:sz w:val="22"/>
        </w:rPr>
        <w:t xml:space="preserve"> lack of</w:t>
      </w:r>
      <w:r w:rsidR="00E42C56">
        <w:rPr>
          <w:rFonts w:ascii="Times New Roman" w:hAnsi="Times New Roman" w:cs="Times New Roman"/>
          <w:sz w:val="22"/>
        </w:rPr>
        <w:t xml:space="preserve"> the existence of</w:t>
      </w:r>
      <w:r w:rsidRPr="003A1203">
        <w:rPr>
          <w:rFonts w:ascii="Times New Roman" w:hAnsi="Times New Roman" w:cs="Times New Roman"/>
          <w:sz w:val="22"/>
        </w:rPr>
        <w:t xml:space="preserve"> </w:t>
      </w:r>
      <w:r w:rsidR="005E63B3">
        <w:rPr>
          <w:rFonts w:ascii="Times New Roman" w:hAnsi="Times New Roman" w:cs="Times New Roman"/>
          <w:sz w:val="22"/>
        </w:rPr>
        <w:t xml:space="preserve">a </w:t>
      </w:r>
      <w:r w:rsidRPr="003A1203">
        <w:rPr>
          <w:rFonts w:ascii="Times New Roman" w:hAnsi="Times New Roman" w:cs="Times New Roman"/>
          <w:sz w:val="22"/>
        </w:rPr>
        <w:t>legal framework a</w:t>
      </w:r>
      <w:r w:rsidR="005E63B3">
        <w:rPr>
          <w:rFonts w:ascii="Times New Roman" w:hAnsi="Times New Roman" w:cs="Times New Roman"/>
          <w:sz w:val="22"/>
        </w:rPr>
        <w:t>nd corporate governance</w:t>
      </w:r>
      <w:r w:rsidR="00E42C56">
        <w:rPr>
          <w:rFonts w:ascii="Times New Roman" w:hAnsi="Times New Roman" w:cs="Times New Roman"/>
          <w:sz w:val="22"/>
        </w:rPr>
        <w:t xml:space="preserve"> structure</w:t>
      </w:r>
      <w:r w:rsidRPr="003A1203">
        <w:rPr>
          <w:rFonts w:ascii="Times New Roman" w:hAnsi="Times New Roman" w:cs="Times New Roman"/>
          <w:sz w:val="22"/>
        </w:rPr>
        <w:t>. As such</w:t>
      </w:r>
      <w:r w:rsidR="005E63B3">
        <w:rPr>
          <w:rFonts w:ascii="Times New Roman" w:hAnsi="Times New Roman" w:cs="Times New Roman"/>
          <w:sz w:val="22"/>
        </w:rPr>
        <w:t>,</w:t>
      </w:r>
      <w:r w:rsidR="00410344">
        <w:rPr>
          <w:rFonts w:ascii="Times New Roman" w:hAnsi="Times New Roman" w:cs="Times New Roman"/>
          <w:sz w:val="22"/>
        </w:rPr>
        <w:t xml:space="preserve"> more dividends were</w:t>
      </w:r>
      <w:r w:rsidRPr="003A1203">
        <w:rPr>
          <w:rFonts w:ascii="Times New Roman" w:hAnsi="Times New Roman" w:cs="Times New Roman"/>
          <w:sz w:val="22"/>
        </w:rPr>
        <w:t xml:space="preserve"> paid by companies operating in countries with poor legal protection</w:t>
      </w:r>
      <w:r w:rsidR="005E63B3">
        <w:rPr>
          <w:rFonts w:ascii="Times New Roman" w:hAnsi="Times New Roman" w:cs="Times New Roman"/>
          <w:sz w:val="22"/>
        </w:rPr>
        <w:t>, so as to compensate for this problem</w:t>
      </w:r>
      <w:r w:rsidR="00E42C56">
        <w:rPr>
          <w:rFonts w:ascii="Times New Roman" w:hAnsi="Times New Roman" w:cs="Times New Roman"/>
          <w:sz w:val="22"/>
        </w:rPr>
        <w:t>. However, t</w:t>
      </w:r>
      <w:r w:rsidRPr="003A1203">
        <w:rPr>
          <w:rFonts w:ascii="Times New Roman" w:hAnsi="Times New Roman" w:cs="Times New Roman"/>
          <w:sz w:val="22"/>
        </w:rPr>
        <w:t>his was opposed to the findings by La Porta (2000) who found no significant evidence in this regard. The conclusions made by La Porta (2000) in this case were that the minority shareholders will take whatever dividends they are able to get their hands on</w:t>
      </w:r>
      <w:r w:rsidR="00E42C56">
        <w:rPr>
          <w:rFonts w:ascii="Times New Roman" w:hAnsi="Times New Roman" w:cs="Times New Roman"/>
          <w:sz w:val="22"/>
        </w:rPr>
        <w:t>,</w:t>
      </w:r>
      <w:r w:rsidRPr="003A1203">
        <w:rPr>
          <w:rFonts w:ascii="Times New Roman" w:hAnsi="Times New Roman" w:cs="Times New Roman"/>
          <w:sz w:val="22"/>
        </w:rPr>
        <w:t xml:space="preserve"> and that the company will not adjust their strategy for the purposes of accommodating them. Therefore</w:t>
      </w:r>
      <w:r w:rsidR="00E42C56">
        <w:rPr>
          <w:rFonts w:ascii="Times New Roman" w:hAnsi="Times New Roman" w:cs="Times New Roman"/>
          <w:sz w:val="22"/>
        </w:rPr>
        <w:t>,</w:t>
      </w:r>
      <w:r w:rsidRPr="003A1203">
        <w:rPr>
          <w:rFonts w:ascii="Times New Roman" w:hAnsi="Times New Roman" w:cs="Times New Roman"/>
          <w:sz w:val="22"/>
        </w:rPr>
        <w:t xml:space="preserve"> we can conclude that this outlook on the implications of a poor legal environment on dividend policy provides no conclusive evidence in support of changes in dividends </w:t>
      </w:r>
      <w:r w:rsidR="00E42C56">
        <w:rPr>
          <w:rFonts w:ascii="Times New Roman" w:hAnsi="Times New Roman" w:cs="Times New Roman"/>
          <w:sz w:val="22"/>
        </w:rPr>
        <w:t>being made by minority shareholders as a result of</w:t>
      </w:r>
      <w:r w:rsidRPr="003A1203">
        <w:rPr>
          <w:rFonts w:ascii="Times New Roman" w:hAnsi="Times New Roman" w:cs="Times New Roman"/>
          <w:sz w:val="22"/>
        </w:rPr>
        <w:t xml:space="preserve"> this factor.</w:t>
      </w:r>
    </w:p>
    <w:p w14:paraId="2A4087F0" w14:textId="77777777" w:rsidR="006B7584" w:rsidRPr="00A14BA6" w:rsidRDefault="008A0FCE" w:rsidP="00536234">
      <w:pPr>
        <w:pStyle w:val="Heading3"/>
        <w:ind w:left="0"/>
        <w:rPr>
          <w:rFonts w:ascii="Times New Roman" w:hAnsi="Times New Roman" w:cs="Times New Roman"/>
          <w:i/>
          <w:color w:val="auto"/>
          <w:sz w:val="22"/>
        </w:rPr>
      </w:pPr>
      <w:bookmarkStart w:id="41" w:name="_Toc506717787"/>
      <w:r>
        <w:rPr>
          <w:rFonts w:ascii="Times New Roman" w:hAnsi="Times New Roman" w:cs="Times New Roman"/>
          <w:i/>
          <w:color w:val="auto"/>
          <w:sz w:val="22"/>
        </w:rPr>
        <w:t>2.4.3.2</w:t>
      </w:r>
      <w:r>
        <w:rPr>
          <w:rFonts w:ascii="Times New Roman" w:hAnsi="Times New Roman" w:cs="Times New Roman"/>
          <w:i/>
          <w:color w:val="auto"/>
          <w:sz w:val="22"/>
        </w:rPr>
        <w:tab/>
      </w:r>
      <w:r w:rsidR="006B7584" w:rsidRPr="00A14BA6">
        <w:rPr>
          <w:rFonts w:ascii="Times New Roman" w:hAnsi="Times New Roman" w:cs="Times New Roman"/>
          <w:i/>
          <w:color w:val="auto"/>
          <w:sz w:val="22"/>
        </w:rPr>
        <w:t xml:space="preserve">Dividend Outcome Due to need </w:t>
      </w:r>
      <w:r w:rsidR="00C81E31">
        <w:rPr>
          <w:rFonts w:ascii="Times New Roman" w:hAnsi="Times New Roman" w:cs="Times New Roman"/>
          <w:i/>
          <w:color w:val="auto"/>
          <w:sz w:val="22"/>
        </w:rPr>
        <w:t>for Capital Market F</w:t>
      </w:r>
      <w:r w:rsidR="006B7584" w:rsidRPr="00A14BA6">
        <w:rPr>
          <w:rFonts w:ascii="Times New Roman" w:hAnsi="Times New Roman" w:cs="Times New Roman"/>
          <w:i/>
          <w:color w:val="auto"/>
          <w:sz w:val="22"/>
        </w:rPr>
        <w:t>unding</w:t>
      </w:r>
      <w:bookmarkEnd w:id="41"/>
    </w:p>
    <w:p w14:paraId="08ABDA75"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second view, by La Porta et al. (2000), proposed that minorities claim to dividends will also be heard in the case where minority shareholders </w:t>
      </w:r>
      <w:r w:rsidR="00E42C56">
        <w:rPr>
          <w:rFonts w:ascii="Times New Roman" w:hAnsi="Times New Roman" w:cs="Times New Roman"/>
          <w:sz w:val="22"/>
        </w:rPr>
        <w:t>are needed by companies</w:t>
      </w:r>
      <w:r w:rsidRPr="003A1203">
        <w:rPr>
          <w:rFonts w:ascii="Times New Roman" w:hAnsi="Times New Roman" w:cs="Times New Roman"/>
          <w:sz w:val="22"/>
        </w:rPr>
        <w:t xml:space="preserve">. An example of this is when </w:t>
      </w:r>
      <w:r w:rsidR="00E42C56">
        <w:rPr>
          <w:rFonts w:ascii="Times New Roman" w:hAnsi="Times New Roman" w:cs="Times New Roman"/>
          <w:sz w:val="22"/>
        </w:rPr>
        <w:t>companies wish</w:t>
      </w:r>
      <w:r w:rsidRPr="003A1203">
        <w:rPr>
          <w:rFonts w:ascii="Times New Roman" w:hAnsi="Times New Roman" w:cs="Times New Roman"/>
          <w:sz w:val="22"/>
        </w:rPr>
        <w:t xml:space="preserve"> to enter </w:t>
      </w:r>
      <w:r w:rsidR="00FE23F6">
        <w:rPr>
          <w:rFonts w:ascii="Times New Roman" w:hAnsi="Times New Roman" w:cs="Times New Roman"/>
          <w:sz w:val="22"/>
        </w:rPr>
        <w:t>capital markets</w:t>
      </w:r>
      <w:r w:rsidRPr="003A1203">
        <w:rPr>
          <w:rFonts w:ascii="Times New Roman" w:hAnsi="Times New Roman" w:cs="Times New Roman"/>
          <w:sz w:val="22"/>
        </w:rPr>
        <w:t xml:space="preserve"> by way of a share issue. The significance of minorities in this case is due to the fact that it is generally those minority interests who will subscribe to shares in the event of a share issue. In order to come across as more appealing to minority interests th</w:t>
      </w:r>
      <w:r w:rsidR="00FE23F6">
        <w:rPr>
          <w:rFonts w:ascii="Times New Roman" w:hAnsi="Times New Roman" w:cs="Times New Roman"/>
          <w:sz w:val="22"/>
        </w:rPr>
        <w:t>e company will attempt to gain the</w:t>
      </w:r>
      <w:r w:rsidRPr="003A1203">
        <w:rPr>
          <w:rFonts w:ascii="Times New Roman" w:hAnsi="Times New Roman" w:cs="Times New Roman"/>
          <w:sz w:val="22"/>
        </w:rPr>
        <w:t xml:space="preserve"> reputation of a company striving for the fair treatment of minorities (Kapoor, 2009). This will be done by virtue of generous dividend payments in the months of even years prior to this public offering. </w:t>
      </w:r>
      <w:r w:rsidR="00F0300C">
        <w:rPr>
          <w:rFonts w:ascii="Times New Roman" w:hAnsi="Times New Roman" w:cs="Times New Roman"/>
          <w:sz w:val="22"/>
        </w:rPr>
        <w:t xml:space="preserve">This view has shown there to be a change in the dividend pay-out policy of companies in the event that the controlling shareholders have no choice but to request the participation of minorities. </w:t>
      </w:r>
    </w:p>
    <w:p w14:paraId="43E86CEE" w14:textId="77777777" w:rsidR="006B7584" w:rsidRPr="00A14BA6" w:rsidRDefault="008A0FCE" w:rsidP="00536234">
      <w:pPr>
        <w:pStyle w:val="Heading3"/>
        <w:ind w:left="0"/>
        <w:rPr>
          <w:rFonts w:ascii="Times New Roman" w:hAnsi="Times New Roman" w:cs="Times New Roman"/>
          <w:i/>
          <w:color w:val="auto"/>
          <w:sz w:val="22"/>
        </w:rPr>
      </w:pPr>
      <w:bookmarkStart w:id="42" w:name="_Toc506717788"/>
      <w:r>
        <w:rPr>
          <w:rFonts w:ascii="Times New Roman" w:hAnsi="Times New Roman" w:cs="Times New Roman"/>
          <w:i/>
          <w:color w:val="auto"/>
          <w:sz w:val="22"/>
        </w:rPr>
        <w:t>2.4.3.3</w:t>
      </w:r>
      <w:r>
        <w:rPr>
          <w:rFonts w:ascii="Times New Roman" w:hAnsi="Times New Roman" w:cs="Times New Roman"/>
          <w:i/>
          <w:color w:val="auto"/>
          <w:sz w:val="22"/>
        </w:rPr>
        <w:tab/>
      </w:r>
      <w:r w:rsidR="006B7584" w:rsidRPr="00A14BA6">
        <w:rPr>
          <w:rFonts w:ascii="Times New Roman" w:hAnsi="Times New Roman" w:cs="Times New Roman"/>
          <w:i/>
          <w:color w:val="auto"/>
          <w:sz w:val="22"/>
        </w:rPr>
        <w:t>Ownership Structure Implications on Dividend Policy</w:t>
      </w:r>
      <w:bookmarkEnd w:id="42"/>
    </w:p>
    <w:p w14:paraId="46A7C9AA" w14:textId="51275AAA"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 The third view </w:t>
      </w:r>
      <w:r w:rsidR="00F0300C">
        <w:rPr>
          <w:rFonts w:ascii="Times New Roman" w:hAnsi="Times New Roman" w:cs="Times New Roman"/>
          <w:sz w:val="22"/>
        </w:rPr>
        <w:t>of</w:t>
      </w:r>
      <w:r w:rsidRPr="003A1203">
        <w:rPr>
          <w:rFonts w:ascii="Times New Roman" w:hAnsi="Times New Roman" w:cs="Times New Roman"/>
          <w:sz w:val="22"/>
        </w:rPr>
        <w:t xml:space="preserve"> ownership structure </w:t>
      </w:r>
      <w:r w:rsidR="00F0300C">
        <w:rPr>
          <w:rFonts w:ascii="Times New Roman" w:hAnsi="Times New Roman" w:cs="Times New Roman"/>
          <w:sz w:val="22"/>
        </w:rPr>
        <w:t>has also been found to have</w:t>
      </w:r>
      <w:r w:rsidRPr="003A1203">
        <w:rPr>
          <w:rFonts w:ascii="Times New Roman" w:hAnsi="Times New Roman" w:cs="Times New Roman"/>
          <w:sz w:val="22"/>
        </w:rPr>
        <w:t xml:space="preserve"> an effect on agency costs and the resulting dividend payments made to minorities. A cross-sectional study conducted by La Porta</w:t>
      </w:r>
      <w:r w:rsidR="00A04D1A">
        <w:rPr>
          <w:rFonts w:ascii="Times New Roman" w:hAnsi="Times New Roman" w:cs="Times New Roman"/>
          <w:sz w:val="22"/>
        </w:rPr>
        <w:t xml:space="preserve"> et al.,</w:t>
      </w:r>
      <w:r w:rsidRPr="003A1203">
        <w:rPr>
          <w:rFonts w:ascii="Times New Roman" w:hAnsi="Times New Roman" w:cs="Times New Roman"/>
          <w:sz w:val="22"/>
        </w:rPr>
        <w:t xml:space="preserve"> (1999) on thirty three different countries found that the existence of large shareholders and shareholder concentr</w:t>
      </w:r>
      <w:r w:rsidR="005E63B3">
        <w:rPr>
          <w:rFonts w:ascii="Times New Roman" w:hAnsi="Times New Roman" w:cs="Times New Roman"/>
          <w:sz w:val="22"/>
        </w:rPr>
        <w:t>a</w:t>
      </w:r>
      <w:r w:rsidRPr="003A1203">
        <w:rPr>
          <w:rFonts w:ascii="Times New Roman" w:hAnsi="Times New Roman" w:cs="Times New Roman"/>
          <w:sz w:val="22"/>
        </w:rPr>
        <w:t>tion increased the extent of agency costs between these minority and controlling shareholders.</w:t>
      </w:r>
      <w:r w:rsidR="006B76A9">
        <w:rPr>
          <w:rFonts w:ascii="Times New Roman" w:hAnsi="Times New Roman" w:cs="Times New Roman"/>
          <w:sz w:val="22"/>
        </w:rPr>
        <w:t xml:space="preserve"> </w:t>
      </w:r>
      <w:r w:rsidRPr="003A1203">
        <w:rPr>
          <w:rFonts w:ascii="Times New Roman" w:hAnsi="Times New Roman" w:cs="Times New Roman"/>
          <w:sz w:val="22"/>
        </w:rPr>
        <w:lastRenderedPageBreak/>
        <w:t xml:space="preserve">Research conducted by Harada and Nguyen (2011) went on further to consider the impact of </w:t>
      </w:r>
      <w:r w:rsidR="00FE23F6">
        <w:rPr>
          <w:rFonts w:ascii="Times New Roman" w:hAnsi="Times New Roman" w:cs="Times New Roman"/>
          <w:sz w:val="22"/>
        </w:rPr>
        <w:t xml:space="preserve">extreme </w:t>
      </w:r>
      <w:r w:rsidRPr="003A1203">
        <w:rPr>
          <w:rFonts w:ascii="Times New Roman" w:hAnsi="Times New Roman" w:cs="Times New Roman"/>
          <w:sz w:val="22"/>
        </w:rPr>
        <w:t>ownership concentration on d</w:t>
      </w:r>
      <w:r w:rsidR="00FE23F6">
        <w:rPr>
          <w:rFonts w:ascii="Times New Roman" w:hAnsi="Times New Roman" w:cs="Times New Roman"/>
          <w:sz w:val="22"/>
        </w:rPr>
        <w:t>ividend pay-out. The</w:t>
      </w:r>
      <w:r w:rsidRPr="003A1203">
        <w:rPr>
          <w:rFonts w:ascii="Times New Roman" w:hAnsi="Times New Roman" w:cs="Times New Roman"/>
          <w:sz w:val="22"/>
        </w:rPr>
        <w:t>s</w:t>
      </w:r>
      <w:r w:rsidR="00FE23F6">
        <w:rPr>
          <w:rFonts w:ascii="Times New Roman" w:hAnsi="Times New Roman" w:cs="Times New Roman"/>
          <w:sz w:val="22"/>
        </w:rPr>
        <w:t>e researchers’</w:t>
      </w:r>
      <w:r w:rsidRPr="003A1203">
        <w:rPr>
          <w:rFonts w:ascii="Times New Roman" w:hAnsi="Times New Roman" w:cs="Times New Roman"/>
          <w:sz w:val="22"/>
        </w:rPr>
        <w:t xml:space="preserve"> findings were consistent with the “rent extraction” hypothesis </w:t>
      </w:r>
      <w:r w:rsidR="00FE23F6">
        <w:rPr>
          <w:rFonts w:ascii="Times New Roman" w:hAnsi="Times New Roman" w:cs="Times New Roman"/>
          <w:sz w:val="22"/>
        </w:rPr>
        <w:t>that</w:t>
      </w:r>
      <w:r w:rsidRPr="003A1203">
        <w:rPr>
          <w:rFonts w:ascii="Times New Roman" w:hAnsi="Times New Roman" w:cs="Times New Roman"/>
          <w:sz w:val="22"/>
        </w:rPr>
        <w:t xml:space="preserve"> states that the higher the level of ownership concentration</w:t>
      </w:r>
      <w:r w:rsidR="00FE23F6">
        <w:rPr>
          <w:rFonts w:ascii="Times New Roman" w:hAnsi="Times New Roman" w:cs="Times New Roman"/>
          <w:sz w:val="22"/>
        </w:rPr>
        <w:t>,</w:t>
      </w:r>
      <w:r w:rsidRPr="003A1203">
        <w:rPr>
          <w:rFonts w:ascii="Times New Roman" w:hAnsi="Times New Roman" w:cs="Times New Roman"/>
          <w:sz w:val="22"/>
        </w:rPr>
        <w:t xml:space="preserve"> the lower the amount of dividends paid</w:t>
      </w:r>
      <w:r w:rsidR="00FE23F6">
        <w:rPr>
          <w:rFonts w:ascii="Times New Roman" w:hAnsi="Times New Roman" w:cs="Times New Roman"/>
          <w:sz w:val="22"/>
        </w:rPr>
        <w:t xml:space="preserve"> out</w:t>
      </w:r>
      <w:r w:rsidRPr="003A1203">
        <w:rPr>
          <w:rFonts w:ascii="Times New Roman" w:hAnsi="Times New Roman" w:cs="Times New Roman"/>
          <w:sz w:val="22"/>
        </w:rPr>
        <w:t xml:space="preserve"> to shareholders (Harada</w:t>
      </w:r>
      <w:r w:rsidR="00F0300C">
        <w:rPr>
          <w:rFonts w:ascii="Times New Roman" w:hAnsi="Times New Roman" w:cs="Times New Roman"/>
          <w:sz w:val="22"/>
        </w:rPr>
        <w:t xml:space="preserve"> &amp;</w:t>
      </w:r>
      <w:r w:rsidRPr="003A1203">
        <w:rPr>
          <w:rFonts w:ascii="Times New Roman" w:hAnsi="Times New Roman" w:cs="Times New Roman"/>
          <w:sz w:val="22"/>
        </w:rPr>
        <w:t xml:space="preserve"> Nguyen. 2011; Farinha, 2003</w:t>
      </w:r>
      <w:r w:rsidR="00F0300C">
        <w:rPr>
          <w:rFonts w:ascii="Times New Roman" w:hAnsi="Times New Roman" w:cs="Times New Roman"/>
          <w:sz w:val="22"/>
        </w:rPr>
        <w:t>;</w:t>
      </w:r>
      <w:r w:rsidR="00A04D1A">
        <w:rPr>
          <w:rFonts w:ascii="Times New Roman" w:hAnsi="Times New Roman" w:cs="Times New Roman"/>
          <w:sz w:val="22"/>
        </w:rPr>
        <w:t xml:space="preserve"> G.</w:t>
      </w:r>
      <w:r w:rsidRPr="003A1203">
        <w:rPr>
          <w:rFonts w:ascii="Times New Roman" w:hAnsi="Times New Roman" w:cs="Times New Roman"/>
          <w:sz w:val="22"/>
        </w:rPr>
        <w:t xml:space="preserve"> Jensen</w:t>
      </w:r>
      <w:r w:rsidR="008A0FCE">
        <w:rPr>
          <w:rFonts w:ascii="Times New Roman" w:hAnsi="Times New Roman" w:cs="Times New Roman"/>
          <w:sz w:val="22"/>
        </w:rPr>
        <w:t>,</w:t>
      </w:r>
      <w:r w:rsidRPr="003A1203">
        <w:rPr>
          <w:rFonts w:ascii="Times New Roman" w:hAnsi="Times New Roman" w:cs="Times New Roman"/>
          <w:sz w:val="22"/>
        </w:rPr>
        <w:t xml:space="preserve"> Solberg</w:t>
      </w:r>
      <w:r w:rsidR="008A0FCE">
        <w:rPr>
          <w:rFonts w:ascii="Times New Roman" w:hAnsi="Times New Roman" w:cs="Times New Roman"/>
          <w:sz w:val="22"/>
        </w:rPr>
        <w:t>,</w:t>
      </w:r>
      <w:r w:rsidR="00F0300C">
        <w:rPr>
          <w:rFonts w:ascii="Times New Roman" w:hAnsi="Times New Roman" w:cs="Times New Roman"/>
          <w:sz w:val="22"/>
        </w:rPr>
        <w:t xml:space="preserve"> &amp;</w:t>
      </w:r>
      <w:r w:rsidRPr="003A1203">
        <w:rPr>
          <w:rFonts w:ascii="Times New Roman" w:hAnsi="Times New Roman" w:cs="Times New Roman"/>
          <w:sz w:val="22"/>
        </w:rPr>
        <w:t xml:space="preserve"> Zorn, 1992).</w:t>
      </w:r>
    </w:p>
    <w:p w14:paraId="2DF06B7B"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presence of a second significant shareholder, on the other hand, was found to have controversial effects on the dividend payments</w:t>
      </w:r>
      <w:r w:rsidR="006B76A9">
        <w:rPr>
          <w:rFonts w:ascii="Times New Roman" w:hAnsi="Times New Roman" w:cs="Times New Roman"/>
          <w:sz w:val="22"/>
        </w:rPr>
        <w:t xml:space="preserve"> of </w:t>
      </w:r>
      <w:r w:rsidR="00FE23F6">
        <w:rPr>
          <w:rFonts w:ascii="Times New Roman" w:hAnsi="Times New Roman" w:cs="Times New Roman"/>
          <w:sz w:val="22"/>
        </w:rPr>
        <w:t>companies</w:t>
      </w:r>
      <w:r w:rsidRPr="003A1203">
        <w:rPr>
          <w:rFonts w:ascii="Times New Roman" w:hAnsi="Times New Roman" w:cs="Times New Roman"/>
          <w:sz w:val="22"/>
        </w:rPr>
        <w:t xml:space="preserve">. Gugler and Yurtoglu (2002) </w:t>
      </w:r>
      <w:r w:rsidR="006B76A9">
        <w:rPr>
          <w:rFonts w:ascii="Times New Roman" w:hAnsi="Times New Roman" w:cs="Times New Roman"/>
          <w:sz w:val="22"/>
        </w:rPr>
        <w:t>realized</w:t>
      </w:r>
      <w:r w:rsidR="006B76A9" w:rsidRPr="003A1203">
        <w:rPr>
          <w:rFonts w:ascii="Times New Roman" w:hAnsi="Times New Roman" w:cs="Times New Roman"/>
          <w:sz w:val="22"/>
        </w:rPr>
        <w:t xml:space="preserve"> </w:t>
      </w:r>
      <w:r w:rsidRPr="003A1203">
        <w:rPr>
          <w:rFonts w:ascii="Times New Roman" w:hAnsi="Times New Roman" w:cs="Times New Roman"/>
          <w:sz w:val="22"/>
        </w:rPr>
        <w:t>that the presence of a second significant shareholder was found to increase dividend payments. However</w:t>
      </w:r>
      <w:r w:rsidR="00FE23F6">
        <w:rPr>
          <w:rFonts w:ascii="Times New Roman" w:hAnsi="Times New Roman" w:cs="Times New Roman"/>
          <w:sz w:val="22"/>
        </w:rPr>
        <w:t>,</w:t>
      </w:r>
      <w:r w:rsidRPr="003A1203">
        <w:rPr>
          <w:rFonts w:ascii="Times New Roman" w:hAnsi="Times New Roman" w:cs="Times New Roman"/>
          <w:sz w:val="22"/>
        </w:rPr>
        <w:t xml:space="preserve"> Maury and Pajuste (2002) found the opposite, </w:t>
      </w:r>
      <w:r w:rsidR="006B76A9" w:rsidRPr="003A1203">
        <w:rPr>
          <w:rFonts w:ascii="Times New Roman" w:hAnsi="Times New Roman" w:cs="Times New Roman"/>
          <w:sz w:val="22"/>
        </w:rPr>
        <w:t>concluding</w:t>
      </w:r>
      <w:r w:rsidRPr="003A1203">
        <w:rPr>
          <w:rFonts w:ascii="Times New Roman" w:hAnsi="Times New Roman" w:cs="Times New Roman"/>
          <w:sz w:val="22"/>
        </w:rPr>
        <w:t xml:space="preserve"> that the presence of a second shareholder resulted in greater expropriation by the company. This is due to the fact that the second largest shareholder </w:t>
      </w:r>
      <w:r w:rsidR="006B76A9">
        <w:rPr>
          <w:rFonts w:ascii="Times New Roman" w:hAnsi="Times New Roman" w:cs="Times New Roman"/>
          <w:sz w:val="22"/>
        </w:rPr>
        <w:t xml:space="preserve">would </w:t>
      </w:r>
      <w:r w:rsidRPr="003A1203">
        <w:rPr>
          <w:rFonts w:ascii="Times New Roman" w:hAnsi="Times New Roman" w:cs="Times New Roman"/>
          <w:sz w:val="22"/>
        </w:rPr>
        <w:t>collude with both the largest shareholder and management in order to further expropriate minority interests.</w:t>
      </w:r>
    </w:p>
    <w:p w14:paraId="7B5816A9" w14:textId="77777777" w:rsidR="006B7584" w:rsidRPr="003A1203"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Significant minorities are likely to act in a similar manner to secondary controlling shareholders and will tend to express the same desires for dividends. This is due to the fact that they will have much more power than the average minority but will not be fully recognised as a controlling interest. As can be seen from the literature discussed, it is not known where their preference will lie. They could choose to put pressure on the ultimate controlling shareholder in favour of increased dividend payments or</w:t>
      </w:r>
      <w:r w:rsidR="006B76A9">
        <w:rPr>
          <w:rFonts w:ascii="Times New Roman" w:hAnsi="Times New Roman" w:cs="Times New Roman"/>
          <w:sz w:val="22"/>
        </w:rPr>
        <w:t xml:space="preserve"> could be</w:t>
      </w:r>
      <w:r w:rsidRPr="003A1203">
        <w:rPr>
          <w:rFonts w:ascii="Times New Roman" w:hAnsi="Times New Roman" w:cs="Times New Roman"/>
          <w:sz w:val="22"/>
        </w:rPr>
        <w:t xml:space="preserve"> encouraged to join in on the expropriation of smaller minority interests.</w:t>
      </w:r>
    </w:p>
    <w:p w14:paraId="7D6A4E72" w14:textId="77777777" w:rsidR="006B7584" w:rsidRPr="00A14BA6" w:rsidRDefault="008A0FCE" w:rsidP="00536234">
      <w:pPr>
        <w:pStyle w:val="Heading3"/>
        <w:ind w:left="0"/>
        <w:rPr>
          <w:rFonts w:ascii="Times New Roman" w:hAnsi="Times New Roman" w:cs="Times New Roman"/>
          <w:i/>
          <w:color w:val="auto"/>
          <w:sz w:val="22"/>
        </w:rPr>
      </w:pPr>
      <w:bookmarkStart w:id="43" w:name="_Toc506717789"/>
      <w:r>
        <w:rPr>
          <w:rFonts w:ascii="Times New Roman" w:hAnsi="Times New Roman" w:cs="Times New Roman"/>
          <w:i/>
          <w:color w:val="auto"/>
          <w:sz w:val="22"/>
        </w:rPr>
        <w:t>2.4.3.4</w:t>
      </w:r>
      <w:r>
        <w:rPr>
          <w:rFonts w:ascii="Times New Roman" w:hAnsi="Times New Roman" w:cs="Times New Roman"/>
          <w:i/>
          <w:color w:val="auto"/>
          <w:sz w:val="22"/>
        </w:rPr>
        <w:tab/>
      </w:r>
      <w:r w:rsidR="006B7584" w:rsidRPr="00A14BA6">
        <w:rPr>
          <w:rFonts w:ascii="Times New Roman" w:hAnsi="Times New Roman" w:cs="Times New Roman"/>
          <w:i/>
          <w:color w:val="auto"/>
          <w:sz w:val="22"/>
        </w:rPr>
        <w:t>Conclusion</w:t>
      </w:r>
      <w:bookmarkEnd w:id="43"/>
    </w:p>
    <w:p w14:paraId="725071C2" w14:textId="77777777" w:rsidR="006B76A9" w:rsidRDefault="006B758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Based on the literature reviewed and with specific reference to BBBEE </w:t>
      </w:r>
      <w:r w:rsidR="006B76A9">
        <w:rPr>
          <w:rFonts w:ascii="Times New Roman" w:hAnsi="Times New Roman" w:cs="Times New Roman"/>
          <w:sz w:val="22"/>
        </w:rPr>
        <w:t>deals,</w:t>
      </w:r>
      <w:r w:rsidR="0071561C">
        <w:rPr>
          <w:rFonts w:ascii="Times New Roman" w:hAnsi="Times New Roman" w:cs="Times New Roman"/>
          <w:sz w:val="22"/>
        </w:rPr>
        <w:t xml:space="preserve"> there</w:t>
      </w:r>
      <w:r w:rsidR="00FE23F6">
        <w:rPr>
          <w:rFonts w:ascii="Times New Roman" w:hAnsi="Times New Roman" w:cs="Times New Roman"/>
          <w:sz w:val="22"/>
        </w:rPr>
        <w:t xml:space="preserve"> exists</w:t>
      </w:r>
      <w:r w:rsidR="0071561C">
        <w:rPr>
          <w:rFonts w:ascii="Times New Roman" w:hAnsi="Times New Roman" w:cs="Times New Roman"/>
          <w:sz w:val="22"/>
        </w:rPr>
        <w:t xml:space="preserve"> a lack of evidence to show that minorities are successfully forcing companies to pay out their desired level of dividends</w:t>
      </w:r>
      <w:r w:rsidR="006B76A9">
        <w:rPr>
          <w:rFonts w:ascii="Times New Roman" w:hAnsi="Times New Roman" w:cs="Times New Roman"/>
          <w:sz w:val="22"/>
        </w:rPr>
        <w:t xml:space="preserve">. </w:t>
      </w:r>
      <w:r w:rsidR="0093270B">
        <w:rPr>
          <w:rFonts w:ascii="Times New Roman" w:hAnsi="Times New Roman" w:cs="Times New Roman"/>
          <w:sz w:val="22"/>
        </w:rPr>
        <w:t>Despite this, there</w:t>
      </w:r>
      <w:r w:rsidR="006B76A9">
        <w:rPr>
          <w:rFonts w:ascii="Times New Roman" w:hAnsi="Times New Roman" w:cs="Times New Roman"/>
          <w:sz w:val="22"/>
        </w:rPr>
        <w:t xml:space="preserve"> is one particular view that</w:t>
      </w:r>
      <w:r w:rsidR="0071561C">
        <w:rPr>
          <w:rFonts w:ascii="Times New Roman" w:hAnsi="Times New Roman" w:cs="Times New Roman"/>
          <w:sz w:val="22"/>
        </w:rPr>
        <w:t xml:space="preserve"> has been discuss</w:t>
      </w:r>
      <w:r w:rsidR="00FE23F6">
        <w:rPr>
          <w:rFonts w:ascii="Times New Roman" w:hAnsi="Times New Roman" w:cs="Times New Roman"/>
          <w:sz w:val="22"/>
        </w:rPr>
        <w:t>ed</w:t>
      </w:r>
      <w:r w:rsidR="006B76A9">
        <w:rPr>
          <w:rFonts w:ascii="Times New Roman" w:hAnsi="Times New Roman" w:cs="Times New Roman"/>
          <w:sz w:val="22"/>
        </w:rPr>
        <w:t xml:space="preserve"> </w:t>
      </w:r>
      <w:r w:rsidR="0071561C">
        <w:rPr>
          <w:rFonts w:ascii="Times New Roman" w:hAnsi="Times New Roman" w:cs="Times New Roman"/>
          <w:sz w:val="22"/>
        </w:rPr>
        <w:t>that</w:t>
      </w:r>
      <w:r w:rsidRPr="003A1203">
        <w:rPr>
          <w:rFonts w:ascii="Times New Roman" w:hAnsi="Times New Roman" w:cs="Times New Roman"/>
          <w:sz w:val="22"/>
        </w:rPr>
        <w:t xml:space="preserve"> lead</w:t>
      </w:r>
      <w:r w:rsidR="00FE23F6">
        <w:rPr>
          <w:rFonts w:ascii="Times New Roman" w:hAnsi="Times New Roman" w:cs="Times New Roman"/>
          <w:sz w:val="22"/>
        </w:rPr>
        <w:t>s</w:t>
      </w:r>
      <w:r w:rsidRPr="003A1203">
        <w:rPr>
          <w:rFonts w:ascii="Times New Roman" w:hAnsi="Times New Roman" w:cs="Times New Roman"/>
          <w:sz w:val="22"/>
        </w:rPr>
        <w:t xml:space="preserve"> us to expect BBBEE deals to have </w:t>
      </w:r>
      <w:r w:rsidR="0071561C">
        <w:rPr>
          <w:rFonts w:ascii="Times New Roman" w:hAnsi="Times New Roman" w:cs="Times New Roman"/>
          <w:sz w:val="22"/>
        </w:rPr>
        <w:t>a slight</w:t>
      </w:r>
      <w:r w:rsidRPr="003A1203">
        <w:rPr>
          <w:rFonts w:ascii="Times New Roman" w:hAnsi="Times New Roman" w:cs="Times New Roman"/>
          <w:sz w:val="22"/>
        </w:rPr>
        <w:t xml:space="preserve"> impact on </w:t>
      </w:r>
      <w:r w:rsidR="0071561C">
        <w:rPr>
          <w:rFonts w:ascii="Times New Roman" w:hAnsi="Times New Roman" w:cs="Times New Roman"/>
          <w:sz w:val="22"/>
        </w:rPr>
        <w:t xml:space="preserve">the </w:t>
      </w:r>
      <w:r w:rsidRPr="003A1203">
        <w:rPr>
          <w:rFonts w:ascii="Times New Roman" w:hAnsi="Times New Roman" w:cs="Times New Roman"/>
          <w:sz w:val="22"/>
        </w:rPr>
        <w:t>dividend policy decisions</w:t>
      </w:r>
      <w:r w:rsidR="0093270B">
        <w:rPr>
          <w:rFonts w:ascii="Times New Roman" w:hAnsi="Times New Roman" w:cs="Times New Roman"/>
          <w:sz w:val="22"/>
        </w:rPr>
        <w:t xml:space="preserve"> of companies</w:t>
      </w:r>
      <w:r w:rsidRPr="003A1203">
        <w:rPr>
          <w:rFonts w:ascii="Times New Roman" w:hAnsi="Times New Roman" w:cs="Times New Roman"/>
          <w:sz w:val="22"/>
        </w:rPr>
        <w:t xml:space="preserve">. </w:t>
      </w:r>
      <w:r w:rsidR="006B76A9">
        <w:rPr>
          <w:rFonts w:ascii="Times New Roman" w:hAnsi="Times New Roman" w:cs="Times New Roman"/>
          <w:sz w:val="22"/>
        </w:rPr>
        <w:t xml:space="preserve">This </w:t>
      </w:r>
      <w:r w:rsidR="0093270B">
        <w:rPr>
          <w:rFonts w:ascii="Times New Roman" w:hAnsi="Times New Roman" w:cs="Times New Roman"/>
          <w:sz w:val="22"/>
        </w:rPr>
        <w:t>is the one</w:t>
      </w:r>
      <w:r w:rsidR="006B76A9">
        <w:rPr>
          <w:rFonts w:ascii="Times New Roman" w:hAnsi="Times New Roman" w:cs="Times New Roman"/>
          <w:sz w:val="22"/>
        </w:rPr>
        <w:t xml:space="preserve"> that represents the situation where BBBEE minority shareholders are needed by controlling interests. </w:t>
      </w:r>
      <w:r w:rsidR="0093270B">
        <w:rPr>
          <w:rFonts w:ascii="Times New Roman" w:hAnsi="Times New Roman" w:cs="Times New Roman"/>
          <w:sz w:val="22"/>
        </w:rPr>
        <w:t>This need will mean that it will be in</w:t>
      </w:r>
      <w:r w:rsidR="006B76A9">
        <w:rPr>
          <w:rFonts w:ascii="Times New Roman" w:hAnsi="Times New Roman" w:cs="Times New Roman"/>
          <w:sz w:val="22"/>
        </w:rPr>
        <w:t xml:space="preserve"> best interest of controlling interests to negotiate </w:t>
      </w:r>
      <w:r w:rsidR="00FE23F6">
        <w:rPr>
          <w:rFonts w:ascii="Times New Roman" w:hAnsi="Times New Roman" w:cs="Times New Roman"/>
          <w:sz w:val="22"/>
        </w:rPr>
        <w:t xml:space="preserve">terms that are favourable </w:t>
      </w:r>
      <w:r w:rsidR="006B76A9">
        <w:rPr>
          <w:rFonts w:ascii="Times New Roman" w:hAnsi="Times New Roman" w:cs="Times New Roman"/>
          <w:sz w:val="22"/>
        </w:rPr>
        <w:t xml:space="preserve">with BBBEE </w:t>
      </w:r>
      <w:r w:rsidR="0093270B">
        <w:rPr>
          <w:rFonts w:ascii="Times New Roman" w:hAnsi="Times New Roman" w:cs="Times New Roman"/>
          <w:sz w:val="22"/>
        </w:rPr>
        <w:t>minorities</w:t>
      </w:r>
      <w:r w:rsidR="006B76A9">
        <w:rPr>
          <w:rFonts w:ascii="Times New Roman" w:hAnsi="Times New Roman" w:cs="Times New Roman"/>
          <w:sz w:val="22"/>
        </w:rPr>
        <w:t>. This is because controlling shareholders require</w:t>
      </w:r>
      <w:r w:rsidR="0093270B">
        <w:rPr>
          <w:rFonts w:ascii="Times New Roman" w:hAnsi="Times New Roman" w:cs="Times New Roman"/>
          <w:sz w:val="22"/>
        </w:rPr>
        <w:t xml:space="preserve"> these</w:t>
      </w:r>
      <w:r w:rsidR="006B76A9">
        <w:rPr>
          <w:rFonts w:ascii="Times New Roman" w:hAnsi="Times New Roman" w:cs="Times New Roman"/>
          <w:sz w:val="22"/>
        </w:rPr>
        <w:t xml:space="preserve"> BBBEE beneficiaries so that they can obtain BBBEE credits and increase </w:t>
      </w:r>
      <w:r w:rsidR="0093270B">
        <w:rPr>
          <w:rFonts w:ascii="Times New Roman" w:hAnsi="Times New Roman" w:cs="Times New Roman"/>
          <w:sz w:val="22"/>
        </w:rPr>
        <w:t xml:space="preserve">both their </w:t>
      </w:r>
      <w:r w:rsidR="006B76A9">
        <w:rPr>
          <w:rFonts w:ascii="Times New Roman" w:hAnsi="Times New Roman" w:cs="Times New Roman"/>
          <w:sz w:val="22"/>
        </w:rPr>
        <w:t xml:space="preserve">compliance and contribution </w:t>
      </w:r>
      <w:r w:rsidR="006B76A9">
        <w:rPr>
          <w:rFonts w:ascii="Times New Roman" w:hAnsi="Times New Roman" w:cs="Times New Roman"/>
          <w:sz w:val="22"/>
        </w:rPr>
        <w:lastRenderedPageBreak/>
        <w:t>towards ensuring equality in South Africa. On this basis, we would expect the lack of funds possessed by BBBEE participants to push</w:t>
      </w:r>
      <w:r w:rsidR="0093270B">
        <w:rPr>
          <w:rFonts w:ascii="Times New Roman" w:hAnsi="Times New Roman" w:cs="Times New Roman"/>
          <w:sz w:val="22"/>
        </w:rPr>
        <w:t xml:space="preserve"> controlling interests towards forcing them</w:t>
      </w:r>
      <w:r w:rsidR="006B76A9">
        <w:rPr>
          <w:rFonts w:ascii="Times New Roman" w:hAnsi="Times New Roman" w:cs="Times New Roman"/>
          <w:sz w:val="22"/>
        </w:rPr>
        <w:t xml:space="preserve"> to increase their dividend policies </w:t>
      </w:r>
      <w:r w:rsidR="0093270B">
        <w:rPr>
          <w:rFonts w:ascii="Times New Roman" w:hAnsi="Times New Roman" w:cs="Times New Roman"/>
          <w:sz w:val="22"/>
        </w:rPr>
        <w:t>so as to become</w:t>
      </w:r>
      <w:r w:rsidR="006B76A9">
        <w:rPr>
          <w:rFonts w:ascii="Times New Roman" w:hAnsi="Times New Roman" w:cs="Times New Roman"/>
          <w:sz w:val="22"/>
        </w:rPr>
        <w:t xml:space="preserve"> align</w:t>
      </w:r>
      <w:r w:rsidR="0093270B">
        <w:rPr>
          <w:rFonts w:ascii="Times New Roman" w:hAnsi="Times New Roman" w:cs="Times New Roman"/>
          <w:sz w:val="22"/>
        </w:rPr>
        <w:t>ed</w:t>
      </w:r>
      <w:r w:rsidR="006B76A9">
        <w:rPr>
          <w:rFonts w:ascii="Times New Roman" w:hAnsi="Times New Roman" w:cs="Times New Roman"/>
          <w:sz w:val="22"/>
        </w:rPr>
        <w:t xml:space="preserve"> with the increased cash flow needs of beneficiaries.</w:t>
      </w:r>
      <w:r w:rsidR="0093270B">
        <w:rPr>
          <w:rFonts w:ascii="Times New Roman" w:hAnsi="Times New Roman" w:cs="Times New Roman"/>
          <w:sz w:val="22"/>
        </w:rPr>
        <w:t xml:space="preserve"> This will ensure that the deal remains a valid one and that the controlling inter</w:t>
      </w:r>
      <w:r w:rsidR="0014074A">
        <w:rPr>
          <w:rFonts w:ascii="Times New Roman" w:hAnsi="Times New Roman" w:cs="Times New Roman"/>
          <w:sz w:val="22"/>
        </w:rPr>
        <w:t>ests can continue to benefit fro</w:t>
      </w:r>
      <w:r w:rsidR="0093270B">
        <w:rPr>
          <w:rFonts w:ascii="Times New Roman" w:hAnsi="Times New Roman" w:cs="Times New Roman"/>
          <w:sz w:val="22"/>
        </w:rPr>
        <w:t>m the BBBEE credits that they will obtain as a result of the deal.</w:t>
      </w:r>
    </w:p>
    <w:p w14:paraId="1329138B" w14:textId="77777777" w:rsidR="00DB66B6" w:rsidRDefault="00DB66B6" w:rsidP="00536234">
      <w:pPr>
        <w:spacing w:line="480" w:lineRule="auto"/>
        <w:ind w:left="0"/>
        <w:jc w:val="center"/>
        <w:rPr>
          <w:rFonts w:ascii="Times New Roman" w:hAnsi="Times New Roman" w:cs="Times New Roman"/>
          <w:b/>
          <w:szCs w:val="26"/>
          <w:u w:val="single"/>
        </w:rPr>
      </w:pPr>
    </w:p>
    <w:p w14:paraId="29DF7CE9" w14:textId="77777777" w:rsidR="00507D0D" w:rsidRDefault="00507D0D" w:rsidP="00536234">
      <w:pPr>
        <w:spacing w:line="480" w:lineRule="auto"/>
        <w:ind w:left="0"/>
        <w:jc w:val="center"/>
        <w:rPr>
          <w:rFonts w:ascii="Times New Roman" w:hAnsi="Times New Roman" w:cs="Times New Roman"/>
          <w:b/>
          <w:szCs w:val="26"/>
          <w:u w:val="single"/>
        </w:rPr>
      </w:pPr>
    </w:p>
    <w:p w14:paraId="7DC7C012" w14:textId="77777777" w:rsidR="00507D0D" w:rsidRDefault="00507D0D" w:rsidP="00536234">
      <w:pPr>
        <w:spacing w:line="480" w:lineRule="auto"/>
        <w:ind w:left="0"/>
        <w:jc w:val="center"/>
        <w:rPr>
          <w:rFonts w:ascii="Times New Roman" w:hAnsi="Times New Roman" w:cs="Times New Roman"/>
          <w:b/>
          <w:szCs w:val="26"/>
          <w:u w:val="single"/>
        </w:rPr>
      </w:pPr>
    </w:p>
    <w:p w14:paraId="7320730A" w14:textId="77777777" w:rsidR="00A71948" w:rsidRDefault="00A71948" w:rsidP="00536234">
      <w:pPr>
        <w:spacing w:line="480" w:lineRule="auto"/>
        <w:ind w:left="0"/>
        <w:jc w:val="center"/>
        <w:rPr>
          <w:rFonts w:ascii="Times New Roman" w:hAnsi="Times New Roman" w:cs="Times New Roman"/>
          <w:b/>
          <w:szCs w:val="26"/>
          <w:u w:val="single"/>
        </w:rPr>
      </w:pPr>
    </w:p>
    <w:p w14:paraId="3EEA3441" w14:textId="77777777" w:rsidR="00DD3FE3" w:rsidRDefault="00DD3FE3">
      <w:pPr>
        <w:spacing w:after="160" w:line="259" w:lineRule="auto"/>
        <w:ind w:left="0" w:firstLine="0"/>
        <w:jc w:val="left"/>
        <w:rPr>
          <w:rFonts w:ascii="Times New Roman" w:hAnsi="Times New Roman" w:cs="Times New Roman"/>
          <w:b/>
          <w:szCs w:val="26"/>
          <w:u w:val="single"/>
        </w:rPr>
      </w:pPr>
      <w:r>
        <w:rPr>
          <w:rFonts w:ascii="Times New Roman" w:hAnsi="Times New Roman" w:cs="Times New Roman"/>
          <w:b/>
          <w:szCs w:val="26"/>
          <w:u w:val="single"/>
        </w:rPr>
        <w:br w:type="page"/>
      </w:r>
    </w:p>
    <w:p w14:paraId="669CF012" w14:textId="77777777" w:rsidR="006258B4" w:rsidRPr="00A14BA6" w:rsidRDefault="006258B4" w:rsidP="00536234">
      <w:pPr>
        <w:pStyle w:val="Heading1"/>
        <w:ind w:left="0"/>
        <w:jc w:val="center"/>
        <w:rPr>
          <w:rFonts w:ascii="Times New Roman" w:hAnsi="Times New Roman" w:cs="Times New Roman"/>
          <w:b/>
          <w:color w:val="auto"/>
          <w:sz w:val="28"/>
          <w:u w:val="single"/>
        </w:rPr>
      </w:pPr>
      <w:bookmarkStart w:id="44" w:name="_Toc506717790"/>
      <w:r w:rsidRPr="00A14BA6">
        <w:rPr>
          <w:rFonts w:ascii="Times New Roman" w:hAnsi="Times New Roman" w:cs="Times New Roman"/>
          <w:b/>
          <w:color w:val="auto"/>
          <w:sz w:val="28"/>
          <w:u w:val="single"/>
        </w:rPr>
        <w:lastRenderedPageBreak/>
        <w:t>CHAPTER 3 - METHODOLOGY</w:t>
      </w:r>
      <w:bookmarkEnd w:id="44"/>
    </w:p>
    <w:p w14:paraId="2DB2CB11" w14:textId="77777777" w:rsidR="006258B4" w:rsidRPr="00A14BA6" w:rsidRDefault="004D1864" w:rsidP="00536234">
      <w:pPr>
        <w:pStyle w:val="Heading2"/>
        <w:ind w:left="0"/>
        <w:rPr>
          <w:rFonts w:ascii="Times New Roman" w:hAnsi="Times New Roman" w:cs="Times New Roman"/>
          <w:b/>
          <w:color w:val="auto"/>
          <w:sz w:val="24"/>
        </w:rPr>
      </w:pPr>
      <w:bookmarkStart w:id="45" w:name="_Toc506717791"/>
      <w:r>
        <w:rPr>
          <w:rFonts w:ascii="Times New Roman" w:hAnsi="Times New Roman" w:cs="Times New Roman"/>
          <w:b/>
          <w:color w:val="auto"/>
          <w:sz w:val="24"/>
        </w:rPr>
        <w:t xml:space="preserve">3.1 </w:t>
      </w:r>
      <w:r>
        <w:rPr>
          <w:rFonts w:ascii="Times New Roman" w:hAnsi="Times New Roman" w:cs="Times New Roman"/>
          <w:b/>
          <w:color w:val="auto"/>
          <w:sz w:val="24"/>
        </w:rPr>
        <w:tab/>
        <w:t>Sample and D</w:t>
      </w:r>
      <w:r w:rsidR="006258B4" w:rsidRPr="00A14BA6">
        <w:rPr>
          <w:rFonts w:ascii="Times New Roman" w:hAnsi="Times New Roman" w:cs="Times New Roman"/>
          <w:b/>
          <w:color w:val="auto"/>
          <w:sz w:val="24"/>
        </w:rPr>
        <w:t>ata</w:t>
      </w:r>
      <w:bookmarkEnd w:id="45"/>
      <w:r w:rsidR="006258B4" w:rsidRPr="00A14BA6">
        <w:rPr>
          <w:rFonts w:ascii="Times New Roman" w:hAnsi="Times New Roman" w:cs="Times New Roman"/>
          <w:b/>
          <w:color w:val="auto"/>
          <w:sz w:val="24"/>
        </w:rPr>
        <w:t xml:space="preserve"> </w:t>
      </w:r>
    </w:p>
    <w:p w14:paraId="3F250D90" w14:textId="77777777" w:rsidR="006258B4"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study </w:t>
      </w:r>
      <w:r>
        <w:rPr>
          <w:rFonts w:ascii="Times New Roman" w:hAnsi="Times New Roman" w:cs="Times New Roman"/>
          <w:sz w:val="22"/>
        </w:rPr>
        <w:t xml:space="preserve">is </w:t>
      </w:r>
      <w:r w:rsidR="002A46C7">
        <w:rPr>
          <w:rFonts w:ascii="Times New Roman" w:hAnsi="Times New Roman" w:cs="Times New Roman"/>
          <w:sz w:val="22"/>
        </w:rPr>
        <w:t>based on panel data covering an</w:t>
      </w:r>
      <w:r>
        <w:rPr>
          <w:rFonts w:ascii="Times New Roman" w:hAnsi="Times New Roman" w:cs="Times New Roman"/>
          <w:sz w:val="22"/>
        </w:rPr>
        <w:t xml:space="preserve"> eight year period </w:t>
      </w:r>
      <w:r w:rsidRPr="003A1203">
        <w:rPr>
          <w:rFonts w:ascii="Times New Roman" w:hAnsi="Times New Roman" w:cs="Times New Roman"/>
          <w:sz w:val="22"/>
        </w:rPr>
        <w:t xml:space="preserve">from </w:t>
      </w:r>
      <w:r>
        <w:rPr>
          <w:rFonts w:ascii="Times New Roman" w:hAnsi="Times New Roman" w:cs="Times New Roman"/>
          <w:sz w:val="22"/>
        </w:rPr>
        <w:t xml:space="preserve">1999 to 2006. These years of study have been </w:t>
      </w:r>
      <w:r w:rsidR="002A46C7">
        <w:rPr>
          <w:rFonts w:ascii="Times New Roman" w:hAnsi="Times New Roman" w:cs="Times New Roman"/>
          <w:sz w:val="22"/>
        </w:rPr>
        <w:t>chosen</w:t>
      </w:r>
      <w:r>
        <w:rPr>
          <w:rFonts w:ascii="Times New Roman" w:hAnsi="Times New Roman" w:cs="Times New Roman"/>
          <w:sz w:val="22"/>
        </w:rPr>
        <w:t xml:space="preserve"> as </w:t>
      </w:r>
      <w:r w:rsidR="002A46C7">
        <w:rPr>
          <w:rFonts w:ascii="Times New Roman" w:hAnsi="Times New Roman" w:cs="Times New Roman"/>
          <w:sz w:val="22"/>
        </w:rPr>
        <w:t>they</w:t>
      </w:r>
      <w:r>
        <w:rPr>
          <w:rFonts w:ascii="Times New Roman" w:hAnsi="Times New Roman" w:cs="Times New Roman"/>
          <w:sz w:val="22"/>
        </w:rPr>
        <w:t xml:space="preserve"> represent the largest number of observations for which information could be obtained</w:t>
      </w:r>
      <w:r w:rsidR="002A46C7">
        <w:rPr>
          <w:rFonts w:ascii="Times New Roman" w:hAnsi="Times New Roman" w:cs="Times New Roman"/>
          <w:sz w:val="22"/>
        </w:rPr>
        <w:t>,</w:t>
      </w:r>
      <w:r>
        <w:rPr>
          <w:rFonts w:ascii="Times New Roman" w:hAnsi="Times New Roman" w:cs="Times New Roman"/>
          <w:sz w:val="22"/>
        </w:rPr>
        <w:t xml:space="preserve"> and for which</w:t>
      </w:r>
      <w:r w:rsidR="002A46C7">
        <w:rPr>
          <w:rFonts w:ascii="Times New Roman" w:hAnsi="Times New Roman" w:cs="Times New Roman"/>
          <w:sz w:val="22"/>
        </w:rPr>
        <w:t xml:space="preserve"> the</w:t>
      </w:r>
      <w:r>
        <w:rPr>
          <w:rFonts w:ascii="Times New Roman" w:hAnsi="Times New Roman" w:cs="Times New Roman"/>
          <w:sz w:val="22"/>
        </w:rPr>
        <w:t xml:space="preserve"> tax consequences on dividends in South Africa remained the same. This was done to avoid having to control for tax on dividends as a result of the difficulty in finding an appropriate control va</w:t>
      </w:r>
      <w:r w:rsidR="002A46C7">
        <w:rPr>
          <w:rFonts w:ascii="Times New Roman" w:hAnsi="Times New Roman" w:cs="Times New Roman"/>
          <w:sz w:val="22"/>
        </w:rPr>
        <w:t>riable for the</w:t>
      </w:r>
      <w:r w:rsidR="00B30F6D">
        <w:rPr>
          <w:rFonts w:ascii="Times New Roman" w:hAnsi="Times New Roman" w:cs="Times New Roman"/>
          <w:sz w:val="22"/>
        </w:rPr>
        <w:t xml:space="preserve"> consequences of tax</w:t>
      </w:r>
      <w:r w:rsidR="002A46C7">
        <w:rPr>
          <w:rFonts w:ascii="Times New Roman" w:hAnsi="Times New Roman" w:cs="Times New Roman"/>
          <w:sz w:val="22"/>
        </w:rPr>
        <w:t>ation</w:t>
      </w:r>
      <w:r w:rsidR="00B30F6D">
        <w:rPr>
          <w:rFonts w:ascii="Times New Roman" w:hAnsi="Times New Roman" w:cs="Times New Roman"/>
          <w:sz w:val="22"/>
        </w:rPr>
        <w:t xml:space="preserve"> on</w:t>
      </w:r>
      <w:r>
        <w:rPr>
          <w:rFonts w:ascii="Times New Roman" w:hAnsi="Times New Roman" w:cs="Times New Roman"/>
          <w:sz w:val="22"/>
        </w:rPr>
        <w:t xml:space="preserve"> dividend pay-out. </w:t>
      </w:r>
    </w:p>
    <w:p w14:paraId="0B86249C" w14:textId="04F26868" w:rsidR="006057A6"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The sample</w:t>
      </w:r>
      <w:r w:rsidRPr="003A1203">
        <w:rPr>
          <w:rFonts w:ascii="Times New Roman" w:hAnsi="Times New Roman" w:cs="Times New Roman"/>
          <w:sz w:val="22"/>
        </w:rPr>
        <w:t xml:space="preserve"> consist</w:t>
      </w:r>
      <w:r w:rsidR="00AC6C2E">
        <w:rPr>
          <w:rFonts w:ascii="Times New Roman" w:hAnsi="Times New Roman" w:cs="Times New Roman"/>
          <w:sz w:val="22"/>
        </w:rPr>
        <w:t>ed only</w:t>
      </w:r>
      <w:r w:rsidRPr="003A1203">
        <w:rPr>
          <w:rFonts w:ascii="Times New Roman" w:hAnsi="Times New Roman" w:cs="Times New Roman"/>
          <w:sz w:val="22"/>
        </w:rPr>
        <w:t xml:space="preserve"> of those companies </w:t>
      </w:r>
      <w:r>
        <w:rPr>
          <w:rFonts w:ascii="Times New Roman" w:hAnsi="Times New Roman" w:cs="Times New Roman"/>
          <w:sz w:val="22"/>
        </w:rPr>
        <w:t>determined</w:t>
      </w:r>
      <w:r w:rsidRPr="003A1203">
        <w:rPr>
          <w:rFonts w:ascii="Times New Roman" w:hAnsi="Times New Roman" w:cs="Times New Roman"/>
          <w:sz w:val="22"/>
        </w:rPr>
        <w:t xml:space="preserve"> to be part of the top 100 companies listed on the JSE</w:t>
      </w:r>
      <w:r>
        <w:rPr>
          <w:rFonts w:ascii="Times New Roman" w:hAnsi="Times New Roman" w:cs="Times New Roman"/>
          <w:sz w:val="22"/>
        </w:rPr>
        <w:t>.</w:t>
      </w:r>
      <w:r w:rsidRPr="00E936EF">
        <w:rPr>
          <w:rFonts w:ascii="Times New Roman" w:hAnsi="Times New Roman" w:cs="Times New Roman"/>
          <w:sz w:val="22"/>
        </w:rPr>
        <w:t xml:space="preserve">  This was </w:t>
      </w:r>
      <w:r>
        <w:rPr>
          <w:rFonts w:ascii="Times New Roman" w:hAnsi="Times New Roman" w:cs="Times New Roman"/>
          <w:sz w:val="22"/>
        </w:rPr>
        <w:t>the sample used as</w:t>
      </w:r>
      <w:r w:rsidR="002A46C7">
        <w:rPr>
          <w:rFonts w:ascii="Times New Roman" w:hAnsi="Times New Roman" w:cs="Times New Roman"/>
          <w:sz w:val="22"/>
        </w:rPr>
        <w:t xml:space="preserve"> the</w:t>
      </w:r>
      <w:r w:rsidR="00AC6C2E">
        <w:rPr>
          <w:rFonts w:ascii="Times New Roman" w:hAnsi="Times New Roman" w:cs="Times New Roman"/>
          <w:sz w:val="22"/>
        </w:rPr>
        <w:t xml:space="preserve"> information </w:t>
      </w:r>
      <w:r w:rsidR="002A46C7">
        <w:rPr>
          <w:rFonts w:ascii="Times New Roman" w:hAnsi="Times New Roman" w:cs="Times New Roman"/>
          <w:sz w:val="22"/>
        </w:rPr>
        <w:t>regarding</w:t>
      </w:r>
      <w:r w:rsidRPr="00E936EF">
        <w:rPr>
          <w:rFonts w:ascii="Times New Roman" w:hAnsi="Times New Roman" w:cs="Times New Roman"/>
          <w:sz w:val="22"/>
        </w:rPr>
        <w:t xml:space="preserve"> BBBEE deals </w:t>
      </w:r>
      <w:r w:rsidR="006057A6">
        <w:rPr>
          <w:rFonts w:ascii="Times New Roman" w:hAnsi="Times New Roman" w:cs="Times New Roman"/>
          <w:sz w:val="22"/>
        </w:rPr>
        <w:t>was obtained from an Intellidex Report titled</w:t>
      </w:r>
      <w:r w:rsidR="006057A6" w:rsidRPr="006057A6">
        <w:rPr>
          <w:rFonts w:ascii="Times New Roman" w:hAnsi="Times New Roman" w:cs="Times New Roman"/>
          <w:i/>
          <w:sz w:val="22"/>
        </w:rPr>
        <w:t>: “The Value of BEE Deals”</w:t>
      </w:r>
      <w:r w:rsidRPr="00E936EF">
        <w:rPr>
          <w:rFonts w:ascii="Times New Roman" w:hAnsi="Times New Roman" w:cs="Times New Roman"/>
          <w:sz w:val="22"/>
        </w:rPr>
        <w:t>.</w:t>
      </w:r>
      <w:r w:rsidR="006057A6">
        <w:rPr>
          <w:rFonts w:ascii="Times New Roman" w:hAnsi="Times New Roman" w:cs="Times New Roman"/>
          <w:sz w:val="22"/>
        </w:rPr>
        <w:t xml:space="preserve"> Intellidex are a leading South African research company specialising in South African capital markets and financial services research. The quality of their research and reputation means that their research findings can be relied upon for the purpose of conducting this study. In this particular article, their aim was to calculate t</w:t>
      </w:r>
      <w:r w:rsidR="002A46C7">
        <w:rPr>
          <w:rFonts w:ascii="Times New Roman" w:hAnsi="Times New Roman" w:cs="Times New Roman"/>
          <w:sz w:val="22"/>
        </w:rPr>
        <w:t>he market value of</w:t>
      </w:r>
      <w:r w:rsidR="00587A6F">
        <w:rPr>
          <w:rFonts w:ascii="Times New Roman" w:hAnsi="Times New Roman" w:cs="Times New Roman"/>
          <w:sz w:val="22"/>
        </w:rPr>
        <w:t xml:space="preserve"> Broad-Based Black Economic Empowerment</w:t>
      </w:r>
      <w:r w:rsidR="002A46C7">
        <w:rPr>
          <w:rFonts w:ascii="Times New Roman" w:hAnsi="Times New Roman" w:cs="Times New Roman"/>
          <w:sz w:val="22"/>
        </w:rPr>
        <w:t xml:space="preserve"> </w:t>
      </w:r>
      <w:r w:rsidR="00587A6F">
        <w:rPr>
          <w:rFonts w:ascii="Times New Roman" w:hAnsi="Times New Roman" w:cs="Times New Roman"/>
          <w:sz w:val="22"/>
        </w:rPr>
        <w:t>(</w:t>
      </w:r>
      <w:r w:rsidR="002A46C7">
        <w:rPr>
          <w:rFonts w:ascii="Times New Roman" w:hAnsi="Times New Roman" w:cs="Times New Roman"/>
          <w:sz w:val="22"/>
        </w:rPr>
        <w:t>BBBEE</w:t>
      </w:r>
      <w:r w:rsidR="00587A6F">
        <w:rPr>
          <w:rFonts w:ascii="Times New Roman" w:hAnsi="Times New Roman" w:cs="Times New Roman"/>
          <w:sz w:val="22"/>
        </w:rPr>
        <w:t>)</w:t>
      </w:r>
      <w:r w:rsidR="002A46C7">
        <w:rPr>
          <w:rFonts w:ascii="Times New Roman" w:hAnsi="Times New Roman" w:cs="Times New Roman"/>
          <w:sz w:val="22"/>
        </w:rPr>
        <w:t xml:space="preserve"> deals for </w:t>
      </w:r>
      <w:r w:rsidR="006057A6">
        <w:rPr>
          <w:rFonts w:ascii="Times New Roman" w:hAnsi="Times New Roman" w:cs="Times New Roman"/>
          <w:sz w:val="22"/>
        </w:rPr>
        <w:t>a selected sample of compani</w:t>
      </w:r>
      <w:r w:rsidR="002A46C7">
        <w:rPr>
          <w:rFonts w:ascii="Times New Roman" w:hAnsi="Times New Roman" w:cs="Times New Roman"/>
          <w:sz w:val="22"/>
        </w:rPr>
        <w:t>es. Their sample consist</w:t>
      </w:r>
      <w:r w:rsidR="00E8246F">
        <w:rPr>
          <w:rFonts w:ascii="Times New Roman" w:hAnsi="Times New Roman" w:cs="Times New Roman"/>
          <w:sz w:val="22"/>
        </w:rPr>
        <w:t>ed</w:t>
      </w:r>
      <w:r w:rsidR="002A46C7">
        <w:rPr>
          <w:rFonts w:ascii="Times New Roman" w:hAnsi="Times New Roman" w:cs="Times New Roman"/>
          <w:sz w:val="22"/>
        </w:rPr>
        <w:t xml:space="preserve"> of</w:t>
      </w:r>
      <w:r w:rsidR="00AC6C2E">
        <w:rPr>
          <w:rFonts w:ascii="Times New Roman" w:hAnsi="Times New Roman" w:cs="Times New Roman"/>
          <w:sz w:val="22"/>
        </w:rPr>
        <w:t xml:space="preserve"> a provisional list consisting of the Top 100 companies listed on the JSE.</w:t>
      </w:r>
    </w:p>
    <w:p w14:paraId="3437193D" w14:textId="77777777" w:rsidR="006258B4" w:rsidRDefault="006258B4" w:rsidP="00536234">
      <w:pPr>
        <w:spacing w:line="480" w:lineRule="auto"/>
        <w:ind w:left="0"/>
        <w:rPr>
          <w:rFonts w:ascii="Times New Roman" w:hAnsi="Times New Roman" w:cs="Times New Roman"/>
          <w:sz w:val="22"/>
        </w:rPr>
      </w:pPr>
      <w:r w:rsidRPr="00E936EF">
        <w:rPr>
          <w:rFonts w:ascii="Times New Roman" w:hAnsi="Times New Roman" w:cs="Times New Roman"/>
          <w:sz w:val="22"/>
        </w:rPr>
        <w:t>Th</w:t>
      </w:r>
      <w:r w:rsidR="002A46C7">
        <w:rPr>
          <w:rFonts w:ascii="Times New Roman" w:hAnsi="Times New Roman" w:cs="Times New Roman"/>
          <w:sz w:val="22"/>
        </w:rPr>
        <w:t>is</w:t>
      </w:r>
      <w:r w:rsidRPr="00E936EF">
        <w:rPr>
          <w:rFonts w:ascii="Times New Roman" w:hAnsi="Times New Roman" w:cs="Times New Roman"/>
          <w:sz w:val="22"/>
        </w:rPr>
        <w:t xml:space="preserve"> list was subsequently reviewed </w:t>
      </w:r>
      <w:r w:rsidR="006057A6">
        <w:rPr>
          <w:rFonts w:ascii="Times New Roman" w:hAnsi="Times New Roman" w:cs="Times New Roman"/>
          <w:sz w:val="22"/>
        </w:rPr>
        <w:t>by Intellidex</w:t>
      </w:r>
      <w:r>
        <w:rPr>
          <w:rFonts w:ascii="Times New Roman" w:hAnsi="Times New Roman" w:cs="Times New Roman"/>
          <w:sz w:val="22"/>
        </w:rPr>
        <w:t xml:space="preserve"> </w:t>
      </w:r>
      <w:r w:rsidRPr="00E936EF">
        <w:rPr>
          <w:rFonts w:ascii="Times New Roman" w:hAnsi="Times New Roman" w:cs="Times New Roman"/>
          <w:sz w:val="22"/>
        </w:rPr>
        <w:t>and companies with no substantial South African operations were then removed. Examples of the companies removed by Intellidex for the purpose of their study include: Richemont, British American Tobacco, as well as many other property companies with secondary listings on the JSE, but no substantial operations in South Africa.</w:t>
      </w:r>
      <w:r>
        <w:rPr>
          <w:rFonts w:ascii="Times New Roman" w:hAnsi="Times New Roman" w:cs="Times New Roman"/>
          <w:sz w:val="22"/>
        </w:rPr>
        <w:t xml:space="preserve"> However, these companies removed were replaced with companies which were next in line to meet the above criteria, so as to still provide Intellidex with a total of 100 companies for the purposes of their research.</w:t>
      </w:r>
    </w:p>
    <w:p w14:paraId="40D00536" w14:textId="77777777" w:rsidR="006258B4"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Therefore, the</w:t>
      </w:r>
      <w:r w:rsidRPr="003A1203">
        <w:rPr>
          <w:rFonts w:ascii="Times New Roman" w:hAnsi="Times New Roman" w:cs="Times New Roman"/>
          <w:sz w:val="22"/>
        </w:rPr>
        <w:t xml:space="preserve"> overall sample size </w:t>
      </w:r>
      <w:r>
        <w:rPr>
          <w:rFonts w:ascii="Times New Roman" w:hAnsi="Times New Roman" w:cs="Times New Roman"/>
          <w:sz w:val="22"/>
        </w:rPr>
        <w:t>consisted of a</w:t>
      </w:r>
      <w:r w:rsidRPr="003A1203">
        <w:rPr>
          <w:rFonts w:ascii="Times New Roman" w:hAnsi="Times New Roman" w:cs="Times New Roman"/>
          <w:sz w:val="22"/>
        </w:rPr>
        <w:t xml:space="preserve"> maximum of 800 observations </w:t>
      </w:r>
      <w:r>
        <w:rPr>
          <w:rFonts w:ascii="Times New Roman" w:hAnsi="Times New Roman" w:cs="Times New Roman"/>
          <w:sz w:val="22"/>
        </w:rPr>
        <w:t xml:space="preserve">(100 companies multiplied by 8 years). Further, upon analysis of the data collected it was found that some companies did not have information for some or all years of study. These observations were manually removed from the study. Moreover, some companies were also found to not have paid any dividends throughout any one of the </w:t>
      </w:r>
      <w:r w:rsidR="002A46C7">
        <w:rPr>
          <w:rFonts w:ascii="Times New Roman" w:hAnsi="Times New Roman" w:cs="Times New Roman"/>
          <w:sz w:val="22"/>
        </w:rPr>
        <w:t xml:space="preserve">eight </w:t>
      </w:r>
      <w:r>
        <w:rPr>
          <w:rFonts w:ascii="Times New Roman" w:hAnsi="Times New Roman" w:cs="Times New Roman"/>
          <w:sz w:val="22"/>
        </w:rPr>
        <w:t xml:space="preserve">given years of study. These companies were also manually removed from the study. </w:t>
      </w:r>
      <w:r w:rsidRPr="00E936EF">
        <w:rPr>
          <w:rFonts w:ascii="Times New Roman" w:hAnsi="Times New Roman" w:cs="Times New Roman"/>
          <w:sz w:val="22"/>
        </w:rPr>
        <w:t>T</w:t>
      </w:r>
      <w:r>
        <w:rPr>
          <w:rFonts w:ascii="Times New Roman" w:hAnsi="Times New Roman" w:cs="Times New Roman"/>
          <w:sz w:val="22"/>
        </w:rPr>
        <w:t xml:space="preserve">his is because these companies were considered to be </w:t>
      </w:r>
      <w:r w:rsidRPr="00E936EF">
        <w:rPr>
          <w:rFonts w:ascii="Times New Roman" w:hAnsi="Times New Roman" w:cs="Times New Roman"/>
          <w:sz w:val="22"/>
        </w:rPr>
        <w:t>non</w:t>
      </w:r>
      <w:r>
        <w:rPr>
          <w:rFonts w:ascii="Times New Roman" w:hAnsi="Times New Roman" w:cs="Times New Roman"/>
          <w:sz w:val="22"/>
        </w:rPr>
        <w:t>-</w:t>
      </w:r>
      <w:r w:rsidRPr="00E936EF">
        <w:rPr>
          <w:rFonts w:ascii="Times New Roman" w:hAnsi="Times New Roman" w:cs="Times New Roman"/>
          <w:sz w:val="22"/>
        </w:rPr>
        <w:t>dividend</w:t>
      </w:r>
      <w:r>
        <w:rPr>
          <w:rFonts w:ascii="Times New Roman" w:hAnsi="Times New Roman" w:cs="Times New Roman"/>
          <w:sz w:val="22"/>
        </w:rPr>
        <w:t xml:space="preserve"> paying companies</w:t>
      </w:r>
      <w:r w:rsidRPr="00E936EF">
        <w:rPr>
          <w:rFonts w:ascii="Times New Roman" w:hAnsi="Times New Roman" w:cs="Times New Roman"/>
          <w:sz w:val="22"/>
        </w:rPr>
        <w:t xml:space="preserve"> </w:t>
      </w:r>
      <w:r>
        <w:rPr>
          <w:rFonts w:ascii="Times New Roman" w:hAnsi="Times New Roman" w:cs="Times New Roman"/>
          <w:sz w:val="22"/>
        </w:rPr>
        <w:t xml:space="preserve">and were likely </w:t>
      </w:r>
      <w:r>
        <w:rPr>
          <w:rFonts w:ascii="Times New Roman" w:hAnsi="Times New Roman" w:cs="Times New Roman"/>
          <w:sz w:val="22"/>
        </w:rPr>
        <w:lastRenderedPageBreak/>
        <w:t>to distort the results of the study.</w:t>
      </w:r>
      <w:r w:rsidRPr="00E936EF">
        <w:rPr>
          <w:rFonts w:ascii="Times New Roman" w:hAnsi="Times New Roman" w:cs="Times New Roman"/>
          <w:sz w:val="22"/>
        </w:rPr>
        <w:t xml:space="preserve"> </w:t>
      </w:r>
      <w:r>
        <w:rPr>
          <w:rFonts w:ascii="Times New Roman" w:hAnsi="Times New Roman" w:cs="Times New Roman"/>
          <w:sz w:val="22"/>
        </w:rPr>
        <w:t>This distortion would occur because it would be</w:t>
      </w:r>
      <w:r w:rsidRPr="00E936EF">
        <w:rPr>
          <w:rFonts w:ascii="Times New Roman" w:hAnsi="Times New Roman" w:cs="Times New Roman"/>
          <w:sz w:val="22"/>
        </w:rPr>
        <w:t xml:space="preserve"> unlikely</w:t>
      </w:r>
      <w:r>
        <w:rPr>
          <w:rFonts w:ascii="Times New Roman" w:hAnsi="Times New Roman" w:cs="Times New Roman"/>
          <w:sz w:val="22"/>
        </w:rPr>
        <w:t xml:space="preserve"> that there</w:t>
      </w:r>
      <w:r w:rsidRPr="00E936EF">
        <w:rPr>
          <w:rFonts w:ascii="Times New Roman" w:hAnsi="Times New Roman" w:cs="Times New Roman"/>
          <w:sz w:val="22"/>
        </w:rPr>
        <w:t xml:space="preserve"> </w:t>
      </w:r>
      <w:r>
        <w:rPr>
          <w:rFonts w:ascii="Times New Roman" w:hAnsi="Times New Roman" w:cs="Times New Roman"/>
          <w:sz w:val="22"/>
        </w:rPr>
        <w:t>would be any factor c</w:t>
      </w:r>
      <w:r w:rsidRPr="00E936EF">
        <w:rPr>
          <w:rFonts w:ascii="Times New Roman" w:hAnsi="Times New Roman" w:cs="Times New Roman"/>
          <w:sz w:val="22"/>
        </w:rPr>
        <w:t>aus</w:t>
      </w:r>
      <w:r>
        <w:rPr>
          <w:rFonts w:ascii="Times New Roman" w:hAnsi="Times New Roman" w:cs="Times New Roman"/>
          <w:sz w:val="22"/>
        </w:rPr>
        <w:t>ing</w:t>
      </w:r>
      <w:r w:rsidRPr="00E936EF">
        <w:rPr>
          <w:rFonts w:ascii="Times New Roman" w:hAnsi="Times New Roman" w:cs="Times New Roman"/>
          <w:sz w:val="22"/>
        </w:rPr>
        <w:t xml:space="preserve"> </w:t>
      </w:r>
      <w:r>
        <w:rPr>
          <w:rFonts w:ascii="Times New Roman" w:hAnsi="Times New Roman" w:cs="Times New Roman"/>
          <w:sz w:val="22"/>
        </w:rPr>
        <w:t>these companies</w:t>
      </w:r>
      <w:r w:rsidRPr="00E936EF">
        <w:rPr>
          <w:rFonts w:ascii="Times New Roman" w:hAnsi="Times New Roman" w:cs="Times New Roman"/>
          <w:sz w:val="22"/>
        </w:rPr>
        <w:t xml:space="preserve"> to pay dividend</w:t>
      </w:r>
      <w:r>
        <w:rPr>
          <w:rFonts w:ascii="Times New Roman" w:hAnsi="Times New Roman" w:cs="Times New Roman"/>
          <w:sz w:val="22"/>
        </w:rPr>
        <w:t>s at all</w:t>
      </w:r>
      <w:r w:rsidRPr="00E936EF">
        <w:rPr>
          <w:rFonts w:ascii="Times New Roman" w:hAnsi="Times New Roman" w:cs="Times New Roman"/>
          <w:sz w:val="22"/>
        </w:rPr>
        <w:t xml:space="preserve">. </w:t>
      </w:r>
    </w:p>
    <w:p w14:paraId="0764D079" w14:textId="18D8DC72" w:rsidR="006258B4"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 xml:space="preserve">In addition, there were </w:t>
      </w:r>
      <w:r w:rsidR="002A46C7">
        <w:rPr>
          <w:rFonts w:ascii="Times New Roman" w:hAnsi="Times New Roman" w:cs="Times New Roman"/>
          <w:sz w:val="22"/>
        </w:rPr>
        <w:t>also</w:t>
      </w:r>
      <w:r>
        <w:rPr>
          <w:rFonts w:ascii="Times New Roman" w:hAnsi="Times New Roman" w:cs="Times New Roman"/>
          <w:sz w:val="22"/>
        </w:rPr>
        <w:t xml:space="preserve"> some observations which were considered to be significant outliers. An example of this is where observations showed companies to be in a situation indicative of significant financial distress (</w:t>
      </w:r>
      <w:r w:rsidR="00754828">
        <w:rPr>
          <w:rFonts w:ascii="Times New Roman" w:hAnsi="Times New Roman" w:cs="Times New Roman"/>
          <w:sz w:val="22"/>
        </w:rPr>
        <w:t xml:space="preserve">D. </w:t>
      </w:r>
      <w:r>
        <w:rPr>
          <w:rFonts w:ascii="Times New Roman" w:hAnsi="Times New Roman" w:cs="Times New Roman"/>
          <w:sz w:val="22"/>
        </w:rPr>
        <w:t>Avramov</w:t>
      </w:r>
      <w:r w:rsidR="00E8246F">
        <w:rPr>
          <w:rFonts w:ascii="Times New Roman" w:hAnsi="Times New Roman" w:cs="Times New Roman"/>
          <w:sz w:val="22"/>
        </w:rPr>
        <w:t>,</w:t>
      </w:r>
      <w:r>
        <w:rPr>
          <w:rFonts w:ascii="Times New Roman" w:hAnsi="Times New Roman" w:cs="Times New Roman"/>
          <w:sz w:val="22"/>
        </w:rPr>
        <w:t xml:space="preserve"> Chordia</w:t>
      </w:r>
      <w:r w:rsidR="00E8246F">
        <w:rPr>
          <w:rFonts w:ascii="Times New Roman" w:hAnsi="Times New Roman" w:cs="Times New Roman"/>
          <w:sz w:val="22"/>
        </w:rPr>
        <w:t>,</w:t>
      </w:r>
      <w:r>
        <w:rPr>
          <w:rFonts w:ascii="Times New Roman" w:hAnsi="Times New Roman" w:cs="Times New Roman"/>
          <w:sz w:val="22"/>
        </w:rPr>
        <w:t xml:space="preserve"> Jostova</w:t>
      </w:r>
      <w:r w:rsidR="00E8246F">
        <w:rPr>
          <w:rFonts w:ascii="Times New Roman" w:hAnsi="Times New Roman" w:cs="Times New Roman"/>
          <w:sz w:val="22"/>
        </w:rPr>
        <w:t>,</w:t>
      </w:r>
      <w:r>
        <w:rPr>
          <w:rFonts w:ascii="Times New Roman" w:hAnsi="Times New Roman" w:cs="Times New Roman"/>
          <w:sz w:val="22"/>
        </w:rPr>
        <w:t xml:space="preserve"> &amp; Philipov, 2010). Financial distress for these observations were determined by companies which had negative price-to-book ratios for a specific year of study. These observations were </w:t>
      </w:r>
      <w:r w:rsidR="002A46C7">
        <w:rPr>
          <w:rFonts w:ascii="Times New Roman" w:hAnsi="Times New Roman" w:cs="Times New Roman"/>
          <w:sz w:val="22"/>
        </w:rPr>
        <w:t xml:space="preserve">correspondingly </w:t>
      </w:r>
      <w:r>
        <w:rPr>
          <w:rFonts w:ascii="Times New Roman" w:hAnsi="Times New Roman" w:cs="Times New Roman"/>
          <w:sz w:val="22"/>
        </w:rPr>
        <w:t xml:space="preserve">manually dropped from the study. Looking at the change in sample size as a result of the above </w:t>
      </w:r>
      <w:r w:rsidR="002A46C7">
        <w:rPr>
          <w:rFonts w:ascii="Times New Roman" w:hAnsi="Times New Roman" w:cs="Times New Roman"/>
          <w:sz w:val="22"/>
        </w:rPr>
        <w:t>amendments it is found</w:t>
      </w:r>
      <w:r>
        <w:rPr>
          <w:rFonts w:ascii="Times New Roman" w:hAnsi="Times New Roman" w:cs="Times New Roman"/>
          <w:sz w:val="22"/>
        </w:rPr>
        <w:t xml:space="preserve"> that the sample size decreased by 168 observations to 632 observations.</w:t>
      </w:r>
    </w:p>
    <w:p w14:paraId="419E5BFE" w14:textId="548CF29D" w:rsidR="006258B4"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Lastly, the remaining 632 observations were winsorized</w:t>
      </w:r>
      <w:r w:rsidRPr="00F56F1B">
        <w:rPr>
          <w:rFonts w:ascii="Times New Roman" w:hAnsi="Times New Roman" w:cs="Times New Roman"/>
          <w:sz w:val="22"/>
        </w:rPr>
        <w:t xml:space="preserve">. </w:t>
      </w:r>
      <w:r>
        <w:rPr>
          <w:rFonts w:ascii="Times New Roman" w:hAnsi="Times New Roman" w:cs="Times New Roman"/>
          <w:sz w:val="22"/>
        </w:rPr>
        <w:t>I</w:t>
      </w:r>
      <w:r w:rsidRPr="00F56F1B">
        <w:rPr>
          <w:rFonts w:ascii="Times New Roman" w:hAnsi="Times New Roman" w:cs="Times New Roman"/>
          <w:sz w:val="22"/>
        </w:rPr>
        <w:t xml:space="preserve">t is important to note </w:t>
      </w:r>
      <w:r>
        <w:rPr>
          <w:rFonts w:ascii="Times New Roman" w:hAnsi="Times New Roman" w:cs="Times New Roman"/>
          <w:sz w:val="22"/>
        </w:rPr>
        <w:t>that the process of winsorization</w:t>
      </w:r>
      <w:r w:rsidRPr="00F56F1B">
        <w:rPr>
          <w:rFonts w:ascii="Times New Roman" w:hAnsi="Times New Roman" w:cs="Times New Roman"/>
          <w:sz w:val="22"/>
        </w:rPr>
        <w:t xml:space="preserve"> will only weight out the impact of the outlying observations, but will not remove them</w:t>
      </w:r>
      <w:r>
        <w:rPr>
          <w:rFonts w:ascii="Times New Roman" w:hAnsi="Times New Roman" w:cs="Times New Roman"/>
          <w:sz w:val="22"/>
        </w:rPr>
        <w:t xml:space="preserve"> (</w:t>
      </w:r>
      <w:r w:rsidR="00E8246F">
        <w:rPr>
          <w:rFonts w:ascii="Times New Roman" w:hAnsi="Times New Roman" w:cs="Times New Roman"/>
          <w:sz w:val="22"/>
        </w:rPr>
        <w:t xml:space="preserve">L.F. </w:t>
      </w:r>
      <w:r>
        <w:rPr>
          <w:rFonts w:ascii="Times New Roman" w:hAnsi="Times New Roman" w:cs="Times New Roman"/>
          <w:sz w:val="22"/>
        </w:rPr>
        <w:t>Martins</w:t>
      </w:r>
      <w:r w:rsidR="00E8246F">
        <w:rPr>
          <w:rFonts w:ascii="Times New Roman" w:hAnsi="Times New Roman" w:cs="Times New Roman"/>
          <w:sz w:val="22"/>
        </w:rPr>
        <w:t>,</w:t>
      </w:r>
      <w:r>
        <w:rPr>
          <w:rFonts w:ascii="Times New Roman" w:hAnsi="Times New Roman" w:cs="Times New Roman"/>
          <w:sz w:val="22"/>
        </w:rPr>
        <w:t xml:space="preserve"> Persson</w:t>
      </w:r>
      <w:r w:rsidR="00E8246F">
        <w:rPr>
          <w:rFonts w:ascii="Times New Roman" w:hAnsi="Times New Roman" w:cs="Times New Roman"/>
          <w:sz w:val="22"/>
        </w:rPr>
        <w:t>,</w:t>
      </w:r>
      <w:r>
        <w:rPr>
          <w:rFonts w:ascii="Times New Roman" w:hAnsi="Times New Roman" w:cs="Times New Roman"/>
          <w:sz w:val="22"/>
        </w:rPr>
        <w:t xml:space="preserve"> Idris</w:t>
      </w:r>
      <w:r w:rsidR="00E8246F">
        <w:rPr>
          <w:rFonts w:ascii="Times New Roman" w:hAnsi="Times New Roman" w:cs="Times New Roman"/>
          <w:sz w:val="22"/>
        </w:rPr>
        <w:t>,</w:t>
      </w:r>
      <w:r>
        <w:rPr>
          <w:rFonts w:ascii="Times New Roman" w:hAnsi="Times New Roman" w:cs="Times New Roman"/>
          <w:sz w:val="22"/>
        </w:rPr>
        <w:t xml:space="preserve"> Czygan</w:t>
      </w:r>
      <w:r w:rsidR="00E8246F">
        <w:rPr>
          <w:rFonts w:ascii="Times New Roman" w:hAnsi="Times New Roman" w:cs="Times New Roman"/>
          <w:sz w:val="22"/>
        </w:rPr>
        <w:t>,</w:t>
      </w:r>
      <w:r>
        <w:rPr>
          <w:rFonts w:ascii="Times New Roman" w:hAnsi="Times New Roman" w:cs="Times New Roman"/>
          <w:sz w:val="22"/>
        </w:rPr>
        <w:t xml:space="preserve"> &amp; Vothihong, 2017)</w:t>
      </w:r>
      <w:r w:rsidRPr="00F56F1B">
        <w:rPr>
          <w:rFonts w:ascii="Times New Roman" w:hAnsi="Times New Roman" w:cs="Times New Roman"/>
          <w:sz w:val="22"/>
        </w:rPr>
        <w:t>.  In addition, the weighting of outliers will only take place in the event that they are found to disturb the normal distribution pattern of a particular variable</w:t>
      </w:r>
      <w:r>
        <w:rPr>
          <w:rFonts w:ascii="Times New Roman" w:hAnsi="Times New Roman" w:cs="Times New Roman"/>
          <w:sz w:val="22"/>
        </w:rPr>
        <w:t xml:space="preserve"> </w:t>
      </w:r>
      <w:r w:rsidRPr="00891AB6">
        <w:rPr>
          <w:rFonts w:ascii="Times New Roman" w:hAnsi="Times New Roman" w:cs="Times New Roman"/>
          <w:sz w:val="22"/>
        </w:rPr>
        <w:t>(</w:t>
      </w:r>
      <w:r w:rsidR="00E8246F">
        <w:rPr>
          <w:rFonts w:ascii="Times New Roman" w:hAnsi="Times New Roman" w:cs="Times New Roman"/>
          <w:sz w:val="22"/>
        </w:rPr>
        <w:t xml:space="preserve">L.F. </w:t>
      </w:r>
      <w:r w:rsidRPr="00891AB6">
        <w:rPr>
          <w:rFonts w:ascii="Times New Roman" w:hAnsi="Times New Roman" w:cs="Times New Roman"/>
          <w:sz w:val="22"/>
        </w:rPr>
        <w:t>Martins</w:t>
      </w:r>
      <w:r w:rsidR="00E8246F">
        <w:rPr>
          <w:rFonts w:ascii="Times New Roman" w:hAnsi="Times New Roman" w:cs="Times New Roman"/>
          <w:sz w:val="22"/>
        </w:rPr>
        <w:t xml:space="preserve"> et</w:t>
      </w:r>
      <w:r w:rsidR="00754828">
        <w:rPr>
          <w:rFonts w:ascii="Times New Roman" w:hAnsi="Times New Roman" w:cs="Times New Roman"/>
          <w:sz w:val="22"/>
        </w:rPr>
        <w:t xml:space="preserve"> </w:t>
      </w:r>
      <w:r w:rsidR="00E8246F">
        <w:rPr>
          <w:rFonts w:ascii="Times New Roman" w:hAnsi="Times New Roman" w:cs="Times New Roman"/>
          <w:sz w:val="22"/>
        </w:rPr>
        <w:t>al.</w:t>
      </w:r>
      <w:r w:rsidRPr="00891AB6">
        <w:rPr>
          <w:rFonts w:ascii="Times New Roman" w:hAnsi="Times New Roman" w:cs="Times New Roman"/>
          <w:sz w:val="22"/>
        </w:rPr>
        <w:t xml:space="preserve">, 2017). </w:t>
      </w:r>
      <w:r>
        <w:rPr>
          <w:rFonts w:ascii="Times New Roman" w:hAnsi="Times New Roman" w:cs="Times New Roman"/>
          <w:sz w:val="22"/>
        </w:rPr>
        <w:t xml:space="preserve"> </w:t>
      </w:r>
    </w:p>
    <w:p w14:paraId="733BF54A" w14:textId="77777777" w:rsidR="006258B4" w:rsidRPr="003A1203"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Moreover, not all companies were in existence for all pe</w:t>
      </w:r>
      <w:r w:rsidR="00E20BCE">
        <w:rPr>
          <w:rFonts w:ascii="Times New Roman" w:hAnsi="Times New Roman" w:cs="Times New Roman"/>
          <w:sz w:val="22"/>
        </w:rPr>
        <w:t>riods of the study. This creates</w:t>
      </w:r>
      <w:r>
        <w:rPr>
          <w:rFonts w:ascii="Times New Roman" w:hAnsi="Times New Roman" w:cs="Times New Roman"/>
          <w:sz w:val="22"/>
        </w:rPr>
        <w:t xml:space="preserve"> an unbalanced panel. An unbalanced panel has both certain advantages and disadvantages. The advantage of an unbalanced panel is that</w:t>
      </w:r>
      <w:r w:rsidR="00E20BCE">
        <w:rPr>
          <w:rFonts w:ascii="Times New Roman" w:hAnsi="Times New Roman" w:cs="Times New Roman"/>
          <w:sz w:val="22"/>
        </w:rPr>
        <w:t xml:space="preserve"> it</w:t>
      </w:r>
      <w:r>
        <w:rPr>
          <w:rFonts w:ascii="Times New Roman" w:hAnsi="Times New Roman" w:cs="Times New Roman"/>
          <w:sz w:val="22"/>
        </w:rPr>
        <w:t xml:space="preserve"> is free </w:t>
      </w:r>
      <w:r w:rsidR="00E20BCE">
        <w:rPr>
          <w:rFonts w:ascii="Times New Roman" w:hAnsi="Times New Roman" w:cs="Times New Roman"/>
          <w:sz w:val="22"/>
        </w:rPr>
        <w:t>from the effects of</w:t>
      </w:r>
      <w:r>
        <w:rPr>
          <w:rFonts w:ascii="Times New Roman" w:hAnsi="Times New Roman" w:cs="Times New Roman"/>
          <w:sz w:val="22"/>
        </w:rPr>
        <w:t xml:space="preserve"> survivorship bias </w:t>
      </w:r>
      <w:r w:rsidRPr="00897077">
        <w:rPr>
          <w:rFonts w:ascii="Times New Roman" w:hAnsi="Times New Roman" w:cs="Times New Roman"/>
          <w:sz w:val="22"/>
        </w:rPr>
        <w:t>(Gujarati, 2006)</w:t>
      </w:r>
      <w:r>
        <w:rPr>
          <w:rFonts w:ascii="Times New Roman" w:hAnsi="Times New Roman" w:cs="Times New Roman"/>
          <w:sz w:val="22"/>
        </w:rPr>
        <w:t xml:space="preserve">. </w:t>
      </w:r>
      <w:r w:rsidR="00E20BCE">
        <w:rPr>
          <w:rFonts w:ascii="Times New Roman" w:hAnsi="Times New Roman" w:cs="Times New Roman"/>
          <w:sz w:val="22"/>
        </w:rPr>
        <w:t>This is since c</w:t>
      </w:r>
      <w:r>
        <w:rPr>
          <w:rFonts w:ascii="Times New Roman" w:hAnsi="Times New Roman" w:cs="Times New Roman"/>
          <w:sz w:val="22"/>
        </w:rPr>
        <w:t>ompanies that tend to drop</w:t>
      </w:r>
      <w:r w:rsidR="00B30F6D">
        <w:rPr>
          <w:rFonts w:ascii="Times New Roman" w:hAnsi="Times New Roman" w:cs="Times New Roman"/>
          <w:sz w:val="22"/>
        </w:rPr>
        <w:t xml:space="preserve"> </w:t>
      </w:r>
      <w:r>
        <w:rPr>
          <w:rFonts w:ascii="Times New Roman" w:hAnsi="Times New Roman" w:cs="Times New Roman"/>
          <w:sz w:val="22"/>
        </w:rPr>
        <w:t>out</w:t>
      </w:r>
      <w:r w:rsidR="00E20BCE">
        <w:rPr>
          <w:rFonts w:ascii="Times New Roman" w:hAnsi="Times New Roman" w:cs="Times New Roman"/>
          <w:sz w:val="22"/>
        </w:rPr>
        <w:t xml:space="preserve"> when moving from an unbalanced panel to a balanced panel</w:t>
      </w:r>
      <w:r>
        <w:rPr>
          <w:rFonts w:ascii="Times New Roman" w:hAnsi="Times New Roman" w:cs="Times New Roman"/>
          <w:sz w:val="22"/>
        </w:rPr>
        <w:t xml:space="preserve"> are generally weaker companies that </w:t>
      </w:r>
      <w:r w:rsidR="00E20BCE">
        <w:rPr>
          <w:rFonts w:ascii="Times New Roman" w:hAnsi="Times New Roman" w:cs="Times New Roman"/>
          <w:sz w:val="22"/>
        </w:rPr>
        <w:t>eventually</w:t>
      </w:r>
      <w:r>
        <w:rPr>
          <w:rFonts w:ascii="Times New Roman" w:hAnsi="Times New Roman" w:cs="Times New Roman"/>
          <w:sz w:val="22"/>
        </w:rPr>
        <w:t xml:space="preserve"> </w:t>
      </w:r>
      <w:r w:rsidR="00E20BCE">
        <w:rPr>
          <w:rFonts w:ascii="Times New Roman" w:hAnsi="Times New Roman" w:cs="Times New Roman"/>
          <w:sz w:val="22"/>
        </w:rPr>
        <w:t>delist. By not</w:t>
      </w:r>
      <w:r>
        <w:rPr>
          <w:rFonts w:ascii="Times New Roman" w:hAnsi="Times New Roman" w:cs="Times New Roman"/>
          <w:sz w:val="22"/>
        </w:rPr>
        <w:t xml:space="preserve"> excluding </w:t>
      </w:r>
      <w:r w:rsidR="00E20BCE">
        <w:rPr>
          <w:rFonts w:ascii="Times New Roman" w:hAnsi="Times New Roman" w:cs="Times New Roman"/>
          <w:sz w:val="22"/>
        </w:rPr>
        <w:t>these companies’</w:t>
      </w:r>
      <w:r>
        <w:rPr>
          <w:rFonts w:ascii="Times New Roman" w:hAnsi="Times New Roman" w:cs="Times New Roman"/>
          <w:sz w:val="22"/>
        </w:rPr>
        <w:t xml:space="preserve"> </w:t>
      </w:r>
      <w:r w:rsidR="00E20BCE">
        <w:rPr>
          <w:rFonts w:ascii="Times New Roman" w:hAnsi="Times New Roman" w:cs="Times New Roman"/>
          <w:sz w:val="22"/>
        </w:rPr>
        <w:t xml:space="preserve">one can </w:t>
      </w:r>
      <w:r>
        <w:rPr>
          <w:rFonts w:ascii="Times New Roman" w:hAnsi="Times New Roman" w:cs="Times New Roman"/>
          <w:sz w:val="22"/>
        </w:rPr>
        <w:t>ensure coefficients are not overstated</w:t>
      </w:r>
      <w:r w:rsidR="00E20BCE">
        <w:rPr>
          <w:rFonts w:ascii="Times New Roman" w:hAnsi="Times New Roman" w:cs="Times New Roman"/>
          <w:sz w:val="22"/>
        </w:rPr>
        <w:t>. This will allow for</w:t>
      </w:r>
      <w:r>
        <w:rPr>
          <w:rFonts w:ascii="Times New Roman" w:hAnsi="Times New Roman" w:cs="Times New Roman"/>
          <w:sz w:val="22"/>
        </w:rPr>
        <w:t xml:space="preserve"> a more realistic representation</w:t>
      </w:r>
      <w:r w:rsidR="00E20BCE">
        <w:rPr>
          <w:rFonts w:ascii="Times New Roman" w:hAnsi="Times New Roman" w:cs="Times New Roman"/>
          <w:sz w:val="22"/>
        </w:rPr>
        <w:t xml:space="preserve"> will be obtained</w:t>
      </w:r>
      <w:r>
        <w:rPr>
          <w:rFonts w:ascii="Times New Roman" w:hAnsi="Times New Roman" w:cs="Times New Roman"/>
          <w:sz w:val="22"/>
        </w:rPr>
        <w:t>. However, an unbalanced</w:t>
      </w:r>
      <w:r w:rsidR="003758A2">
        <w:rPr>
          <w:rFonts w:ascii="Times New Roman" w:hAnsi="Times New Roman" w:cs="Times New Roman"/>
          <w:sz w:val="22"/>
        </w:rPr>
        <w:t xml:space="preserve"> panel</w:t>
      </w:r>
      <w:r>
        <w:rPr>
          <w:rFonts w:ascii="Times New Roman" w:hAnsi="Times New Roman" w:cs="Times New Roman"/>
          <w:sz w:val="22"/>
        </w:rPr>
        <w:t xml:space="preserve"> can</w:t>
      </w:r>
      <w:r w:rsidR="00E20BCE">
        <w:rPr>
          <w:rFonts w:ascii="Times New Roman" w:hAnsi="Times New Roman" w:cs="Times New Roman"/>
          <w:sz w:val="22"/>
        </w:rPr>
        <w:t xml:space="preserve"> also</w:t>
      </w:r>
      <w:r>
        <w:rPr>
          <w:rFonts w:ascii="Times New Roman" w:hAnsi="Times New Roman" w:cs="Times New Roman"/>
          <w:sz w:val="22"/>
        </w:rPr>
        <w:t xml:space="preserve"> lead to a lopsided distribution of observations</w:t>
      </w:r>
      <w:r w:rsidR="00E20BCE">
        <w:rPr>
          <w:rFonts w:ascii="Times New Roman" w:hAnsi="Times New Roman" w:cs="Times New Roman"/>
          <w:sz w:val="22"/>
        </w:rPr>
        <w:t>. This will prevent</w:t>
      </w:r>
      <w:r>
        <w:rPr>
          <w:rFonts w:ascii="Times New Roman" w:hAnsi="Times New Roman" w:cs="Times New Roman"/>
          <w:sz w:val="22"/>
        </w:rPr>
        <w:t xml:space="preserve"> an equitable comparison</w:t>
      </w:r>
      <w:r w:rsidR="00E20BCE">
        <w:rPr>
          <w:rFonts w:ascii="Times New Roman" w:hAnsi="Times New Roman" w:cs="Times New Roman"/>
          <w:sz w:val="22"/>
        </w:rPr>
        <w:t xml:space="preserve"> from being made</w:t>
      </w:r>
      <w:r>
        <w:rPr>
          <w:rFonts w:ascii="Times New Roman" w:hAnsi="Times New Roman" w:cs="Times New Roman"/>
          <w:sz w:val="22"/>
        </w:rPr>
        <w:t xml:space="preserve"> across all years of study </w:t>
      </w:r>
      <w:r w:rsidRPr="00897077">
        <w:rPr>
          <w:rFonts w:ascii="Times New Roman" w:hAnsi="Times New Roman" w:cs="Times New Roman"/>
          <w:sz w:val="22"/>
        </w:rPr>
        <w:t>(Gujarati, 2006)</w:t>
      </w:r>
      <w:r>
        <w:rPr>
          <w:rFonts w:ascii="Times New Roman" w:hAnsi="Times New Roman" w:cs="Times New Roman"/>
          <w:sz w:val="22"/>
        </w:rPr>
        <w:t>. Thus, this study has chosen to use both balanced and unbalanced panel</w:t>
      </w:r>
      <w:r w:rsidR="00E20BCE">
        <w:rPr>
          <w:rFonts w:ascii="Times New Roman" w:hAnsi="Times New Roman" w:cs="Times New Roman"/>
          <w:sz w:val="22"/>
        </w:rPr>
        <w:t>s</w:t>
      </w:r>
      <w:r>
        <w:rPr>
          <w:rFonts w:ascii="Times New Roman" w:hAnsi="Times New Roman" w:cs="Times New Roman"/>
          <w:sz w:val="22"/>
        </w:rPr>
        <w:t xml:space="preserve"> to take advantage of the benefits and mitigate the pitfalls of both approaches.  Further, it is important to note that the sample size reduces by a further 144 observations when the switch is made from the unbalanced panel to the balanced panel.</w:t>
      </w:r>
    </w:p>
    <w:p w14:paraId="5E3E05CD"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lastRenderedPageBreak/>
        <w:t>The</w:t>
      </w:r>
      <w:r>
        <w:rPr>
          <w:rFonts w:ascii="Times New Roman" w:hAnsi="Times New Roman" w:cs="Times New Roman"/>
          <w:sz w:val="22"/>
        </w:rPr>
        <w:t xml:space="preserve"> data relating to </w:t>
      </w:r>
      <w:r w:rsidRPr="003A1203">
        <w:rPr>
          <w:rFonts w:ascii="Times New Roman" w:hAnsi="Times New Roman" w:cs="Times New Roman"/>
          <w:sz w:val="22"/>
        </w:rPr>
        <w:t xml:space="preserve">variables </w:t>
      </w:r>
      <w:r w:rsidR="00E20BCE">
        <w:rPr>
          <w:rFonts w:ascii="Times New Roman" w:hAnsi="Times New Roman" w:cs="Times New Roman"/>
          <w:sz w:val="22"/>
        </w:rPr>
        <w:t>used to</w:t>
      </w:r>
      <w:r>
        <w:rPr>
          <w:rFonts w:ascii="Times New Roman" w:hAnsi="Times New Roman" w:cs="Times New Roman"/>
          <w:sz w:val="22"/>
        </w:rPr>
        <w:t xml:space="preserve"> conduct the</w:t>
      </w:r>
      <w:r w:rsidRPr="003A1203">
        <w:rPr>
          <w:rFonts w:ascii="Times New Roman" w:hAnsi="Times New Roman" w:cs="Times New Roman"/>
          <w:sz w:val="22"/>
        </w:rPr>
        <w:t xml:space="preserve"> study </w:t>
      </w:r>
      <w:r w:rsidR="00E20BCE">
        <w:rPr>
          <w:rFonts w:ascii="Times New Roman" w:hAnsi="Times New Roman" w:cs="Times New Roman"/>
          <w:sz w:val="22"/>
        </w:rPr>
        <w:t>was obtained</w:t>
      </w:r>
      <w:r w:rsidRPr="003A1203">
        <w:rPr>
          <w:rFonts w:ascii="Times New Roman" w:hAnsi="Times New Roman" w:cs="Times New Roman"/>
          <w:sz w:val="22"/>
        </w:rPr>
        <w:t xml:space="preserve"> from the INET BFA Expert.  The INET BFA Expert database was previously known as the McGregor database.  The data obtained from t</w:t>
      </w:r>
      <w:r w:rsidR="00E20BCE">
        <w:rPr>
          <w:rFonts w:ascii="Times New Roman" w:hAnsi="Times New Roman" w:cs="Times New Roman"/>
          <w:sz w:val="22"/>
        </w:rPr>
        <w:t>his database</w:t>
      </w:r>
      <w:r w:rsidRPr="003A1203">
        <w:rPr>
          <w:rFonts w:ascii="Times New Roman" w:hAnsi="Times New Roman" w:cs="Times New Roman"/>
          <w:sz w:val="22"/>
        </w:rPr>
        <w:t xml:space="preserve"> </w:t>
      </w:r>
      <w:r>
        <w:rPr>
          <w:rFonts w:ascii="Times New Roman" w:hAnsi="Times New Roman" w:cs="Times New Roman"/>
          <w:sz w:val="22"/>
        </w:rPr>
        <w:t>was then</w:t>
      </w:r>
      <w:r w:rsidRPr="003A1203">
        <w:rPr>
          <w:rFonts w:ascii="Times New Roman" w:hAnsi="Times New Roman" w:cs="Times New Roman"/>
          <w:sz w:val="22"/>
        </w:rPr>
        <w:t xml:space="preserve"> exported onto a Microsoft Excel 2013 spreadsheet.</w:t>
      </w:r>
    </w:p>
    <w:p w14:paraId="0C71754C" w14:textId="77777777" w:rsidR="006258B4" w:rsidRPr="00A14BA6" w:rsidRDefault="004D1864" w:rsidP="00536234">
      <w:pPr>
        <w:pStyle w:val="Heading2"/>
        <w:ind w:left="0"/>
        <w:rPr>
          <w:rFonts w:ascii="Times New Roman" w:hAnsi="Times New Roman" w:cs="Times New Roman"/>
          <w:b/>
          <w:color w:val="auto"/>
          <w:sz w:val="24"/>
        </w:rPr>
      </w:pPr>
      <w:bookmarkStart w:id="46" w:name="_Toc506717792"/>
      <w:r>
        <w:rPr>
          <w:rFonts w:ascii="Times New Roman" w:hAnsi="Times New Roman" w:cs="Times New Roman"/>
          <w:b/>
          <w:color w:val="auto"/>
          <w:sz w:val="24"/>
        </w:rPr>
        <w:t>3.2</w:t>
      </w:r>
      <w:r>
        <w:rPr>
          <w:rFonts w:ascii="Times New Roman" w:hAnsi="Times New Roman" w:cs="Times New Roman"/>
          <w:b/>
          <w:color w:val="auto"/>
          <w:sz w:val="24"/>
        </w:rPr>
        <w:tab/>
        <w:t xml:space="preserve"> Data A</w:t>
      </w:r>
      <w:r w:rsidR="006258B4" w:rsidRPr="00A14BA6">
        <w:rPr>
          <w:rFonts w:ascii="Times New Roman" w:hAnsi="Times New Roman" w:cs="Times New Roman"/>
          <w:b/>
          <w:color w:val="auto"/>
          <w:sz w:val="24"/>
        </w:rPr>
        <w:t>nalysis</w:t>
      </w:r>
      <w:bookmarkEnd w:id="46"/>
      <w:r w:rsidR="006258B4" w:rsidRPr="00A14BA6">
        <w:rPr>
          <w:rFonts w:ascii="Times New Roman" w:hAnsi="Times New Roman" w:cs="Times New Roman"/>
          <w:b/>
          <w:color w:val="auto"/>
          <w:sz w:val="24"/>
        </w:rPr>
        <w:t xml:space="preserve"> </w:t>
      </w:r>
    </w:p>
    <w:p w14:paraId="77ADA6B1" w14:textId="3E445F1B"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implementation of BBBEE dea</w:t>
      </w:r>
      <w:r>
        <w:rPr>
          <w:rFonts w:ascii="Times New Roman" w:hAnsi="Times New Roman" w:cs="Times New Roman"/>
          <w:sz w:val="22"/>
        </w:rPr>
        <w:t>ls by companies in South Africa created</w:t>
      </w:r>
      <w:r w:rsidRPr="003A1203">
        <w:rPr>
          <w:rFonts w:ascii="Times New Roman" w:hAnsi="Times New Roman" w:cs="Times New Roman"/>
          <w:sz w:val="22"/>
        </w:rPr>
        <w:t xml:space="preserve"> the opportunity to conduct a Natural experiment study</w:t>
      </w:r>
      <w:r>
        <w:rPr>
          <w:rFonts w:ascii="Times New Roman" w:hAnsi="Times New Roman" w:cs="Times New Roman"/>
          <w:sz w:val="22"/>
        </w:rPr>
        <w:t>. The Natural experiment approach has been used</w:t>
      </w:r>
      <w:r w:rsidR="00587A6F">
        <w:rPr>
          <w:rFonts w:ascii="Times New Roman" w:hAnsi="Times New Roman" w:cs="Times New Roman"/>
          <w:sz w:val="22"/>
        </w:rPr>
        <w:t xml:space="preserve"> in this study</w:t>
      </w:r>
      <w:r>
        <w:rPr>
          <w:rFonts w:ascii="Times New Roman" w:hAnsi="Times New Roman" w:cs="Times New Roman"/>
          <w:sz w:val="22"/>
        </w:rPr>
        <w:t xml:space="preserve"> to</w:t>
      </w:r>
      <w:r w:rsidRPr="003A1203">
        <w:rPr>
          <w:rFonts w:ascii="Times New Roman" w:hAnsi="Times New Roman" w:cs="Times New Roman"/>
          <w:sz w:val="22"/>
        </w:rPr>
        <w:t xml:space="preserve"> determine the causal impact of </w:t>
      </w:r>
      <w:r>
        <w:rPr>
          <w:rFonts w:ascii="Times New Roman" w:hAnsi="Times New Roman" w:cs="Times New Roman"/>
          <w:sz w:val="22"/>
        </w:rPr>
        <w:t>BBBEE</w:t>
      </w:r>
      <w:r w:rsidRPr="003A1203">
        <w:rPr>
          <w:rFonts w:ascii="Times New Roman" w:hAnsi="Times New Roman" w:cs="Times New Roman"/>
          <w:sz w:val="22"/>
        </w:rPr>
        <w:t xml:space="preserve"> deals on </w:t>
      </w:r>
      <w:r>
        <w:rPr>
          <w:rFonts w:ascii="Times New Roman" w:hAnsi="Times New Roman" w:cs="Times New Roman"/>
          <w:sz w:val="22"/>
        </w:rPr>
        <w:t>the dividend policy of companies</w:t>
      </w:r>
      <w:r w:rsidRPr="003A1203">
        <w:rPr>
          <w:rFonts w:ascii="Times New Roman" w:hAnsi="Times New Roman" w:cs="Times New Roman"/>
          <w:sz w:val="22"/>
        </w:rPr>
        <w:t xml:space="preserve"> (Wang</w:t>
      </w:r>
      <w:r>
        <w:rPr>
          <w:rFonts w:ascii="Times New Roman" w:hAnsi="Times New Roman" w:cs="Times New Roman"/>
          <w:sz w:val="22"/>
        </w:rPr>
        <w:t xml:space="preserve"> &amp;</w:t>
      </w:r>
      <w:r w:rsidRPr="003A1203">
        <w:rPr>
          <w:rFonts w:ascii="Times New Roman" w:hAnsi="Times New Roman" w:cs="Times New Roman"/>
          <w:sz w:val="22"/>
        </w:rPr>
        <w:t xml:space="preserve"> Guo, 2011).  A natural experiment is an empirical study in which individuals are exposed to unanticipated events</w:t>
      </w:r>
      <w:r w:rsidR="00587A6F">
        <w:rPr>
          <w:rFonts w:ascii="Times New Roman" w:hAnsi="Times New Roman" w:cs="Times New Roman"/>
          <w:sz w:val="22"/>
        </w:rPr>
        <w:t xml:space="preserve"> that assign them randomly to </w:t>
      </w:r>
      <w:r w:rsidRPr="003A1203">
        <w:rPr>
          <w:rFonts w:ascii="Times New Roman" w:hAnsi="Times New Roman" w:cs="Times New Roman"/>
          <w:sz w:val="22"/>
        </w:rPr>
        <w:t>treatment an</w:t>
      </w:r>
      <w:r w:rsidR="00587A6F">
        <w:rPr>
          <w:rFonts w:ascii="Times New Roman" w:hAnsi="Times New Roman" w:cs="Times New Roman"/>
          <w:sz w:val="22"/>
        </w:rPr>
        <w:t xml:space="preserve">d </w:t>
      </w:r>
      <w:r w:rsidRPr="003A1203">
        <w:rPr>
          <w:rFonts w:ascii="Times New Roman" w:hAnsi="Times New Roman" w:cs="Times New Roman"/>
          <w:sz w:val="22"/>
        </w:rPr>
        <w:t>control group</w:t>
      </w:r>
      <w:r w:rsidR="00587A6F">
        <w:rPr>
          <w:rFonts w:ascii="Times New Roman" w:hAnsi="Times New Roman" w:cs="Times New Roman"/>
          <w:sz w:val="22"/>
        </w:rPr>
        <w:t>s</w:t>
      </w:r>
      <w:r w:rsidRPr="003A1203">
        <w:rPr>
          <w:rFonts w:ascii="Times New Roman" w:hAnsi="Times New Roman" w:cs="Times New Roman"/>
          <w:sz w:val="22"/>
        </w:rPr>
        <w:t xml:space="preserve">. This </w:t>
      </w:r>
      <w:r>
        <w:rPr>
          <w:rFonts w:ascii="Times New Roman" w:hAnsi="Times New Roman" w:cs="Times New Roman"/>
          <w:sz w:val="22"/>
        </w:rPr>
        <w:t>is appropriate for the</w:t>
      </w:r>
      <w:r w:rsidRPr="003A1203">
        <w:rPr>
          <w:rFonts w:ascii="Times New Roman" w:hAnsi="Times New Roman" w:cs="Times New Roman"/>
          <w:sz w:val="22"/>
        </w:rPr>
        <w:t xml:space="preserve"> study as the impact being tested is similar to that if unanticipated events were to be realised. Natural experiments are most useful when there has been a clearly defined exposure involving a distinct subpopulation while there has been an absence of that same exposure in a similar subpopulation. The effect of this being such that changes in resulting outcomes can then be reasonably attributed to the particular exposure being tested (Meyer, 1995). This random allocation </w:t>
      </w:r>
      <w:r w:rsidR="00587A6F">
        <w:rPr>
          <w:rFonts w:ascii="Times New Roman" w:hAnsi="Times New Roman" w:cs="Times New Roman"/>
          <w:sz w:val="22"/>
        </w:rPr>
        <w:t xml:space="preserve">resulting from the exposure </w:t>
      </w:r>
      <w:r w:rsidRPr="003A1203">
        <w:rPr>
          <w:rFonts w:ascii="Times New Roman" w:hAnsi="Times New Roman" w:cs="Times New Roman"/>
          <w:sz w:val="22"/>
        </w:rPr>
        <w:t>then allows for a term called c</w:t>
      </w:r>
      <w:r w:rsidR="005A034F">
        <w:rPr>
          <w:rFonts w:ascii="Times New Roman" w:hAnsi="Times New Roman" w:cs="Times New Roman"/>
          <w:sz w:val="22"/>
        </w:rPr>
        <w:t>ausal inference (</w:t>
      </w:r>
      <w:r w:rsidR="00754828">
        <w:rPr>
          <w:rFonts w:ascii="Times New Roman" w:hAnsi="Times New Roman" w:cs="Times New Roman"/>
          <w:sz w:val="22"/>
        </w:rPr>
        <w:t xml:space="preserve">M. </w:t>
      </w:r>
      <w:r w:rsidR="005A034F">
        <w:rPr>
          <w:rFonts w:ascii="Times New Roman" w:hAnsi="Times New Roman" w:cs="Times New Roman"/>
          <w:sz w:val="22"/>
        </w:rPr>
        <w:t>Bertrand</w:t>
      </w:r>
      <w:r w:rsidR="00E8246F">
        <w:rPr>
          <w:rFonts w:ascii="Times New Roman" w:hAnsi="Times New Roman" w:cs="Times New Roman"/>
          <w:sz w:val="22"/>
        </w:rPr>
        <w:t>,</w:t>
      </w:r>
      <w:r w:rsidR="005A034F">
        <w:rPr>
          <w:rFonts w:ascii="Times New Roman" w:hAnsi="Times New Roman" w:cs="Times New Roman"/>
          <w:sz w:val="22"/>
        </w:rPr>
        <w:t xml:space="preserve"> </w:t>
      </w:r>
      <w:r w:rsidR="005A034F" w:rsidRPr="005A034F">
        <w:rPr>
          <w:rFonts w:ascii="Times New Roman" w:hAnsi="Times New Roman" w:cs="Times New Roman"/>
          <w:sz w:val="22"/>
        </w:rPr>
        <w:t>D</w:t>
      </w:r>
      <w:r w:rsidR="005A034F">
        <w:rPr>
          <w:rFonts w:ascii="Times New Roman" w:hAnsi="Times New Roman" w:cs="Times New Roman"/>
          <w:sz w:val="22"/>
        </w:rPr>
        <w:t>uflo</w:t>
      </w:r>
      <w:r w:rsidR="00E8246F">
        <w:rPr>
          <w:rFonts w:ascii="Times New Roman" w:hAnsi="Times New Roman" w:cs="Times New Roman"/>
          <w:sz w:val="22"/>
        </w:rPr>
        <w:t>,</w:t>
      </w:r>
      <w:r w:rsidR="005A034F" w:rsidRPr="005A034F">
        <w:rPr>
          <w:rFonts w:ascii="Times New Roman" w:hAnsi="Times New Roman" w:cs="Times New Roman"/>
          <w:sz w:val="22"/>
        </w:rPr>
        <w:t xml:space="preserve"> &amp; M</w:t>
      </w:r>
      <w:r w:rsidR="005A034F">
        <w:rPr>
          <w:rFonts w:ascii="Times New Roman" w:hAnsi="Times New Roman" w:cs="Times New Roman"/>
          <w:sz w:val="22"/>
        </w:rPr>
        <w:t>ullainathan</w:t>
      </w:r>
      <w:r w:rsidRPr="003A1203">
        <w:rPr>
          <w:rFonts w:ascii="Times New Roman" w:hAnsi="Times New Roman" w:cs="Times New Roman"/>
          <w:sz w:val="22"/>
        </w:rPr>
        <w:t xml:space="preserve">, 2004). </w:t>
      </w:r>
    </w:p>
    <w:p w14:paraId="5BE0DC72" w14:textId="77777777" w:rsidR="006258B4" w:rsidRPr="006258B4"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As the implementation of BBBEE deals were not implemented by all companies in South Africa at the same time, </w:t>
      </w:r>
      <w:r>
        <w:rPr>
          <w:rFonts w:ascii="Times New Roman" w:hAnsi="Times New Roman" w:cs="Times New Roman"/>
          <w:sz w:val="22"/>
        </w:rPr>
        <w:t>this study has been able</w:t>
      </w:r>
      <w:r w:rsidRPr="003A1203">
        <w:rPr>
          <w:rFonts w:ascii="Times New Roman" w:hAnsi="Times New Roman" w:cs="Times New Roman"/>
          <w:sz w:val="22"/>
        </w:rPr>
        <w:t xml:space="preserve"> to clearly </w:t>
      </w:r>
      <w:r>
        <w:rPr>
          <w:rFonts w:ascii="Times New Roman" w:hAnsi="Times New Roman" w:cs="Times New Roman"/>
          <w:sz w:val="22"/>
        </w:rPr>
        <w:t>assign companies by reference to</w:t>
      </w:r>
      <w:r w:rsidRPr="003A1203">
        <w:rPr>
          <w:rFonts w:ascii="Times New Roman" w:hAnsi="Times New Roman" w:cs="Times New Roman"/>
          <w:sz w:val="22"/>
        </w:rPr>
        <w:t xml:space="preserve"> their participation in these types of transactions</w:t>
      </w:r>
      <w:r w:rsidR="00587A6F">
        <w:rPr>
          <w:rFonts w:ascii="Times New Roman" w:hAnsi="Times New Roman" w:cs="Times New Roman"/>
          <w:sz w:val="22"/>
        </w:rPr>
        <w:t>,</w:t>
      </w:r>
      <w:r w:rsidRPr="003A1203">
        <w:rPr>
          <w:rFonts w:ascii="Times New Roman" w:hAnsi="Times New Roman" w:cs="Times New Roman"/>
          <w:sz w:val="22"/>
        </w:rPr>
        <w:t xml:space="preserve"> and to ei</w:t>
      </w:r>
      <w:r w:rsidR="00587A6F">
        <w:rPr>
          <w:rFonts w:ascii="Times New Roman" w:hAnsi="Times New Roman" w:cs="Times New Roman"/>
          <w:sz w:val="22"/>
        </w:rPr>
        <w:t>ther a treatment or control group</w:t>
      </w:r>
      <w:r w:rsidRPr="003A1203">
        <w:rPr>
          <w:rFonts w:ascii="Times New Roman" w:hAnsi="Times New Roman" w:cs="Times New Roman"/>
          <w:sz w:val="22"/>
        </w:rPr>
        <w:t xml:space="preserve">. </w:t>
      </w:r>
      <w:r>
        <w:rPr>
          <w:rFonts w:ascii="Times New Roman" w:hAnsi="Times New Roman" w:cs="Times New Roman"/>
          <w:sz w:val="22"/>
        </w:rPr>
        <w:t xml:space="preserve">Companies </w:t>
      </w:r>
      <w:r w:rsidRPr="003A1203">
        <w:rPr>
          <w:rFonts w:ascii="Times New Roman" w:hAnsi="Times New Roman" w:cs="Times New Roman"/>
          <w:sz w:val="22"/>
        </w:rPr>
        <w:t xml:space="preserve">which initiated and took part in </w:t>
      </w:r>
      <w:r>
        <w:rPr>
          <w:rFonts w:ascii="Times New Roman" w:hAnsi="Times New Roman" w:cs="Times New Roman"/>
          <w:sz w:val="22"/>
        </w:rPr>
        <w:t xml:space="preserve">BBEEE </w:t>
      </w:r>
      <w:r w:rsidRPr="003A1203">
        <w:rPr>
          <w:rFonts w:ascii="Times New Roman" w:hAnsi="Times New Roman" w:cs="Times New Roman"/>
          <w:sz w:val="22"/>
        </w:rPr>
        <w:t xml:space="preserve">deals </w:t>
      </w:r>
      <w:r>
        <w:rPr>
          <w:rFonts w:ascii="Times New Roman" w:hAnsi="Times New Roman" w:cs="Times New Roman"/>
          <w:sz w:val="22"/>
        </w:rPr>
        <w:t xml:space="preserve">(see definitions section in Chapter 1) </w:t>
      </w:r>
      <w:r w:rsidR="003758A2">
        <w:rPr>
          <w:rFonts w:ascii="Times New Roman" w:hAnsi="Times New Roman" w:cs="Times New Roman"/>
          <w:sz w:val="22"/>
        </w:rPr>
        <w:t>between 1999 and 2006</w:t>
      </w:r>
      <w:r w:rsidRPr="003A1203">
        <w:rPr>
          <w:rFonts w:ascii="Times New Roman" w:hAnsi="Times New Roman" w:cs="Times New Roman"/>
          <w:sz w:val="22"/>
        </w:rPr>
        <w:t xml:space="preserve"> </w:t>
      </w:r>
      <w:r>
        <w:rPr>
          <w:rFonts w:ascii="Times New Roman" w:hAnsi="Times New Roman" w:cs="Times New Roman"/>
          <w:sz w:val="22"/>
        </w:rPr>
        <w:t>have been designated as part of the treatment group</w:t>
      </w:r>
      <w:r w:rsidRPr="003A1203">
        <w:rPr>
          <w:rFonts w:ascii="Times New Roman" w:hAnsi="Times New Roman" w:cs="Times New Roman"/>
          <w:sz w:val="22"/>
        </w:rPr>
        <w:t>,</w:t>
      </w:r>
      <w:r>
        <w:rPr>
          <w:rFonts w:ascii="Times New Roman" w:hAnsi="Times New Roman" w:cs="Times New Roman"/>
          <w:sz w:val="22"/>
        </w:rPr>
        <w:t xml:space="preserve"> and amount to a total of 13</w:t>
      </w:r>
      <w:r w:rsidR="00587A6F">
        <w:rPr>
          <w:rFonts w:ascii="Times New Roman" w:hAnsi="Times New Roman" w:cs="Times New Roman"/>
          <w:sz w:val="22"/>
        </w:rPr>
        <w:t>9 observations across all years. On the other hand,</w:t>
      </w:r>
      <w:r w:rsidRPr="006258B4">
        <w:rPr>
          <w:rFonts w:ascii="Times New Roman" w:hAnsi="Times New Roman" w:cs="Times New Roman"/>
          <w:sz w:val="22"/>
        </w:rPr>
        <w:t xml:space="preserve"> those that didn’t were categorised as part of the control group</w:t>
      </w:r>
      <w:r w:rsidR="003758A2">
        <w:rPr>
          <w:rFonts w:ascii="Times New Roman" w:hAnsi="Times New Roman" w:cs="Times New Roman"/>
          <w:sz w:val="22"/>
        </w:rPr>
        <w:t xml:space="preserve"> and total</w:t>
      </w:r>
      <w:r w:rsidR="00587A6F">
        <w:rPr>
          <w:rFonts w:ascii="Times New Roman" w:hAnsi="Times New Roman" w:cs="Times New Roman"/>
          <w:sz w:val="22"/>
        </w:rPr>
        <w:t>led</w:t>
      </w:r>
      <w:r w:rsidRPr="006258B4">
        <w:rPr>
          <w:rFonts w:ascii="Times New Roman" w:hAnsi="Times New Roman" w:cs="Times New Roman"/>
          <w:sz w:val="22"/>
        </w:rPr>
        <w:t xml:space="preserve"> an amount of 493 observations across all years.</w:t>
      </w:r>
    </w:p>
    <w:p w14:paraId="5C75DCE6" w14:textId="77777777" w:rsidR="006258B4" w:rsidRPr="003A1203" w:rsidRDefault="003758A2" w:rsidP="00536234">
      <w:pPr>
        <w:spacing w:line="480" w:lineRule="auto"/>
        <w:ind w:left="0"/>
        <w:rPr>
          <w:rFonts w:ascii="Times New Roman" w:hAnsi="Times New Roman" w:cs="Times New Roman"/>
          <w:sz w:val="22"/>
        </w:rPr>
      </w:pPr>
      <w:r>
        <w:rPr>
          <w:rFonts w:ascii="Times New Roman" w:hAnsi="Times New Roman" w:cs="Times New Roman"/>
          <w:sz w:val="22"/>
        </w:rPr>
        <w:t xml:space="preserve">Panel data multiple regression models were </w:t>
      </w:r>
      <w:r w:rsidR="006258B4" w:rsidRPr="006258B4">
        <w:rPr>
          <w:rFonts w:ascii="Times New Roman" w:hAnsi="Times New Roman" w:cs="Times New Roman"/>
          <w:sz w:val="22"/>
        </w:rPr>
        <w:t>used to determine the significance of BBBEE deals in impacting the dividend pay-out ratios of companies in</w:t>
      </w:r>
      <w:r w:rsidR="006258B4" w:rsidRPr="003A1203">
        <w:rPr>
          <w:rFonts w:ascii="Times New Roman" w:hAnsi="Times New Roman" w:cs="Times New Roman"/>
          <w:sz w:val="22"/>
        </w:rPr>
        <w:t xml:space="preserve"> South A</w:t>
      </w:r>
      <w:r>
        <w:rPr>
          <w:rFonts w:ascii="Times New Roman" w:hAnsi="Times New Roman" w:cs="Times New Roman"/>
          <w:sz w:val="22"/>
        </w:rPr>
        <w:t>f</w:t>
      </w:r>
      <w:r w:rsidR="006258B4" w:rsidRPr="003A1203">
        <w:rPr>
          <w:rFonts w:ascii="Times New Roman" w:hAnsi="Times New Roman" w:cs="Times New Roman"/>
          <w:sz w:val="22"/>
        </w:rPr>
        <w:t>rica</w:t>
      </w:r>
      <w:r w:rsidR="006258B4">
        <w:rPr>
          <w:rFonts w:ascii="Times New Roman" w:hAnsi="Times New Roman" w:cs="Times New Roman"/>
          <w:sz w:val="22"/>
        </w:rPr>
        <w:t xml:space="preserve">, while controlling for other major determinant of dividend policy </w:t>
      </w:r>
      <w:r w:rsidR="006258B4" w:rsidRPr="00517C9B">
        <w:rPr>
          <w:rFonts w:ascii="Times New Roman" w:hAnsi="Times New Roman" w:cs="Times New Roman"/>
          <w:sz w:val="22"/>
        </w:rPr>
        <w:t>(Wang &amp; Guo, 2011)</w:t>
      </w:r>
      <w:r w:rsidR="006258B4" w:rsidRPr="003A1203">
        <w:rPr>
          <w:rFonts w:ascii="Times New Roman" w:hAnsi="Times New Roman" w:cs="Times New Roman"/>
          <w:sz w:val="22"/>
        </w:rPr>
        <w:t xml:space="preserve">.  </w:t>
      </w:r>
    </w:p>
    <w:p w14:paraId="30A85B71" w14:textId="77777777" w:rsidR="00587A6F" w:rsidRDefault="00587A6F" w:rsidP="00536234">
      <w:pPr>
        <w:spacing w:line="480" w:lineRule="auto"/>
        <w:ind w:left="0"/>
        <w:rPr>
          <w:rFonts w:ascii="Times New Roman" w:hAnsi="Times New Roman" w:cs="Times New Roman"/>
          <w:sz w:val="22"/>
        </w:rPr>
      </w:pPr>
    </w:p>
    <w:p w14:paraId="45C8C981"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lastRenderedPageBreak/>
        <w:t xml:space="preserve"> Th</w:t>
      </w:r>
      <w:r>
        <w:rPr>
          <w:rFonts w:ascii="Times New Roman" w:hAnsi="Times New Roman" w:cs="Times New Roman"/>
          <w:sz w:val="22"/>
        </w:rPr>
        <w:t>e</w:t>
      </w:r>
      <w:r w:rsidRPr="003A1203">
        <w:rPr>
          <w:rFonts w:ascii="Times New Roman" w:hAnsi="Times New Roman" w:cs="Times New Roman"/>
          <w:sz w:val="22"/>
        </w:rPr>
        <w:t xml:space="preserve"> model used </w:t>
      </w:r>
      <w:r>
        <w:rPr>
          <w:rFonts w:ascii="Times New Roman" w:hAnsi="Times New Roman" w:cs="Times New Roman"/>
          <w:sz w:val="22"/>
        </w:rPr>
        <w:t>can be</w:t>
      </w:r>
      <w:r w:rsidRPr="003A1203">
        <w:rPr>
          <w:rFonts w:ascii="Times New Roman" w:hAnsi="Times New Roman" w:cs="Times New Roman"/>
          <w:sz w:val="22"/>
        </w:rPr>
        <w:t xml:space="preserve"> represented </w:t>
      </w:r>
      <w:r>
        <w:rPr>
          <w:rFonts w:ascii="Times New Roman" w:hAnsi="Times New Roman" w:cs="Times New Roman"/>
          <w:sz w:val="22"/>
        </w:rPr>
        <w:t xml:space="preserve">by </w:t>
      </w:r>
      <w:r w:rsidRPr="003A1203">
        <w:rPr>
          <w:rFonts w:ascii="Times New Roman" w:hAnsi="Times New Roman" w:cs="Times New Roman"/>
          <w:sz w:val="22"/>
        </w:rPr>
        <w:t>the formula</w:t>
      </w:r>
      <w:r>
        <w:rPr>
          <w:rFonts w:ascii="Times New Roman" w:hAnsi="Times New Roman" w:cs="Times New Roman"/>
          <w:sz w:val="22"/>
        </w:rPr>
        <w:t xml:space="preserve"> described</w:t>
      </w:r>
      <w:r w:rsidRPr="003A1203">
        <w:rPr>
          <w:rFonts w:ascii="Times New Roman" w:hAnsi="Times New Roman" w:cs="Times New Roman"/>
          <w:sz w:val="22"/>
        </w:rPr>
        <w:t xml:space="preserve"> below: </w:t>
      </w:r>
    </w:p>
    <w:p w14:paraId="42E73055" w14:textId="49AC571E" w:rsidR="006258B4" w:rsidRPr="00A12781" w:rsidRDefault="005961C9" w:rsidP="00536234">
      <w:pPr>
        <w:spacing w:line="480" w:lineRule="auto"/>
        <w:ind w:left="0" w:firstLine="0"/>
        <w:rPr>
          <w:rFonts w:ascii="Times New Roman" w:hAnsi="Times New Roman" w:cs="Times New Roman"/>
          <w:sz w:val="20"/>
        </w:rPr>
      </w:pPr>
      <w:r>
        <w:rPr>
          <w:rFonts w:ascii="Times New Roman" w:hAnsi="Times New Roman" w:cs="Times New Roman"/>
          <w:sz w:val="20"/>
        </w:rPr>
        <w:t>DPR</w:t>
      </w:r>
      <w:r w:rsidRPr="005961C9">
        <w:rPr>
          <w:rFonts w:ascii="Times New Roman" w:hAnsi="Times New Roman" w:cs="Times New Roman"/>
          <w:sz w:val="20"/>
          <w:vertAlign w:val="subscript"/>
        </w:rPr>
        <w:t>it</w:t>
      </w:r>
      <w:r>
        <w:rPr>
          <w:rFonts w:ascii="Times New Roman" w:hAnsi="Times New Roman" w:cs="Times New Roman"/>
          <w:sz w:val="20"/>
        </w:rPr>
        <w:t xml:space="preserve"> = α</w:t>
      </w:r>
      <w:r w:rsidRPr="005961C9">
        <w:rPr>
          <w:rFonts w:ascii="Times New Roman" w:hAnsi="Times New Roman" w:cs="Times New Roman"/>
          <w:sz w:val="20"/>
          <w:vertAlign w:val="subscript"/>
        </w:rPr>
        <w:t>it</w:t>
      </w:r>
      <w:r>
        <w:rPr>
          <w:rFonts w:ascii="Times New Roman" w:hAnsi="Times New Roman" w:cs="Times New Roman"/>
          <w:sz w:val="20"/>
        </w:rPr>
        <w:t xml:space="preserve"> + β1*Deal</w:t>
      </w:r>
      <w:r w:rsidR="006258B4" w:rsidRPr="005961C9">
        <w:rPr>
          <w:rFonts w:ascii="Times New Roman" w:hAnsi="Times New Roman" w:cs="Times New Roman"/>
          <w:sz w:val="20"/>
          <w:vertAlign w:val="subscript"/>
        </w:rPr>
        <w:t>it</w:t>
      </w:r>
      <w:r>
        <w:rPr>
          <w:rFonts w:ascii="Times New Roman" w:hAnsi="Times New Roman" w:cs="Times New Roman"/>
          <w:sz w:val="20"/>
        </w:rPr>
        <w:t xml:space="preserve"> + β2*Size</w:t>
      </w:r>
      <w:r w:rsidR="006258B4" w:rsidRPr="005961C9">
        <w:rPr>
          <w:rFonts w:ascii="Times New Roman" w:hAnsi="Times New Roman" w:cs="Times New Roman"/>
          <w:sz w:val="20"/>
          <w:vertAlign w:val="subscript"/>
        </w:rPr>
        <w:t>it</w:t>
      </w:r>
      <w:r w:rsidR="006258B4" w:rsidRPr="00A12781">
        <w:rPr>
          <w:rFonts w:ascii="Times New Roman" w:hAnsi="Times New Roman" w:cs="Times New Roman"/>
          <w:sz w:val="20"/>
        </w:rPr>
        <w:t xml:space="preserve"> + β3*</w:t>
      </w:r>
      <w:r>
        <w:rPr>
          <w:rFonts w:ascii="Times New Roman" w:hAnsi="Times New Roman" w:cs="Times New Roman"/>
          <w:sz w:val="20"/>
        </w:rPr>
        <w:t>Capital Structure</w:t>
      </w:r>
      <w:r w:rsidR="006258B4" w:rsidRPr="005961C9">
        <w:rPr>
          <w:rFonts w:ascii="Times New Roman" w:hAnsi="Times New Roman" w:cs="Times New Roman"/>
          <w:sz w:val="20"/>
          <w:vertAlign w:val="subscript"/>
        </w:rPr>
        <w:t>it</w:t>
      </w:r>
      <w:r w:rsidR="006258B4" w:rsidRPr="00A12781">
        <w:rPr>
          <w:rFonts w:ascii="Times New Roman" w:hAnsi="Times New Roman" w:cs="Times New Roman"/>
          <w:sz w:val="20"/>
        </w:rPr>
        <w:t xml:space="preserve"> + β4*Growth</w:t>
      </w:r>
      <w:r w:rsidR="006258B4" w:rsidRPr="005961C9">
        <w:rPr>
          <w:rFonts w:ascii="Times New Roman" w:hAnsi="Times New Roman" w:cs="Times New Roman"/>
          <w:sz w:val="20"/>
          <w:vertAlign w:val="subscript"/>
        </w:rPr>
        <w:t>it</w:t>
      </w:r>
      <w:r w:rsidR="006258B4" w:rsidRPr="00A12781">
        <w:rPr>
          <w:rFonts w:ascii="Times New Roman" w:hAnsi="Times New Roman" w:cs="Times New Roman"/>
          <w:sz w:val="20"/>
        </w:rPr>
        <w:t xml:space="preserve"> + β5*</w:t>
      </w:r>
      <w:r>
        <w:rPr>
          <w:rFonts w:ascii="Times New Roman" w:hAnsi="Times New Roman" w:cs="Times New Roman"/>
          <w:sz w:val="20"/>
        </w:rPr>
        <w:t>Liquidity</w:t>
      </w:r>
      <w:r w:rsidR="006258B4" w:rsidRPr="005961C9">
        <w:rPr>
          <w:rFonts w:ascii="Times New Roman" w:hAnsi="Times New Roman" w:cs="Times New Roman"/>
          <w:sz w:val="20"/>
          <w:vertAlign w:val="subscript"/>
        </w:rPr>
        <w:t>it</w:t>
      </w:r>
      <w:r w:rsidR="006258B4" w:rsidRPr="00A12781">
        <w:rPr>
          <w:rFonts w:ascii="Times New Roman" w:hAnsi="Times New Roman" w:cs="Times New Roman"/>
          <w:sz w:val="20"/>
        </w:rPr>
        <w:t xml:space="preserve"> +</w:t>
      </w:r>
      <w:r w:rsidR="006258B4" w:rsidRPr="00A12781">
        <w:rPr>
          <w:sz w:val="22"/>
        </w:rPr>
        <w:t xml:space="preserve"> </w:t>
      </w:r>
      <w:r>
        <w:rPr>
          <w:rFonts w:ascii="Times New Roman" w:hAnsi="Times New Roman" w:cs="Times New Roman"/>
          <w:sz w:val="20"/>
        </w:rPr>
        <w:t>β6*Prof</w:t>
      </w:r>
      <w:r w:rsidRPr="005961C9">
        <w:rPr>
          <w:rFonts w:ascii="Times New Roman" w:hAnsi="Times New Roman" w:cs="Times New Roman"/>
          <w:sz w:val="20"/>
          <w:vertAlign w:val="subscript"/>
        </w:rPr>
        <w:t>it</w:t>
      </w:r>
      <w:r>
        <w:rPr>
          <w:rFonts w:ascii="Times New Roman" w:hAnsi="Times New Roman" w:cs="Times New Roman"/>
          <w:sz w:val="20"/>
        </w:rPr>
        <w:t xml:space="preserve"> + β7*Sector</w:t>
      </w:r>
      <w:r w:rsidR="006258B4" w:rsidRPr="00A12781">
        <w:rPr>
          <w:rFonts w:ascii="Times New Roman" w:hAnsi="Times New Roman" w:cs="Times New Roman"/>
          <w:sz w:val="20"/>
        </w:rPr>
        <w:t xml:space="preserve">+ ε  </w:t>
      </w:r>
    </w:p>
    <w:p w14:paraId="3A35F7E2" w14:textId="77777777" w:rsidR="006258B4"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A s</w:t>
      </w:r>
      <w:r w:rsidRPr="003A1203">
        <w:rPr>
          <w:rFonts w:ascii="Times New Roman" w:hAnsi="Times New Roman" w:cs="Times New Roman"/>
          <w:sz w:val="22"/>
        </w:rPr>
        <w:t>ummary of Model Variables and Supporting Explanations</w:t>
      </w:r>
      <w:r>
        <w:rPr>
          <w:rFonts w:ascii="Times New Roman" w:hAnsi="Times New Roman" w:cs="Times New Roman"/>
          <w:sz w:val="22"/>
        </w:rPr>
        <w:t xml:space="preserve"> has been tabulated below</w:t>
      </w:r>
      <w:r w:rsidRPr="003A1203">
        <w:rPr>
          <w:rFonts w:ascii="Times New Roman" w:hAnsi="Times New Roman" w:cs="Times New Roman"/>
          <w:sz w:val="22"/>
        </w:rPr>
        <w:t>:</w:t>
      </w:r>
    </w:p>
    <w:p w14:paraId="3E07C4FE" w14:textId="77777777" w:rsidR="00BB4887" w:rsidRDefault="00BB4887" w:rsidP="00536234">
      <w:pPr>
        <w:ind w:left="0"/>
        <w:rPr>
          <w:rFonts w:ascii="Times New Roman" w:hAnsi="Times New Roman" w:cs="Times New Roman"/>
          <w:b/>
          <w:sz w:val="22"/>
          <w:u w:val="single"/>
        </w:rPr>
      </w:pPr>
    </w:p>
    <w:p w14:paraId="4B1D150C" w14:textId="77777777" w:rsidR="00BB4887" w:rsidRDefault="00BB4887" w:rsidP="00BB4887">
      <w:pPr>
        <w:ind w:left="0"/>
        <w:rPr>
          <w:rFonts w:ascii="Times New Roman" w:hAnsi="Times New Roman" w:cs="Times New Roman"/>
          <w:b/>
          <w:sz w:val="22"/>
          <w:u w:val="single"/>
        </w:rPr>
      </w:pPr>
      <w:r>
        <w:rPr>
          <w:rFonts w:ascii="Times New Roman" w:hAnsi="Times New Roman" w:cs="Times New Roman"/>
          <w:b/>
          <w:sz w:val="22"/>
          <w:u w:val="single"/>
        </w:rPr>
        <w:t>Table 1-Model Variables and Definitions</w:t>
      </w:r>
      <w:r w:rsidRPr="00B56DC0">
        <w:rPr>
          <w:rFonts w:ascii="Times New Roman" w:hAnsi="Times New Roman" w:cs="Times New Roman"/>
          <w:b/>
          <w:sz w:val="22"/>
          <w:u w:val="single"/>
        </w:rPr>
        <w:t>:</w:t>
      </w:r>
    </w:p>
    <w:p w14:paraId="35BD3FDB" w14:textId="77777777" w:rsidR="00BB4887" w:rsidRDefault="00BB4887" w:rsidP="00536234">
      <w:pPr>
        <w:ind w:left="0"/>
        <w:rPr>
          <w:rFonts w:ascii="Times New Roman" w:hAnsi="Times New Roman" w:cs="Times New Roman"/>
          <w:b/>
          <w:sz w:val="22"/>
          <w:u w:val="single"/>
        </w:rPr>
      </w:pPr>
    </w:p>
    <w:p w14:paraId="1686DEC1" w14:textId="77777777" w:rsidR="00587A6F" w:rsidRPr="00587A6F" w:rsidRDefault="00587A6F" w:rsidP="00587A6F">
      <w:pPr>
        <w:tabs>
          <w:tab w:val="left" w:pos="1176"/>
        </w:tabs>
        <w:rPr>
          <w:rFonts w:ascii="Times New Roman" w:hAnsi="Times New Roman" w:cs="Times New Roman"/>
          <w:sz w:val="22"/>
        </w:rPr>
      </w:pPr>
    </w:p>
    <w:tbl>
      <w:tblPr>
        <w:tblpPr w:leftFromText="180" w:rightFromText="180" w:vertAnchor="text" w:horzAnchor="margin" w:tblpXSpec="center" w:tblpY="-543"/>
        <w:tblW w:w="9075" w:type="dxa"/>
        <w:tblCellMar>
          <w:top w:w="7" w:type="dxa"/>
          <w:left w:w="74" w:type="dxa"/>
          <w:right w:w="65" w:type="dxa"/>
        </w:tblCellMar>
        <w:tblLook w:val="04A0" w:firstRow="1" w:lastRow="0" w:firstColumn="1" w:lastColumn="0" w:noHBand="0" w:noVBand="1"/>
      </w:tblPr>
      <w:tblGrid>
        <w:gridCol w:w="1191"/>
        <w:gridCol w:w="1755"/>
        <w:gridCol w:w="3196"/>
        <w:gridCol w:w="1464"/>
        <w:gridCol w:w="1469"/>
      </w:tblGrid>
      <w:tr w:rsidR="006258B4" w:rsidRPr="003A1203" w14:paraId="740CE64D" w14:textId="77777777" w:rsidTr="008463F8">
        <w:trPr>
          <w:trHeight w:val="562"/>
        </w:trPr>
        <w:tc>
          <w:tcPr>
            <w:tcW w:w="1191" w:type="dxa"/>
            <w:tcBorders>
              <w:top w:val="single" w:sz="4" w:space="0" w:color="000000"/>
              <w:left w:val="single" w:sz="4" w:space="0" w:color="000000"/>
              <w:bottom w:val="single" w:sz="4" w:space="0" w:color="000000"/>
              <w:right w:val="nil"/>
            </w:tcBorders>
            <w:shd w:val="clear" w:color="auto" w:fill="BDD6EE" w:themeFill="accent1" w:themeFillTint="66"/>
            <w:vAlign w:val="center"/>
          </w:tcPr>
          <w:p w14:paraId="4F1C3D7F" w14:textId="77777777" w:rsidR="006258B4" w:rsidRPr="003A1203" w:rsidRDefault="006258B4" w:rsidP="00536234">
            <w:pPr>
              <w:spacing w:after="160" w:line="360" w:lineRule="auto"/>
              <w:ind w:left="0"/>
              <w:rPr>
                <w:rFonts w:ascii="Times New Roman" w:hAnsi="Times New Roman" w:cs="Times New Roman"/>
                <w:sz w:val="18"/>
              </w:rPr>
            </w:pPr>
          </w:p>
        </w:tc>
        <w:tc>
          <w:tcPr>
            <w:tcW w:w="4951" w:type="dxa"/>
            <w:gridSpan w:val="2"/>
            <w:tcBorders>
              <w:top w:val="single" w:sz="4" w:space="0" w:color="000000"/>
              <w:left w:val="nil"/>
              <w:bottom w:val="single" w:sz="4" w:space="0" w:color="000000"/>
              <w:right w:val="nil"/>
            </w:tcBorders>
            <w:shd w:val="clear" w:color="auto" w:fill="BDD6EE" w:themeFill="accent1" w:themeFillTint="66"/>
            <w:vAlign w:val="center"/>
          </w:tcPr>
          <w:p w14:paraId="09701D00" w14:textId="77777777" w:rsidR="006258B4" w:rsidRPr="004B4581" w:rsidRDefault="006258B4" w:rsidP="00536234">
            <w:pPr>
              <w:spacing w:after="103" w:line="360" w:lineRule="auto"/>
              <w:ind w:left="0"/>
              <w:rPr>
                <w:rFonts w:ascii="Times New Roman" w:hAnsi="Times New Roman" w:cs="Times New Roman"/>
                <w:sz w:val="22"/>
              </w:rPr>
            </w:pPr>
            <w:r w:rsidRPr="004B4581">
              <w:rPr>
                <w:rFonts w:ascii="Times New Roman" w:hAnsi="Times New Roman" w:cs="Times New Roman"/>
                <w:b/>
                <w:sz w:val="22"/>
              </w:rPr>
              <w:t xml:space="preserve"> </w:t>
            </w:r>
          </w:p>
          <w:p w14:paraId="2D153B5A" w14:textId="77777777" w:rsidR="006258B4" w:rsidRPr="004B4581" w:rsidRDefault="006258B4" w:rsidP="00536234">
            <w:pPr>
              <w:spacing w:line="360" w:lineRule="auto"/>
              <w:ind w:left="0"/>
              <w:jc w:val="center"/>
              <w:rPr>
                <w:rFonts w:ascii="Times New Roman" w:hAnsi="Times New Roman" w:cs="Times New Roman"/>
                <w:sz w:val="22"/>
              </w:rPr>
            </w:pPr>
            <w:r>
              <w:rPr>
                <w:rFonts w:ascii="Times New Roman" w:hAnsi="Times New Roman" w:cs="Times New Roman"/>
                <w:b/>
                <w:sz w:val="22"/>
              </w:rPr>
              <w:t xml:space="preserve">                 </w:t>
            </w:r>
            <w:r w:rsidRPr="004B4581">
              <w:rPr>
                <w:rFonts w:ascii="Times New Roman" w:hAnsi="Times New Roman" w:cs="Times New Roman"/>
                <w:b/>
                <w:sz w:val="22"/>
              </w:rPr>
              <w:t>Model variables and definitions</w:t>
            </w:r>
          </w:p>
        </w:tc>
        <w:tc>
          <w:tcPr>
            <w:tcW w:w="2933" w:type="dxa"/>
            <w:gridSpan w:val="2"/>
            <w:tcBorders>
              <w:top w:val="single" w:sz="4" w:space="0" w:color="000000"/>
              <w:left w:val="nil"/>
              <w:bottom w:val="single" w:sz="4" w:space="0" w:color="000000"/>
              <w:right w:val="single" w:sz="4" w:space="0" w:color="000000"/>
            </w:tcBorders>
            <w:shd w:val="clear" w:color="auto" w:fill="BDD6EE" w:themeFill="accent1" w:themeFillTint="66"/>
            <w:vAlign w:val="center"/>
          </w:tcPr>
          <w:p w14:paraId="2292C7EF" w14:textId="77777777" w:rsidR="006258B4" w:rsidRPr="003A1203" w:rsidRDefault="006258B4" w:rsidP="00536234">
            <w:pPr>
              <w:spacing w:line="360" w:lineRule="auto"/>
              <w:ind w:left="0"/>
              <w:rPr>
                <w:rFonts w:ascii="Times New Roman" w:hAnsi="Times New Roman" w:cs="Times New Roman"/>
                <w:sz w:val="20"/>
              </w:rPr>
            </w:pPr>
          </w:p>
        </w:tc>
      </w:tr>
      <w:tr w:rsidR="006258B4" w:rsidRPr="003A1203" w14:paraId="19061D8E" w14:textId="77777777" w:rsidTr="008463F8">
        <w:trPr>
          <w:trHeight w:val="900"/>
        </w:trPr>
        <w:tc>
          <w:tcPr>
            <w:tcW w:w="1191" w:type="dxa"/>
            <w:tcBorders>
              <w:top w:val="single" w:sz="4" w:space="0" w:color="000000"/>
              <w:left w:val="single" w:sz="4" w:space="0" w:color="000000"/>
              <w:bottom w:val="single" w:sz="4" w:space="0" w:color="000000"/>
              <w:right w:val="single" w:sz="4" w:space="0" w:color="000000"/>
            </w:tcBorders>
            <w:vAlign w:val="center"/>
          </w:tcPr>
          <w:p w14:paraId="2DEC06F1"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b/>
                <w:sz w:val="20"/>
              </w:rPr>
              <w:t>Variable</w:t>
            </w:r>
          </w:p>
        </w:tc>
        <w:tc>
          <w:tcPr>
            <w:tcW w:w="1755" w:type="dxa"/>
            <w:tcBorders>
              <w:top w:val="single" w:sz="4" w:space="0" w:color="000000"/>
              <w:left w:val="single" w:sz="4" w:space="0" w:color="000000"/>
              <w:bottom w:val="single" w:sz="4" w:space="0" w:color="000000"/>
              <w:right w:val="single" w:sz="4" w:space="0" w:color="000000"/>
            </w:tcBorders>
            <w:vAlign w:val="center"/>
          </w:tcPr>
          <w:p w14:paraId="52D325D7"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b/>
                <w:sz w:val="20"/>
              </w:rPr>
              <w:t>Definition</w:t>
            </w:r>
          </w:p>
        </w:tc>
        <w:tc>
          <w:tcPr>
            <w:tcW w:w="3196" w:type="dxa"/>
            <w:tcBorders>
              <w:top w:val="single" w:sz="4" w:space="0" w:color="000000"/>
              <w:left w:val="single" w:sz="4" w:space="0" w:color="000000"/>
              <w:bottom w:val="single" w:sz="4" w:space="0" w:color="000000"/>
              <w:right w:val="single" w:sz="4" w:space="0" w:color="000000"/>
            </w:tcBorders>
            <w:vAlign w:val="center"/>
          </w:tcPr>
          <w:p w14:paraId="095F7E3A"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b/>
                <w:sz w:val="20"/>
              </w:rPr>
              <w:t>Additional information</w:t>
            </w:r>
          </w:p>
        </w:tc>
        <w:tc>
          <w:tcPr>
            <w:tcW w:w="1464" w:type="dxa"/>
            <w:tcBorders>
              <w:top w:val="single" w:sz="4" w:space="0" w:color="000000"/>
              <w:left w:val="single" w:sz="4" w:space="0" w:color="000000"/>
              <w:bottom w:val="single" w:sz="4" w:space="0" w:color="000000"/>
              <w:right w:val="single" w:sz="4" w:space="0" w:color="000000"/>
            </w:tcBorders>
            <w:vAlign w:val="center"/>
          </w:tcPr>
          <w:p w14:paraId="2F7A37BC"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b/>
                <w:sz w:val="20"/>
              </w:rPr>
              <w:t>Type of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7EB8F7C4" w14:textId="77777777" w:rsidR="006258B4" w:rsidRPr="003A1203" w:rsidRDefault="006258B4" w:rsidP="00536234">
            <w:pPr>
              <w:spacing w:line="360" w:lineRule="auto"/>
              <w:ind w:left="0"/>
              <w:jc w:val="center"/>
              <w:rPr>
                <w:rFonts w:ascii="Times New Roman" w:hAnsi="Times New Roman" w:cs="Times New Roman"/>
                <w:b/>
                <w:sz w:val="20"/>
              </w:rPr>
            </w:pPr>
            <w:r w:rsidRPr="003A1203">
              <w:rPr>
                <w:rFonts w:ascii="Times New Roman" w:hAnsi="Times New Roman" w:cs="Times New Roman"/>
                <w:b/>
                <w:sz w:val="20"/>
              </w:rPr>
              <w:t>References for Measurement Determinants</w:t>
            </w:r>
          </w:p>
        </w:tc>
      </w:tr>
      <w:tr w:rsidR="006258B4" w:rsidRPr="003A1203" w14:paraId="713D8EDC" w14:textId="77777777" w:rsidTr="008463F8">
        <w:trPr>
          <w:trHeight w:val="1073"/>
        </w:trPr>
        <w:tc>
          <w:tcPr>
            <w:tcW w:w="1191" w:type="dxa"/>
            <w:tcBorders>
              <w:top w:val="single" w:sz="4" w:space="0" w:color="000000"/>
              <w:left w:val="single" w:sz="4" w:space="0" w:color="000000"/>
              <w:bottom w:val="single" w:sz="4" w:space="0" w:color="000000"/>
              <w:right w:val="single" w:sz="4" w:space="0" w:color="000000"/>
            </w:tcBorders>
            <w:vAlign w:val="center"/>
          </w:tcPr>
          <w:p w14:paraId="1AA89419"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DPR</w:t>
            </w:r>
          </w:p>
        </w:tc>
        <w:tc>
          <w:tcPr>
            <w:tcW w:w="1755" w:type="dxa"/>
            <w:tcBorders>
              <w:top w:val="single" w:sz="4" w:space="0" w:color="000000"/>
              <w:left w:val="single" w:sz="4" w:space="0" w:color="000000"/>
              <w:bottom w:val="single" w:sz="4" w:space="0" w:color="000000"/>
              <w:right w:val="single" w:sz="4" w:space="0" w:color="000000"/>
            </w:tcBorders>
            <w:vAlign w:val="center"/>
          </w:tcPr>
          <w:p w14:paraId="50464FCF" w14:textId="77777777" w:rsidR="006258B4" w:rsidRPr="003A1203" w:rsidRDefault="006258B4" w:rsidP="00536234">
            <w:pPr>
              <w:spacing w:after="96" w:line="360" w:lineRule="auto"/>
              <w:ind w:left="0"/>
              <w:jc w:val="center"/>
              <w:rPr>
                <w:rFonts w:ascii="Times New Roman" w:hAnsi="Times New Roman" w:cs="Times New Roman"/>
                <w:sz w:val="20"/>
              </w:rPr>
            </w:pPr>
            <w:r w:rsidRPr="003A1203">
              <w:rPr>
                <w:rFonts w:ascii="Times New Roman" w:hAnsi="Times New Roman" w:cs="Times New Roman"/>
                <w:sz w:val="20"/>
              </w:rPr>
              <w:t>Dividend Pay-out Ratio (%)</w:t>
            </w:r>
          </w:p>
        </w:tc>
        <w:tc>
          <w:tcPr>
            <w:tcW w:w="3196" w:type="dxa"/>
            <w:tcBorders>
              <w:top w:val="single" w:sz="4" w:space="0" w:color="000000"/>
              <w:left w:val="single" w:sz="4" w:space="0" w:color="000000"/>
              <w:bottom w:val="single" w:sz="4" w:space="0" w:color="000000"/>
              <w:right w:val="single" w:sz="4" w:space="0" w:color="000000"/>
            </w:tcBorders>
            <w:vAlign w:val="center"/>
          </w:tcPr>
          <w:p w14:paraId="3470920A"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DPS/EPS</w:t>
            </w:r>
          </w:p>
        </w:tc>
        <w:tc>
          <w:tcPr>
            <w:tcW w:w="1464" w:type="dxa"/>
            <w:tcBorders>
              <w:top w:val="single" w:sz="4" w:space="0" w:color="000000"/>
              <w:left w:val="single" w:sz="4" w:space="0" w:color="000000"/>
              <w:bottom w:val="single" w:sz="4" w:space="0" w:color="000000"/>
              <w:right w:val="single" w:sz="4" w:space="0" w:color="000000"/>
            </w:tcBorders>
            <w:vAlign w:val="center"/>
          </w:tcPr>
          <w:p w14:paraId="5D9F5B4E"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Dependent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457E98BA" w14:textId="77777777" w:rsidR="006258B4" w:rsidRPr="003A1203" w:rsidRDefault="006258B4" w:rsidP="00536234">
            <w:pPr>
              <w:spacing w:line="360" w:lineRule="auto"/>
              <w:ind w:left="0"/>
              <w:jc w:val="center"/>
              <w:rPr>
                <w:rFonts w:ascii="Times New Roman" w:hAnsi="Times New Roman" w:cs="Times New Roman"/>
                <w:sz w:val="20"/>
              </w:rPr>
            </w:pPr>
          </w:p>
          <w:p w14:paraId="24B5E5CC"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(Edgerton, 2013)</w:t>
            </w:r>
          </w:p>
        </w:tc>
      </w:tr>
      <w:tr w:rsidR="006258B4" w:rsidRPr="003A1203" w14:paraId="22A074AE" w14:textId="77777777" w:rsidTr="008463F8">
        <w:trPr>
          <w:trHeight w:val="351"/>
        </w:trPr>
        <w:tc>
          <w:tcPr>
            <w:tcW w:w="1191" w:type="dxa"/>
            <w:tcBorders>
              <w:top w:val="single" w:sz="4" w:space="0" w:color="000000"/>
              <w:left w:val="single" w:sz="4" w:space="0" w:color="000000"/>
              <w:bottom w:val="single" w:sz="4" w:space="0" w:color="000000"/>
              <w:right w:val="single" w:sz="4" w:space="0" w:color="000000"/>
            </w:tcBorders>
            <w:vAlign w:val="center"/>
          </w:tcPr>
          <w:p w14:paraId="619E8043" w14:textId="77777777" w:rsidR="006258B4" w:rsidRPr="003A1203" w:rsidRDefault="003758A2" w:rsidP="00536234">
            <w:pPr>
              <w:spacing w:line="360" w:lineRule="auto"/>
              <w:ind w:left="0"/>
              <w:jc w:val="center"/>
              <w:rPr>
                <w:rFonts w:ascii="Times New Roman" w:hAnsi="Times New Roman" w:cs="Times New Roman"/>
                <w:sz w:val="20"/>
              </w:rPr>
            </w:pPr>
            <w:r w:rsidRPr="003758A2">
              <w:rPr>
                <w:rFonts w:ascii="Times New Roman" w:hAnsi="Times New Roman" w:cs="Times New Roman"/>
                <w:sz w:val="22"/>
              </w:rPr>
              <w:t>α</w:t>
            </w:r>
          </w:p>
        </w:tc>
        <w:tc>
          <w:tcPr>
            <w:tcW w:w="1755" w:type="dxa"/>
            <w:tcBorders>
              <w:top w:val="single" w:sz="4" w:space="0" w:color="000000"/>
              <w:left w:val="single" w:sz="4" w:space="0" w:color="000000"/>
              <w:bottom w:val="single" w:sz="4" w:space="0" w:color="000000"/>
              <w:right w:val="single" w:sz="4" w:space="0" w:color="000000"/>
            </w:tcBorders>
            <w:vAlign w:val="center"/>
          </w:tcPr>
          <w:p w14:paraId="18AB6B60"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Intercept</w:t>
            </w:r>
          </w:p>
        </w:tc>
        <w:tc>
          <w:tcPr>
            <w:tcW w:w="3196" w:type="dxa"/>
            <w:tcBorders>
              <w:top w:val="single" w:sz="4" w:space="0" w:color="000000"/>
              <w:left w:val="single" w:sz="4" w:space="0" w:color="000000"/>
              <w:bottom w:val="single" w:sz="4" w:space="0" w:color="000000"/>
              <w:right w:val="single" w:sz="4" w:space="0" w:color="000000"/>
            </w:tcBorders>
            <w:vAlign w:val="center"/>
          </w:tcPr>
          <w:p w14:paraId="0342FDF9" w14:textId="77777777" w:rsidR="006258B4" w:rsidRPr="003A1203" w:rsidRDefault="006258B4" w:rsidP="00536234">
            <w:pPr>
              <w:spacing w:line="360" w:lineRule="auto"/>
              <w:ind w:left="0"/>
              <w:jc w:val="center"/>
              <w:rPr>
                <w:rFonts w:ascii="Times New Roman" w:hAnsi="Times New Roman" w:cs="Times New Roman"/>
                <w:sz w:val="20"/>
              </w:rPr>
            </w:pPr>
          </w:p>
        </w:tc>
        <w:tc>
          <w:tcPr>
            <w:tcW w:w="1464" w:type="dxa"/>
            <w:tcBorders>
              <w:top w:val="single" w:sz="4" w:space="0" w:color="000000"/>
              <w:left w:val="single" w:sz="4" w:space="0" w:color="000000"/>
              <w:bottom w:val="single" w:sz="4" w:space="0" w:color="000000"/>
              <w:right w:val="single" w:sz="4" w:space="0" w:color="000000"/>
            </w:tcBorders>
            <w:vAlign w:val="center"/>
          </w:tcPr>
          <w:p w14:paraId="3C15E07F" w14:textId="77777777" w:rsidR="006258B4" w:rsidRPr="003A1203" w:rsidRDefault="006258B4" w:rsidP="00536234">
            <w:pPr>
              <w:spacing w:line="360" w:lineRule="auto"/>
              <w:ind w:left="0"/>
              <w:jc w:val="center"/>
              <w:rPr>
                <w:rFonts w:ascii="Times New Roman" w:hAnsi="Times New Roman" w:cs="Times New Roman"/>
                <w:sz w:val="20"/>
              </w:rPr>
            </w:pPr>
          </w:p>
        </w:tc>
        <w:tc>
          <w:tcPr>
            <w:tcW w:w="1469" w:type="dxa"/>
            <w:tcBorders>
              <w:top w:val="single" w:sz="4" w:space="0" w:color="000000"/>
              <w:left w:val="single" w:sz="4" w:space="0" w:color="000000"/>
              <w:bottom w:val="single" w:sz="4" w:space="0" w:color="000000"/>
              <w:right w:val="single" w:sz="4" w:space="0" w:color="000000"/>
            </w:tcBorders>
            <w:vAlign w:val="center"/>
          </w:tcPr>
          <w:p w14:paraId="2E5233F8" w14:textId="77777777" w:rsidR="006258B4" w:rsidRPr="003A1203" w:rsidRDefault="006258B4" w:rsidP="00536234">
            <w:pPr>
              <w:spacing w:line="360" w:lineRule="auto"/>
              <w:ind w:left="0"/>
              <w:jc w:val="center"/>
              <w:rPr>
                <w:rFonts w:ascii="Times New Roman" w:hAnsi="Times New Roman" w:cs="Times New Roman"/>
                <w:sz w:val="20"/>
              </w:rPr>
            </w:pPr>
          </w:p>
        </w:tc>
      </w:tr>
      <w:tr w:rsidR="006258B4" w:rsidRPr="003A1203" w14:paraId="1A1CF8C4" w14:textId="77777777" w:rsidTr="008463F8">
        <w:trPr>
          <w:trHeight w:val="2322"/>
        </w:trPr>
        <w:tc>
          <w:tcPr>
            <w:tcW w:w="1191" w:type="dxa"/>
            <w:tcBorders>
              <w:top w:val="single" w:sz="4" w:space="0" w:color="000000"/>
              <w:left w:val="single" w:sz="4" w:space="0" w:color="000000"/>
              <w:bottom w:val="single" w:sz="4" w:space="0" w:color="000000"/>
              <w:right w:val="single" w:sz="4" w:space="0" w:color="000000"/>
            </w:tcBorders>
            <w:vAlign w:val="center"/>
          </w:tcPr>
          <w:p w14:paraId="00A90AE9" w14:textId="77777777" w:rsidR="006258B4" w:rsidRPr="003A1203" w:rsidRDefault="005961C9" w:rsidP="00536234">
            <w:pPr>
              <w:spacing w:line="360" w:lineRule="auto"/>
              <w:ind w:left="0"/>
              <w:jc w:val="center"/>
              <w:rPr>
                <w:rFonts w:ascii="Times New Roman" w:hAnsi="Times New Roman" w:cs="Times New Roman"/>
                <w:sz w:val="20"/>
              </w:rPr>
            </w:pPr>
            <w:r>
              <w:rPr>
                <w:rFonts w:ascii="Times New Roman" w:hAnsi="Times New Roman" w:cs="Times New Roman"/>
                <w:sz w:val="20"/>
              </w:rPr>
              <w:t>Deal</w:t>
            </w:r>
          </w:p>
        </w:tc>
        <w:tc>
          <w:tcPr>
            <w:tcW w:w="1755" w:type="dxa"/>
            <w:tcBorders>
              <w:top w:val="single" w:sz="4" w:space="0" w:color="000000"/>
              <w:left w:val="single" w:sz="4" w:space="0" w:color="000000"/>
              <w:bottom w:val="single" w:sz="4" w:space="0" w:color="000000"/>
              <w:right w:val="single" w:sz="4" w:space="0" w:color="000000"/>
            </w:tcBorders>
            <w:vAlign w:val="center"/>
          </w:tcPr>
          <w:p w14:paraId="70143BFF"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Whether the company in question takes part in a BBBEE deal at any point in time throughout the study.</w:t>
            </w:r>
          </w:p>
        </w:tc>
        <w:tc>
          <w:tcPr>
            <w:tcW w:w="3196" w:type="dxa"/>
            <w:tcBorders>
              <w:top w:val="single" w:sz="4" w:space="0" w:color="000000"/>
              <w:left w:val="single" w:sz="4" w:space="0" w:color="000000"/>
              <w:bottom w:val="single" w:sz="4" w:space="0" w:color="000000"/>
              <w:right w:val="single" w:sz="4" w:space="0" w:color="000000"/>
            </w:tcBorders>
            <w:vAlign w:val="center"/>
          </w:tcPr>
          <w:p w14:paraId="534E9E0C"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A dummy variable; 0 corresponds to a company that did not have any BBBEE deal in place during that particular year</w:t>
            </w:r>
            <w:r w:rsidR="00587A6F">
              <w:rPr>
                <w:rFonts w:ascii="Times New Roman" w:hAnsi="Times New Roman" w:cs="Times New Roman"/>
                <w:sz w:val="20"/>
              </w:rPr>
              <w:t xml:space="preserve"> of study</w:t>
            </w:r>
            <w:r w:rsidRPr="003A1203">
              <w:rPr>
                <w:rFonts w:ascii="Times New Roman" w:hAnsi="Times New Roman" w:cs="Times New Roman"/>
                <w:sz w:val="20"/>
              </w:rPr>
              <w:t>.  1 will then represent a company that did have such a deal in place during the particular year</w:t>
            </w:r>
            <w:r w:rsidR="00587A6F">
              <w:rPr>
                <w:rFonts w:ascii="Times New Roman" w:hAnsi="Times New Roman" w:cs="Times New Roman"/>
                <w:sz w:val="20"/>
              </w:rPr>
              <w:t xml:space="preserve"> of study</w:t>
            </w:r>
            <w:r w:rsidRPr="003A1203">
              <w:rPr>
                <w:rFonts w:ascii="Times New Roman" w:hAnsi="Times New Roman" w:cs="Times New Roman"/>
                <w:sz w:val="20"/>
              </w:rPr>
              <w:t>.</w:t>
            </w:r>
          </w:p>
        </w:tc>
        <w:tc>
          <w:tcPr>
            <w:tcW w:w="1464" w:type="dxa"/>
            <w:tcBorders>
              <w:top w:val="single" w:sz="4" w:space="0" w:color="000000"/>
              <w:left w:val="single" w:sz="4" w:space="0" w:color="000000"/>
              <w:bottom w:val="single" w:sz="4" w:space="0" w:color="000000"/>
              <w:right w:val="single" w:sz="4" w:space="0" w:color="000000"/>
            </w:tcBorders>
            <w:vAlign w:val="center"/>
          </w:tcPr>
          <w:p w14:paraId="0A1213D8"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Independent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72900501" w14:textId="77777777" w:rsidR="006258B4" w:rsidRPr="003A1203" w:rsidRDefault="006258B4" w:rsidP="00536234">
            <w:pPr>
              <w:spacing w:line="360" w:lineRule="auto"/>
              <w:ind w:left="0"/>
              <w:jc w:val="center"/>
              <w:rPr>
                <w:rFonts w:ascii="Times New Roman" w:hAnsi="Times New Roman" w:cs="Times New Roman"/>
                <w:sz w:val="20"/>
              </w:rPr>
            </w:pPr>
          </w:p>
        </w:tc>
      </w:tr>
      <w:tr w:rsidR="006258B4" w:rsidRPr="003A1203" w14:paraId="65D44AC8" w14:textId="77777777" w:rsidTr="008463F8">
        <w:trPr>
          <w:trHeight w:val="534"/>
        </w:trPr>
        <w:tc>
          <w:tcPr>
            <w:tcW w:w="1191" w:type="dxa"/>
            <w:tcBorders>
              <w:top w:val="single" w:sz="4" w:space="0" w:color="000000"/>
              <w:left w:val="single" w:sz="4" w:space="0" w:color="000000"/>
              <w:bottom w:val="single" w:sz="4" w:space="0" w:color="000000"/>
              <w:right w:val="single" w:sz="4" w:space="0" w:color="000000"/>
            </w:tcBorders>
            <w:vAlign w:val="center"/>
          </w:tcPr>
          <w:p w14:paraId="6480455A"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Size</w:t>
            </w:r>
          </w:p>
        </w:tc>
        <w:tc>
          <w:tcPr>
            <w:tcW w:w="1755" w:type="dxa"/>
            <w:tcBorders>
              <w:top w:val="single" w:sz="4" w:space="0" w:color="000000"/>
              <w:left w:val="single" w:sz="4" w:space="0" w:color="000000"/>
              <w:bottom w:val="single" w:sz="4" w:space="0" w:color="000000"/>
              <w:right w:val="single" w:sz="4" w:space="0" w:color="000000"/>
            </w:tcBorders>
            <w:vAlign w:val="center"/>
          </w:tcPr>
          <w:p w14:paraId="27F178D8"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Company Size</w:t>
            </w:r>
          </w:p>
        </w:tc>
        <w:tc>
          <w:tcPr>
            <w:tcW w:w="3196" w:type="dxa"/>
            <w:tcBorders>
              <w:top w:val="single" w:sz="4" w:space="0" w:color="000000"/>
              <w:left w:val="single" w:sz="4" w:space="0" w:color="000000"/>
              <w:bottom w:val="single" w:sz="4" w:space="0" w:color="000000"/>
              <w:right w:val="single" w:sz="4" w:space="0" w:color="000000"/>
            </w:tcBorders>
            <w:vAlign w:val="center"/>
          </w:tcPr>
          <w:p w14:paraId="75B5C690" w14:textId="77777777" w:rsidR="006258B4" w:rsidRPr="003A1203" w:rsidRDefault="006258B4" w:rsidP="00536234">
            <w:pPr>
              <w:spacing w:after="97" w:line="360" w:lineRule="auto"/>
              <w:ind w:left="0"/>
              <w:jc w:val="center"/>
              <w:rPr>
                <w:rFonts w:ascii="Times New Roman" w:hAnsi="Times New Roman" w:cs="Times New Roman"/>
                <w:sz w:val="20"/>
              </w:rPr>
            </w:pPr>
            <w:r w:rsidRPr="003A1203">
              <w:rPr>
                <w:rFonts w:ascii="Times New Roman" w:hAnsi="Times New Roman" w:cs="Times New Roman"/>
                <w:sz w:val="20"/>
              </w:rPr>
              <w:t>The Natural Logarithm of Total Assets</w:t>
            </w:r>
          </w:p>
        </w:tc>
        <w:tc>
          <w:tcPr>
            <w:tcW w:w="1464" w:type="dxa"/>
            <w:tcBorders>
              <w:top w:val="single" w:sz="4" w:space="0" w:color="000000"/>
              <w:left w:val="single" w:sz="4" w:space="0" w:color="000000"/>
              <w:bottom w:val="single" w:sz="4" w:space="0" w:color="000000"/>
              <w:right w:val="single" w:sz="4" w:space="0" w:color="000000"/>
            </w:tcBorders>
            <w:vAlign w:val="center"/>
          </w:tcPr>
          <w:p w14:paraId="598F892F"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728EA81D" w14:textId="59964F76"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(Wang</w:t>
            </w:r>
            <w:r w:rsidR="00E8246F">
              <w:rPr>
                <w:rFonts w:ascii="Times New Roman" w:hAnsi="Times New Roman" w:cs="Times New Roman"/>
                <w:sz w:val="20"/>
              </w:rPr>
              <w:t xml:space="preserve"> &amp;</w:t>
            </w:r>
            <w:r w:rsidRPr="003A1203">
              <w:rPr>
                <w:rFonts w:ascii="Times New Roman" w:hAnsi="Times New Roman" w:cs="Times New Roman"/>
                <w:sz w:val="20"/>
              </w:rPr>
              <w:t xml:space="preserve"> Guo, 2011)</w:t>
            </w:r>
          </w:p>
        </w:tc>
      </w:tr>
      <w:tr w:rsidR="006258B4" w:rsidRPr="003A1203" w14:paraId="3C67A343" w14:textId="77777777" w:rsidTr="008463F8">
        <w:trPr>
          <w:trHeight w:val="301"/>
        </w:trPr>
        <w:tc>
          <w:tcPr>
            <w:tcW w:w="1191" w:type="dxa"/>
            <w:tcBorders>
              <w:top w:val="single" w:sz="4" w:space="0" w:color="000000"/>
              <w:left w:val="single" w:sz="4" w:space="0" w:color="000000"/>
              <w:bottom w:val="single" w:sz="4" w:space="0" w:color="000000"/>
              <w:right w:val="single" w:sz="4" w:space="0" w:color="000000"/>
            </w:tcBorders>
            <w:vAlign w:val="center"/>
          </w:tcPr>
          <w:p w14:paraId="1C45CA60" w14:textId="77777777" w:rsidR="006258B4" w:rsidRPr="003A1203" w:rsidRDefault="005961C9" w:rsidP="00536234">
            <w:pPr>
              <w:spacing w:line="360" w:lineRule="auto"/>
              <w:ind w:left="0"/>
              <w:jc w:val="center"/>
              <w:rPr>
                <w:rFonts w:ascii="Times New Roman" w:hAnsi="Times New Roman" w:cs="Times New Roman"/>
                <w:sz w:val="20"/>
              </w:rPr>
            </w:pPr>
            <w:r>
              <w:rPr>
                <w:rFonts w:ascii="Times New Roman" w:hAnsi="Times New Roman" w:cs="Times New Roman"/>
                <w:sz w:val="20"/>
              </w:rPr>
              <w:t>Capital Structure</w:t>
            </w:r>
          </w:p>
        </w:tc>
        <w:tc>
          <w:tcPr>
            <w:tcW w:w="1755" w:type="dxa"/>
            <w:tcBorders>
              <w:top w:val="single" w:sz="4" w:space="0" w:color="000000"/>
              <w:left w:val="single" w:sz="4" w:space="0" w:color="000000"/>
              <w:bottom w:val="single" w:sz="4" w:space="0" w:color="000000"/>
              <w:right w:val="single" w:sz="4" w:space="0" w:color="000000"/>
            </w:tcBorders>
            <w:vAlign w:val="center"/>
          </w:tcPr>
          <w:p w14:paraId="3C71980C"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Capital Structure</w:t>
            </w:r>
          </w:p>
        </w:tc>
        <w:tc>
          <w:tcPr>
            <w:tcW w:w="3196" w:type="dxa"/>
            <w:tcBorders>
              <w:top w:val="single" w:sz="4" w:space="0" w:color="000000"/>
              <w:left w:val="single" w:sz="4" w:space="0" w:color="000000"/>
              <w:bottom w:val="single" w:sz="4" w:space="0" w:color="000000"/>
              <w:right w:val="single" w:sz="4" w:space="0" w:color="000000"/>
            </w:tcBorders>
            <w:vAlign w:val="center"/>
          </w:tcPr>
          <w:p w14:paraId="6CE2CFA9" w14:textId="77777777" w:rsidR="006258B4" w:rsidRPr="003A1203" w:rsidRDefault="006258B4" w:rsidP="00536234">
            <w:pPr>
              <w:spacing w:after="96" w:line="360" w:lineRule="auto"/>
              <w:ind w:left="0"/>
              <w:jc w:val="center"/>
              <w:rPr>
                <w:rFonts w:ascii="Times New Roman" w:hAnsi="Times New Roman" w:cs="Times New Roman"/>
                <w:sz w:val="20"/>
              </w:rPr>
            </w:pPr>
            <w:r w:rsidRPr="003A1203">
              <w:rPr>
                <w:rFonts w:ascii="Times New Roman" w:hAnsi="Times New Roman" w:cs="Times New Roman"/>
                <w:sz w:val="20"/>
              </w:rPr>
              <w:t>The Ratio of Total Debt to Total Equity</w:t>
            </w:r>
          </w:p>
        </w:tc>
        <w:tc>
          <w:tcPr>
            <w:tcW w:w="1464" w:type="dxa"/>
            <w:tcBorders>
              <w:top w:val="single" w:sz="4" w:space="0" w:color="000000"/>
              <w:left w:val="single" w:sz="4" w:space="0" w:color="000000"/>
              <w:bottom w:val="single" w:sz="4" w:space="0" w:color="000000"/>
              <w:right w:val="single" w:sz="4" w:space="0" w:color="000000"/>
            </w:tcBorders>
            <w:vAlign w:val="center"/>
          </w:tcPr>
          <w:p w14:paraId="5445754A"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07B16B22" w14:textId="76734286"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(Wang</w:t>
            </w:r>
            <w:r w:rsidR="00E8246F">
              <w:rPr>
                <w:rFonts w:ascii="Times New Roman" w:hAnsi="Times New Roman" w:cs="Times New Roman"/>
                <w:sz w:val="20"/>
              </w:rPr>
              <w:t xml:space="preserve"> &amp;</w:t>
            </w:r>
            <w:r w:rsidRPr="003A1203">
              <w:rPr>
                <w:rFonts w:ascii="Times New Roman" w:hAnsi="Times New Roman" w:cs="Times New Roman"/>
                <w:sz w:val="20"/>
              </w:rPr>
              <w:t xml:space="preserve"> Guo, 2011)</w:t>
            </w:r>
          </w:p>
        </w:tc>
      </w:tr>
      <w:tr w:rsidR="006258B4" w:rsidRPr="003A1203" w14:paraId="69863758" w14:textId="77777777" w:rsidTr="008463F8">
        <w:trPr>
          <w:trHeight w:val="937"/>
        </w:trPr>
        <w:tc>
          <w:tcPr>
            <w:tcW w:w="1191" w:type="dxa"/>
            <w:tcBorders>
              <w:top w:val="single" w:sz="4" w:space="0" w:color="000000"/>
              <w:left w:val="single" w:sz="4" w:space="0" w:color="000000"/>
              <w:bottom w:val="single" w:sz="4" w:space="0" w:color="000000"/>
              <w:right w:val="single" w:sz="4" w:space="0" w:color="000000"/>
            </w:tcBorders>
            <w:vAlign w:val="center"/>
          </w:tcPr>
          <w:p w14:paraId="6EEF05BF"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Growth</w:t>
            </w:r>
          </w:p>
        </w:tc>
        <w:tc>
          <w:tcPr>
            <w:tcW w:w="1755" w:type="dxa"/>
            <w:tcBorders>
              <w:top w:val="single" w:sz="4" w:space="0" w:color="000000"/>
              <w:left w:val="single" w:sz="4" w:space="0" w:color="000000"/>
              <w:bottom w:val="single" w:sz="4" w:space="0" w:color="000000"/>
              <w:right w:val="single" w:sz="4" w:space="0" w:color="000000"/>
            </w:tcBorders>
            <w:vAlign w:val="center"/>
          </w:tcPr>
          <w:p w14:paraId="62BC6A5E" w14:textId="77777777" w:rsidR="006258B4" w:rsidRPr="003A1203" w:rsidRDefault="006258B4" w:rsidP="00536234">
            <w:pPr>
              <w:spacing w:after="94" w:line="360" w:lineRule="auto"/>
              <w:ind w:left="0"/>
              <w:jc w:val="center"/>
              <w:rPr>
                <w:rFonts w:ascii="Times New Roman" w:hAnsi="Times New Roman" w:cs="Times New Roman"/>
                <w:sz w:val="20"/>
              </w:rPr>
            </w:pPr>
            <w:r>
              <w:rPr>
                <w:rFonts w:ascii="Times New Roman" w:hAnsi="Times New Roman" w:cs="Times New Roman"/>
                <w:sz w:val="20"/>
              </w:rPr>
              <w:t>Growth and Investment Opportunities</w:t>
            </w:r>
          </w:p>
        </w:tc>
        <w:tc>
          <w:tcPr>
            <w:tcW w:w="3196" w:type="dxa"/>
            <w:tcBorders>
              <w:top w:val="single" w:sz="4" w:space="0" w:color="000000"/>
              <w:left w:val="single" w:sz="4" w:space="0" w:color="000000"/>
              <w:bottom w:val="single" w:sz="4" w:space="0" w:color="000000"/>
              <w:right w:val="single" w:sz="4" w:space="0" w:color="000000"/>
            </w:tcBorders>
            <w:vAlign w:val="center"/>
          </w:tcPr>
          <w:p w14:paraId="71498D42"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Price-to-Book Ratio</w:t>
            </w:r>
          </w:p>
        </w:tc>
        <w:tc>
          <w:tcPr>
            <w:tcW w:w="1464" w:type="dxa"/>
            <w:tcBorders>
              <w:top w:val="single" w:sz="4" w:space="0" w:color="000000"/>
              <w:left w:val="single" w:sz="4" w:space="0" w:color="000000"/>
              <w:bottom w:val="single" w:sz="4" w:space="0" w:color="000000"/>
              <w:right w:val="single" w:sz="4" w:space="0" w:color="000000"/>
            </w:tcBorders>
            <w:vAlign w:val="center"/>
          </w:tcPr>
          <w:p w14:paraId="2DBD1982"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4A8865DF" w14:textId="3ECBF4A8"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(Fama</w:t>
            </w:r>
            <w:r w:rsidR="00E8246F">
              <w:rPr>
                <w:rFonts w:ascii="Times New Roman" w:hAnsi="Times New Roman" w:cs="Times New Roman"/>
                <w:sz w:val="20"/>
              </w:rPr>
              <w:t xml:space="preserve"> &amp;</w:t>
            </w:r>
            <w:r w:rsidRPr="003A1203">
              <w:rPr>
                <w:rFonts w:ascii="Times New Roman" w:hAnsi="Times New Roman" w:cs="Times New Roman"/>
                <w:sz w:val="20"/>
              </w:rPr>
              <w:t xml:space="preserve"> French, 2001) and</w:t>
            </w:r>
          </w:p>
          <w:p w14:paraId="6DB8E716"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(Bhattacharya, 1979)</w:t>
            </w:r>
          </w:p>
        </w:tc>
      </w:tr>
      <w:tr w:rsidR="006258B4" w:rsidRPr="003A1203" w14:paraId="192F3C83" w14:textId="77777777" w:rsidTr="008463F8">
        <w:trPr>
          <w:trHeight w:val="619"/>
        </w:trPr>
        <w:tc>
          <w:tcPr>
            <w:tcW w:w="1191" w:type="dxa"/>
            <w:tcBorders>
              <w:top w:val="single" w:sz="4" w:space="0" w:color="000000"/>
              <w:left w:val="single" w:sz="4" w:space="0" w:color="000000"/>
              <w:bottom w:val="single" w:sz="4" w:space="0" w:color="000000"/>
              <w:right w:val="single" w:sz="4" w:space="0" w:color="000000"/>
            </w:tcBorders>
            <w:vAlign w:val="center"/>
          </w:tcPr>
          <w:p w14:paraId="5D060AA7" w14:textId="77777777" w:rsidR="006258B4" w:rsidRPr="003A1203" w:rsidRDefault="005961C9" w:rsidP="00536234">
            <w:pPr>
              <w:spacing w:line="360" w:lineRule="auto"/>
              <w:ind w:left="0"/>
              <w:jc w:val="center"/>
              <w:rPr>
                <w:rFonts w:ascii="Times New Roman" w:hAnsi="Times New Roman" w:cs="Times New Roman"/>
                <w:sz w:val="20"/>
              </w:rPr>
            </w:pPr>
            <w:r>
              <w:rPr>
                <w:rFonts w:ascii="Times New Roman" w:hAnsi="Times New Roman" w:cs="Times New Roman"/>
                <w:sz w:val="20"/>
              </w:rPr>
              <w:t>Liquidity</w:t>
            </w:r>
          </w:p>
        </w:tc>
        <w:tc>
          <w:tcPr>
            <w:tcW w:w="1755" w:type="dxa"/>
            <w:tcBorders>
              <w:top w:val="single" w:sz="4" w:space="0" w:color="000000"/>
              <w:left w:val="single" w:sz="4" w:space="0" w:color="000000"/>
              <w:bottom w:val="single" w:sz="4" w:space="0" w:color="000000"/>
              <w:right w:val="single" w:sz="4" w:space="0" w:color="000000"/>
            </w:tcBorders>
            <w:vAlign w:val="center"/>
          </w:tcPr>
          <w:p w14:paraId="4BD380C9"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Liquidity</w:t>
            </w:r>
          </w:p>
        </w:tc>
        <w:tc>
          <w:tcPr>
            <w:tcW w:w="3196" w:type="dxa"/>
            <w:tcBorders>
              <w:top w:val="single" w:sz="4" w:space="0" w:color="000000"/>
              <w:left w:val="single" w:sz="4" w:space="0" w:color="000000"/>
              <w:bottom w:val="single" w:sz="4" w:space="0" w:color="000000"/>
              <w:right w:val="single" w:sz="4" w:space="0" w:color="000000"/>
            </w:tcBorders>
            <w:vAlign w:val="center"/>
          </w:tcPr>
          <w:p w14:paraId="0C0069E0" w14:textId="77777777" w:rsidR="006258B4" w:rsidRPr="003A1203" w:rsidRDefault="006258B4" w:rsidP="00536234">
            <w:pPr>
              <w:spacing w:after="96" w:line="360" w:lineRule="auto"/>
              <w:ind w:left="0"/>
              <w:jc w:val="center"/>
              <w:rPr>
                <w:rFonts w:ascii="Times New Roman" w:hAnsi="Times New Roman" w:cs="Times New Roman"/>
                <w:sz w:val="20"/>
              </w:rPr>
            </w:pPr>
            <w:r w:rsidRPr="003A1203">
              <w:rPr>
                <w:rFonts w:ascii="Times New Roman" w:hAnsi="Times New Roman" w:cs="Times New Roman"/>
                <w:sz w:val="20"/>
              </w:rPr>
              <w:t>The Ratio of Current Assets to Current Liabilities</w:t>
            </w:r>
          </w:p>
        </w:tc>
        <w:tc>
          <w:tcPr>
            <w:tcW w:w="1464" w:type="dxa"/>
            <w:tcBorders>
              <w:top w:val="single" w:sz="4" w:space="0" w:color="000000"/>
              <w:left w:val="single" w:sz="4" w:space="0" w:color="000000"/>
              <w:bottom w:val="single" w:sz="4" w:space="0" w:color="000000"/>
              <w:right w:val="single" w:sz="4" w:space="0" w:color="000000"/>
            </w:tcBorders>
            <w:vAlign w:val="center"/>
          </w:tcPr>
          <w:p w14:paraId="06EA7B76"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6C8F2379" w14:textId="77777777" w:rsidR="006258B4" w:rsidRPr="003A1203" w:rsidRDefault="006258B4" w:rsidP="00536234">
            <w:pPr>
              <w:spacing w:line="360" w:lineRule="auto"/>
              <w:ind w:left="0"/>
              <w:jc w:val="center"/>
              <w:rPr>
                <w:rFonts w:ascii="Times New Roman" w:hAnsi="Times New Roman" w:cs="Times New Roman"/>
                <w:sz w:val="20"/>
              </w:rPr>
            </w:pPr>
          </w:p>
          <w:p w14:paraId="4A50CF58" w14:textId="3175B31D"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(Wang</w:t>
            </w:r>
            <w:r w:rsidR="00E8246F">
              <w:rPr>
                <w:rFonts w:ascii="Times New Roman" w:hAnsi="Times New Roman" w:cs="Times New Roman"/>
                <w:sz w:val="20"/>
              </w:rPr>
              <w:t xml:space="preserve"> &amp;</w:t>
            </w:r>
            <w:r w:rsidRPr="003A1203">
              <w:rPr>
                <w:rFonts w:ascii="Times New Roman" w:hAnsi="Times New Roman" w:cs="Times New Roman"/>
                <w:sz w:val="20"/>
              </w:rPr>
              <w:t xml:space="preserve"> Guo, 2011)</w:t>
            </w:r>
          </w:p>
        </w:tc>
      </w:tr>
      <w:tr w:rsidR="006258B4" w:rsidRPr="003A1203" w14:paraId="751C008F" w14:textId="77777777" w:rsidTr="008463F8">
        <w:trPr>
          <w:trHeight w:val="619"/>
        </w:trPr>
        <w:tc>
          <w:tcPr>
            <w:tcW w:w="1191" w:type="dxa"/>
            <w:tcBorders>
              <w:top w:val="single" w:sz="4" w:space="0" w:color="000000"/>
              <w:left w:val="single" w:sz="4" w:space="0" w:color="000000"/>
              <w:bottom w:val="single" w:sz="4" w:space="0" w:color="000000"/>
              <w:right w:val="single" w:sz="4" w:space="0" w:color="000000"/>
            </w:tcBorders>
            <w:vAlign w:val="center"/>
          </w:tcPr>
          <w:p w14:paraId="44312363" w14:textId="77777777" w:rsidR="006258B4" w:rsidRDefault="006258B4" w:rsidP="00536234">
            <w:pPr>
              <w:spacing w:line="360" w:lineRule="auto"/>
              <w:ind w:left="0"/>
              <w:jc w:val="center"/>
              <w:rPr>
                <w:rFonts w:ascii="Times New Roman" w:hAnsi="Times New Roman" w:cs="Times New Roman"/>
                <w:sz w:val="20"/>
              </w:rPr>
            </w:pPr>
          </w:p>
          <w:p w14:paraId="2C2776D7"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Profit</w:t>
            </w:r>
          </w:p>
        </w:tc>
        <w:tc>
          <w:tcPr>
            <w:tcW w:w="1755" w:type="dxa"/>
            <w:tcBorders>
              <w:top w:val="single" w:sz="4" w:space="0" w:color="000000"/>
              <w:left w:val="single" w:sz="4" w:space="0" w:color="000000"/>
              <w:bottom w:val="single" w:sz="4" w:space="0" w:color="000000"/>
              <w:right w:val="single" w:sz="4" w:space="0" w:color="000000"/>
            </w:tcBorders>
            <w:vAlign w:val="center"/>
          </w:tcPr>
          <w:p w14:paraId="0106E2D6" w14:textId="77777777" w:rsidR="006258B4" w:rsidRDefault="006258B4" w:rsidP="00536234">
            <w:pPr>
              <w:spacing w:line="360" w:lineRule="auto"/>
              <w:ind w:left="0"/>
              <w:jc w:val="center"/>
              <w:rPr>
                <w:rFonts w:ascii="Times New Roman" w:hAnsi="Times New Roman" w:cs="Times New Roman"/>
                <w:sz w:val="20"/>
              </w:rPr>
            </w:pPr>
          </w:p>
          <w:p w14:paraId="0038DF39" w14:textId="77777777" w:rsidR="006258B4"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Profitability</w:t>
            </w:r>
          </w:p>
        </w:tc>
        <w:tc>
          <w:tcPr>
            <w:tcW w:w="3196" w:type="dxa"/>
            <w:tcBorders>
              <w:top w:val="single" w:sz="4" w:space="0" w:color="000000"/>
              <w:left w:val="single" w:sz="4" w:space="0" w:color="000000"/>
              <w:bottom w:val="single" w:sz="4" w:space="0" w:color="000000"/>
              <w:right w:val="single" w:sz="4" w:space="0" w:color="000000"/>
            </w:tcBorders>
            <w:vAlign w:val="center"/>
          </w:tcPr>
          <w:p w14:paraId="20D83905" w14:textId="77777777" w:rsidR="006258B4" w:rsidRDefault="006258B4" w:rsidP="00536234">
            <w:pPr>
              <w:spacing w:after="96" w:line="360" w:lineRule="auto"/>
              <w:ind w:left="0"/>
              <w:jc w:val="center"/>
              <w:rPr>
                <w:rFonts w:ascii="Times New Roman" w:hAnsi="Times New Roman" w:cs="Times New Roman"/>
                <w:sz w:val="20"/>
              </w:rPr>
            </w:pPr>
          </w:p>
          <w:p w14:paraId="22103358" w14:textId="77777777" w:rsidR="006258B4" w:rsidRPr="003A1203" w:rsidRDefault="006258B4" w:rsidP="00536234">
            <w:pPr>
              <w:spacing w:after="96" w:line="360" w:lineRule="auto"/>
              <w:ind w:left="0"/>
              <w:jc w:val="center"/>
              <w:rPr>
                <w:rFonts w:ascii="Times New Roman" w:hAnsi="Times New Roman" w:cs="Times New Roman"/>
                <w:sz w:val="20"/>
              </w:rPr>
            </w:pPr>
            <w:r>
              <w:rPr>
                <w:rFonts w:ascii="Times New Roman" w:hAnsi="Times New Roman" w:cs="Times New Roman"/>
                <w:sz w:val="20"/>
              </w:rPr>
              <w:t>The Percentage Return on Assets</w:t>
            </w:r>
          </w:p>
        </w:tc>
        <w:tc>
          <w:tcPr>
            <w:tcW w:w="1464" w:type="dxa"/>
            <w:tcBorders>
              <w:top w:val="single" w:sz="4" w:space="0" w:color="000000"/>
              <w:left w:val="single" w:sz="4" w:space="0" w:color="000000"/>
              <w:bottom w:val="single" w:sz="4" w:space="0" w:color="000000"/>
              <w:right w:val="single" w:sz="4" w:space="0" w:color="000000"/>
            </w:tcBorders>
            <w:vAlign w:val="center"/>
          </w:tcPr>
          <w:p w14:paraId="628E7FB9" w14:textId="77777777" w:rsidR="006258B4" w:rsidRDefault="006258B4" w:rsidP="00536234">
            <w:pPr>
              <w:spacing w:line="360" w:lineRule="auto"/>
              <w:ind w:left="0"/>
              <w:jc w:val="center"/>
              <w:rPr>
                <w:rFonts w:ascii="Times New Roman" w:hAnsi="Times New Roman" w:cs="Times New Roman"/>
                <w:sz w:val="20"/>
              </w:rPr>
            </w:pPr>
          </w:p>
          <w:p w14:paraId="0FC6C45C"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5767C354" w14:textId="77777777" w:rsidR="006258B4" w:rsidRDefault="006258B4" w:rsidP="00536234">
            <w:pPr>
              <w:spacing w:line="360" w:lineRule="auto"/>
              <w:ind w:left="0"/>
              <w:jc w:val="center"/>
              <w:rPr>
                <w:rFonts w:ascii="Times New Roman" w:hAnsi="Times New Roman" w:cs="Times New Roman"/>
                <w:sz w:val="20"/>
              </w:rPr>
            </w:pPr>
          </w:p>
          <w:p w14:paraId="42BD596A"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w:t>
            </w:r>
            <w:r w:rsidR="00754828">
              <w:rPr>
                <w:rFonts w:ascii="Times New Roman" w:hAnsi="Times New Roman" w:cs="Times New Roman"/>
                <w:sz w:val="20"/>
              </w:rPr>
              <w:t xml:space="preserve">H.K. </w:t>
            </w:r>
            <w:r>
              <w:rPr>
                <w:rFonts w:ascii="Times New Roman" w:hAnsi="Times New Roman" w:cs="Times New Roman"/>
                <w:sz w:val="20"/>
              </w:rPr>
              <w:t>Kato, Loewenstein, &amp; Tsay, 2002)</w:t>
            </w:r>
          </w:p>
        </w:tc>
      </w:tr>
      <w:tr w:rsidR="006258B4" w:rsidRPr="003A1203" w14:paraId="33FF9614" w14:textId="77777777" w:rsidTr="008463F8">
        <w:trPr>
          <w:trHeight w:val="343"/>
        </w:trPr>
        <w:tc>
          <w:tcPr>
            <w:tcW w:w="1191" w:type="dxa"/>
            <w:tcBorders>
              <w:top w:val="single" w:sz="4" w:space="0" w:color="000000"/>
              <w:left w:val="single" w:sz="4" w:space="0" w:color="000000"/>
              <w:bottom w:val="single" w:sz="4" w:space="0" w:color="000000"/>
              <w:right w:val="single" w:sz="4" w:space="0" w:color="000000"/>
            </w:tcBorders>
            <w:vAlign w:val="center"/>
          </w:tcPr>
          <w:p w14:paraId="4E4E71F9" w14:textId="77777777" w:rsidR="006258B4" w:rsidRPr="003A1203" w:rsidRDefault="005961C9" w:rsidP="00536234">
            <w:pPr>
              <w:spacing w:line="360" w:lineRule="auto"/>
              <w:ind w:left="0"/>
              <w:jc w:val="center"/>
              <w:rPr>
                <w:rFonts w:ascii="Times New Roman" w:hAnsi="Times New Roman" w:cs="Times New Roman"/>
                <w:sz w:val="20"/>
              </w:rPr>
            </w:pPr>
            <w:r>
              <w:rPr>
                <w:rFonts w:ascii="Times New Roman" w:hAnsi="Times New Roman" w:cs="Times New Roman"/>
                <w:sz w:val="20"/>
              </w:rPr>
              <w:lastRenderedPageBreak/>
              <w:t>Sector</w:t>
            </w:r>
          </w:p>
        </w:tc>
        <w:tc>
          <w:tcPr>
            <w:tcW w:w="1755" w:type="dxa"/>
            <w:tcBorders>
              <w:top w:val="single" w:sz="4" w:space="0" w:color="000000"/>
              <w:left w:val="single" w:sz="4" w:space="0" w:color="000000"/>
              <w:bottom w:val="single" w:sz="4" w:space="0" w:color="000000"/>
              <w:right w:val="single" w:sz="4" w:space="0" w:color="000000"/>
            </w:tcBorders>
            <w:vAlign w:val="center"/>
          </w:tcPr>
          <w:p w14:paraId="32773965"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Sector</w:t>
            </w:r>
          </w:p>
        </w:tc>
        <w:tc>
          <w:tcPr>
            <w:tcW w:w="3196" w:type="dxa"/>
            <w:tcBorders>
              <w:top w:val="single" w:sz="4" w:space="0" w:color="000000"/>
              <w:left w:val="single" w:sz="4" w:space="0" w:color="000000"/>
              <w:bottom w:val="single" w:sz="4" w:space="0" w:color="000000"/>
              <w:right w:val="single" w:sz="4" w:space="0" w:color="000000"/>
            </w:tcBorders>
            <w:vAlign w:val="center"/>
          </w:tcPr>
          <w:p w14:paraId="22E1ACAA" w14:textId="77777777" w:rsidR="006258B4" w:rsidRPr="003A1203" w:rsidRDefault="006258B4" w:rsidP="00536234">
            <w:pPr>
              <w:spacing w:line="360" w:lineRule="auto"/>
              <w:ind w:left="0"/>
              <w:jc w:val="center"/>
              <w:rPr>
                <w:rFonts w:ascii="Times New Roman" w:hAnsi="Times New Roman" w:cs="Times New Roman"/>
                <w:sz w:val="20"/>
              </w:rPr>
            </w:pPr>
            <w:r>
              <w:rPr>
                <w:rFonts w:ascii="Times New Roman" w:hAnsi="Times New Roman" w:cs="Times New Roman"/>
                <w:sz w:val="20"/>
              </w:rPr>
              <w:t>Coded dummy variables representing the</w:t>
            </w:r>
            <w:r w:rsidRPr="003A1203">
              <w:rPr>
                <w:rFonts w:ascii="Times New Roman" w:hAnsi="Times New Roman" w:cs="Times New Roman"/>
                <w:sz w:val="20"/>
              </w:rPr>
              <w:t xml:space="preserve"> JSEs’s  8 main sectors (see table below)</w:t>
            </w:r>
          </w:p>
        </w:tc>
        <w:tc>
          <w:tcPr>
            <w:tcW w:w="1464" w:type="dxa"/>
            <w:tcBorders>
              <w:top w:val="single" w:sz="4" w:space="0" w:color="000000"/>
              <w:left w:val="single" w:sz="4" w:space="0" w:color="000000"/>
              <w:bottom w:val="single" w:sz="4" w:space="0" w:color="000000"/>
              <w:right w:val="single" w:sz="4" w:space="0" w:color="000000"/>
            </w:tcBorders>
            <w:vAlign w:val="center"/>
          </w:tcPr>
          <w:p w14:paraId="46A9A87C"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Control variable</w:t>
            </w:r>
          </w:p>
        </w:tc>
        <w:tc>
          <w:tcPr>
            <w:tcW w:w="1469" w:type="dxa"/>
            <w:tcBorders>
              <w:top w:val="single" w:sz="4" w:space="0" w:color="000000"/>
              <w:left w:val="single" w:sz="4" w:space="0" w:color="000000"/>
              <w:bottom w:val="single" w:sz="4" w:space="0" w:color="000000"/>
              <w:right w:val="single" w:sz="4" w:space="0" w:color="000000"/>
            </w:tcBorders>
            <w:vAlign w:val="center"/>
          </w:tcPr>
          <w:p w14:paraId="75B175C2"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(Thanatawee, 2014)</w:t>
            </w:r>
          </w:p>
        </w:tc>
      </w:tr>
      <w:tr w:rsidR="006258B4" w:rsidRPr="003A1203" w14:paraId="7AC2BC7D" w14:textId="77777777" w:rsidTr="008463F8">
        <w:trPr>
          <w:trHeight w:val="407"/>
        </w:trPr>
        <w:tc>
          <w:tcPr>
            <w:tcW w:w="1191" w:type="dxa"/>
            <w:tcBorders>
              <w:top w:val="single" w:sz="4" w:space="0" w:color="000000"/>
              <w:left w:val="single" w:sz="4" w:space="0" w:color="000000"/>
              <w:bottom w:val="single" w:sz="4" w:space="0" w:color="000000"/>
              <w:right w:val="single" w:sz="4" w:space="0" w:color="000000"/>
            </w:tcBorders>
            <w:vAlign w:val="center"/>
          </w:tcPr>
          <w:p w14:paraId="6F2D47D1" w14:textId="77777777" w:rsidR="006258B4" w:rsidRPr="003A1203" w:rsidRDefault="003758A2" w:rsidP="00536234">
            <w:pPr>
              <w:spacing w:line="360" w:lineRule="auto"/>
              <w:ind w:left="0"/>
              <w:jc w:val="center"/>
              <w:rPr>
                <w:rFonts w:ascii="Times New Roman" w:hAnsi="Times New Roman" w:cs="Times New Roman"/>
                <w:sz w:val="20"/>
              </w:rPr>
            </w:pPr>
            <w:r w:rsidRPr="007D0AA3">
              <w:rPr>
                <w:rFonts w:ascii="Times New Roman" w:hAnsi="Times New Roman" w:cs="Times New Roman"/>
                <w:sz w:val="20"/>
              </w:rPr>
              <w:t>ε</w:t>
            </w:r>
          </w:p>
        </w:tc>
        <w:tc>
          <w:tcPr>
            <w:tcW w:w="1755" w:type="dxa"/>
            <w:tcBorders>
              <w:top w:val="single" w:sz="4" w:space="0" w:color="000000"/>
              <w:left w:val="single" w:sz="4" w:space="0" w:color="000000"/>
              <w:bottom w:val="single" w:sz="4" w:space="0" w:color="000000"/>
              <w:right w:val="single" w:sz="4" w:space="0" w:color="000000"/>
            </w:tcBorders>
            <w:vAlign w:val="center"/>
          </w:tcPr>
          <w:p w14:paraId="372912DD"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Error term</w:t>
            </w:r>
          </w:p>
        </w:tc>
        <w:tc>
          <w:tcPr>
            <w:tcW w:w="3196" w:type="dxa"/>
            <w:tcBorders>
              <w:top w:val="single" w:sz="4" w:space="0" w:color="000000"/>
              <w:left w:val="single" w:sz="4" w:space="0" w:color="000000"/>
              <w:bottom w:val="single" w:sz="4" w:space="0" w:color="000000"/>
              <w:right w:val="single" w:sz="4" w:space="0" w:color="000000"/>
            </w:tcBorders>
            <w:vAlign w:val="center"/>
          </w:tcPr>
          <w:p w14:paraId="3DC57E87" w14:textId="77777777" w:rsidR="006258B4" w:rsidRPr="003A1203" w:rsidRDefault="006258B4" w:rsidP="00536234">
            <w:pPr>
              <w:spacing w:line="360" w:lineRule="auto"/>
              <w:ind w:left="0"/>
              <w:jc w:val="center"/>
              <w:rPr>
                <w:rFonts w:ascii="Times New Roman" w:hAnsi="Times New Roman" w:cs="Times New Roman"/>
                <w:sz w:val="20"/>
              </w:rPr>
            </w:pPr>
          </w:p>
        </w:tc>
        <w:tc>
          <w:tcPr>
            <w:tcW w:w="1464" w:type="dxa"/>
            <w:tcBorders>
              <w:top w:val="single" w:sz="4" w:space="0" w:color="000000"/>
              <w:left w:val="single" w:sz="4" w:space="0" w:color="000000"/>
              <w:bottom w:val="single" w:sz="4" w:space="0" w:color="000000"/>
              <w:right w:val="single" w:sz="4" w:space="0" w:color="000000"/>
            </w:tcBorders>
            <w:vAlign w:val="center"/>
          </w:tcPr>
          <w:p w14:paraId="5C93DD81" w14:textId="77777777" w:rsidR="006258B4" w:rsidRPr="003A1203" w:rsidRDefault="006258B4" w:rsidP="00536234">
            <w:pPr>
              <w:spacing w:line="360" w:lineRule="auto"/>
              <w:ind w:left="0"/>
              <w:jc w:val="center"/>
              <w:rPr>
                <w:rFonts w:ascii="Times New Roman" w:hAnsi="Times New Roman" w:cs="Times New Roman"/>
                <w:sz w:val="20"/>
              </w:rPr>
            </w:pPr>
          </w:p>
        </w:tc>
        <w:tc>
          <w:tcPr>
            <w:tcW w:w="1469" w:type="dxa"/>
            <w:tcBorders>
              <w:top w:val="single" w:sz="4" w:space="0" w:color="000000"/>
              <w:left w:val="single" w:sz="4" w:space="0" w:color="000000"/>
              <w:bottom w:val="single" w:sz="4" w:space="0" w:color="000000"/>
              <w:right w:val="single" w:sz="4" w:space="0" w:color="000000"/>
            </w:tcBorders>
            <w:vAlign w:val="center"/>
          </w:tcPr>
          <w:p w14:paraId="2FA57D40" w14:textId="77777777" w:rsidR="006258B4" w:rsidRPr="003A1203" w:rsidRDefault="006258B4" w:rsidP="00536234">
            <w:pPr>
              <w:spacing w:line="360" w:lineRule="auto"/>
              <w:ind w:left="0"/>
              <w:jc w:val="center"/>
              <w:rPr>
                <w:rFonts w:ascii="Times New Roman" w:hAnsi="Times New Roman" w:cs="Times New Roman"/>
                <w:sz w:val="20"/>
              </w:rPr>
            </w:pPr>
          </w:p>
        </w:tc>
      </w:tr>
      <w:tr w:rsidR="006258B4" w:rsidRPr="003A1203" w14:paraId="399C5EDA" w14:textId="77777777" w:rsidTr="008463F8">
        <w:trPr>
          <w:trHeight w:val="1024"/>
        </w:trPr>
        <w:tc>
          <w:tcPr>
            <w:tcW w:w="1191" w:type="dxa"/>
            <w:tcBorders>
              <w:top w:val="single" w:sz="4" w:space="0" w:color="000000"/>
              <w:left w:val="single" w:sz="4" w:space="0" w:color="000000"/>
              <w:bottom w:val="single" w:sz="4" w:space="0" w:color="000000"/>
              <w:right w:val="single" w:sz="4" w:space="0" w:color="000000"/>
            </w:tcBorders>
            <w:vAlign w:val="center"/>
          </w:tcPr>
          <w:p w14:paraId="1BC6091D" w14:textId="77777777" w:rsidR="006258B4" w:rsidRPr="003A1203" w:rsidRDefault="003758A2" w:rsidP="00536234">
            <w:pPr>
              <w:spacing w:line="360" w:lineRule="auto"/>
              <w:ind w:left="0"/>
              <w:jc w:val="center"/>
              <w:rPr>
                <w:rFonts w:ascii="Times New Roman" w:hAnsi="Times New Roman" w:cs="Times New Roman"/>
                <w:sz w:val="20"/>
              </w:rPr>
            </w:pPr>
            <w:r w:rsidRPr="007D0AA3">
              <w:rPr>
                <w:rFonts w:ascii="Times New Roman" w:hAnsi="Times New Roman" w:cs="Times New Roman"/>
                <w:sz w:val="20"/>
              </w:rPr>
              <w:t>i</w:t>
            </w:r>
          </w:p>
        </w:tc>
        <w:tc>
          <w:tcPr>
            <w:tcW w:w="1755" w:type="dxa"/>
            <w:tcBorders>
              <w:top w:val="single" w:sz="4" w:space="0" w:color="000000"/>
              <w:left w:val="single" w:sz="4" w:space="0" w:color="000000"/>
              <w:bottom w:val="single" w:sz="4" w:space="0" w:color="000000"/>
              <w:right w:val="single" w:sz="4" w:space="0" w:color="000000"/>
            </w:tcBorders>
            <w:vAlign w:val="center"/>
          </w:tcPr>
          <w:p w14:paraId="17586133" w14:textId="77777777" w:rsidR="006258B4" w:rsidRPr="003A1203" w:rsidRDefault="006258B4" w:rsidP="00536234">
            <w:pPr>
              <w:spacing w:line="360" w:lineRule="auto"/>
              <w:ind w:left="0" w:firstLine="12"/>
              <w:jc w:val="center"/>
              <w:rPr>
                <w:rFonts w:ascii="Times New Roman" w:hAnsi="Times New Roman" w:cs="Times New Roman"/>
                <w:sz w:val="20"/>
              </w:rPr>
            </w:pPr>
            <w:r w:rsidRPr="003A1203">
              <w:rPr>
                <w:rFonts w:ascii="Times New Roman" w:hAnsi="Times New Roman" w:cs="Times New Roman"/>
                <w:sz w:val="20"/>
              </w:rPr>
              <w:t xml:space="preserve">Denotes the companies in the sample, with i = </w:t>
            </w:r>
            <w:r w:rsidRPr="007D0AA3">
              <w:rPr>
                <w:rFonts w:ascii="Times New Roman" w:hAnsi="Times New Roman" w:cs="Times New Roman"/>
                <w:sz w:val="20"/>
              </w:rPr>
              <w:t>1,2</w:t>
            </w:r>
            <w:r w:rsidR="007D0AA3">
              <w:rPr>
                <w:rFonts w:ascii="Times New Roman" w:hAnsi="Times New Roman" w:cs="Times New Roman"/>
                <w:sz w:val="20"/>
              </w:rPr>
              <w:t>,</w:t>
            </w:r>
            <w:r w:rsidR="007D0AA3" w:rsidRPr="007D0AA3">
              <w:rPr>
                <w:rFonts w:ascii="Times New Roman" w:hAnsi="Times New Roman" w:cs="Times New Roman"/>
                <w:sz w:val="20"/>
              </w:rPr>
              <w:t>...8.</w:t>
            </w:r>
          </w:p>
        </w:tc>
        <w:tc>
          <w:tcPr>
            <w:tcW w:w="3196" w:type="dxa"/>
            <w:tcBorders>
              <w:top w:val="single" w:sz="4" w:space="0" w:color="000000"/>
              <w:left w:val="single" w:sz="4" w:space="0" w:color="000000"/>
              <w:bottom w:val="single" w:sz="4" w:space="0" w:color="000000"/>
              <w:right w:val="single" w:sz="4" w:space="0" w:color="000000"/>
            </w:tcBorders>
            <w:vAlign w:val="center"/>
          </w:tcPr>
          <w:p w14:paraId="349595D4"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Denotes the observation for each company in the sample</w:t>
            </w:r>
          </w:p>
        </w:tc>
        <w:tc>
          <w:tcPr>
            <w:tcW w:w="1464" w:type="dxa"/>
            <w:tcBorders>
              <w:top w:val="single" w:sz="4" w:space="0" w:color="000000"/>
              <w:left w:val="single" w:sz="4" w:space="0" w:color="000000"/>
              <w:bottom w:val="single" w:sz="4" w:space="0" w:color="000000"/>
              <w:right w:val="single" w:sz="4" w:space="0" w:color="000000"/>
            </w:tcBorders>
            <w:vAlign w:val="center"/>
          </w:tcPr>
          <w:p w14:paraId="69A1B79C" w14:textId="77777777" w:rsidR="006258B4" w:rsidRPr="003A1203" w:rsidRDefault="006258B4" w:rsidP="00536234">
            <w:pPr>
              <w:spacing w:line="360" w:lineRule="auto"/>
              <w:ind w:left="0"/>
              <w:jc w:val="center"/>
              <w:rPr>
                <w:rFonts w:ascii="Times New Roman" w:hAnsi="Times New Roman" w:cs="Times New Roman"/>
                <w:sz w:val="20"/>
              </w:rPr>
            </w:pPr>
          </w:p>
        </w:tc>
        <w:tc>
          <w:tcPr>
            <w:tcW w:w="1469" w:type="dxa"/>
            <w:tcBorders>
              <w:top w:val="single" w:sz="4" w:space="0" w:color="000000"/>
              <w:left w:val="single" w:sz="4" w:space="0" w:color="000000"/>
              <w:bottom w:val="single" w:sz="4" w:space="0" w:color="000000"/>
              <w:right w:val="single" w:sz="4" w:space="0" w:color="000000"/>
            </w:tcBorders>
            <w:vAlign w:val="center"/>
          </w:tcPr>
          <w:p w14:paraId="7C0DD474" w14:textId="77777777" w:rsidR="006258B4" w:rsidRPr="003A1203" w:rsidRDefault="006258B4" w:rsidP="00536234">
            <w:pPr>
              <w:spacing w:line="360" w:lineRule="auto"/>
              <w:ind w:left="0"/>
              <w:jc w:val="center"/>
              <w:rPr>
                <w:rFonts w:ascii="Times New Roman" w:hAnsi="Times New Roman" w:cs="Times New Roman"/>
                <w:sz w:val="20"/>
              </w:rPr>
            </w:pPr>
          </w:p>
        </w:tc>
      </w:tr>
      <w:tr w:rsidR="006258B4" w:rsidRPr="003A1203" w14:paraId="5F43BA4C" w14:textId="77777777" w:rsidTr="008463F8">
        <w:trPr>
          <w:trHeight w:val="1102"/>
        </w:trPr>
        <w:tc>
          <w:tcPr>
            <w:tcW w:w="1191" w:type="dxa"/>
            <w:tcBorders>
              <w:top w:val="single" w:sz="4" w:space="0" w:color="000000"/>
              <w:left w:val="single" w:sz="4" w:space="0" w:color="000000"/>
              <w:bottom w:val="single" w:sz="4" w:space="0" w:color="000000"/>
              <w:right w:val="single" w:sz="4" w:space="0" w:color="000000"/>
            </w:tcBorders>
            <w:vAlign w:val="center"/>
          </w:tcPr>
          <w:p w14:paraId="3EEF9CA6" w14:textId="77777777" w:rsidR="006258B4" w:rsidRPr="003A1203" w:rsidRDefault="003758A2" w:rsidP="00536234">
            <w:pPr>
              <w:spacing w:line="360" w:lineRule="auto"/>
              <w:ind w:left="0"/>
              <w:jc w:val="center"/>
              <w:rPr>
                <w:rFonts w:ascii="Times New Roman" w:hAnsi="Times New Roman" w:cs="Times New Roman"/>
                <w:sz w:val="20"/>
              </w:rPr>
            </w:pPr>
            <w:r w:rsidRPr="007D0AA3">
              <w:rPr>
                <w:rFonts w:ascii="Times New Roman" w:hAnsi="Times New Roman" w:cs="Times New Roman"/>
                <w:sz w:val="20"/>
              </w:rPr>
              <w:t>t</w:t>
            </w:r>
          </w:p>
        </w:tc>
        <w:tc>
          <w:tcPr>
            <w:tcW w:w="1755" w:type="dxa"/>
            <w:tcBorders>
              <w:top w:val="single" w:sz="4" w:space="0" w:color="000000"/>
              <w:left w:val="single" w:sz="4" w:space="0" w:color="000000"/>
              <w:bottom w:val="single" w:sz="4" w:space="0" w:color="000000"/>
              <w:right w:val="single" w:sz="4" w:space="0" w:color="000000"/>
            </w:tcBorders>
            <w:vAlign w:val="center"/>
          </w:tcPr>
          <w:p w14:paraId="095962C7"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Denotes the time period</w:t>
            </w:r>
          </w:p>
        </w:tc>
        <w:tc>
          <w:tcPr>
            <w:tcW w:w="3196" w:type="dxa"/>
            <w:tcBorders>
              <w:top w:val="single" w:sz="4" w:space="0" w:color="000000"/>
              <w:left w:val="single" w:sz="4" w:space="0" w:color="000000"/>
              <w:bottom w:val="single" w:sz="4" w:space="0" w:color="000000"/>
              <w:right w:val="single" w:sz="4" w:space="0" w:color="000000"/>
            </w:tcBorders>
            <w:vAlign w:val="center"/>
          </w:tcPr>
          <w:p w14:paraId="452F10EF" w14:textId="77777777" w:rsidR="006258B4" w:rsidRPr="003A1203" w:rsidRDefault="006258B4" w:rsidP="00536234">
            <w:pPr>
              <w:spacing w:line="360" w:lineRule="auto"/>
              <w:ind w:left="0"/>
              <w:jc w:val="center"/>
              <w:rPr>
                <w:rFonts w:ascii="Times New Roman" w:hAnsi="Times New Roman" w:cs="Times New Roman"/>
                <w:sz w:val="20"/>
              </w:rPr>
            </w:pPr>
            <w:r w:rsidRPr="003A1203">
              <w:rPr>
                <w:rFonts w:ascii="Times New Roman" w:hAnsi="Times New Roman" w:cs="Times New Roman"/>
                <w:sz w:val="20"/>
              </w:rPr>
              <w:t>The interval for time will be measured in annual units of time with one year beginning representative of a particular time period.</w:t>
            </w:r>
          </w:p>
        </w:tc>
        <w:tc>
          <w:tcPr>
            <w:tcW w:w="1464" w:type="dxa"/>
            <w:tcBorders>
              <w:top w:val="single" w:sz="4" w:space="0" w:color="000000"/>
              <w:left w:val="single" w:sz="4" w:space="0" w:color="000000"/>
              <w:bottom w:val="single" w:sz="4" w:space="0" w:color="000000"/>
              <w:right w:val="single" w:sz="4" w:space="0" w:color="000000"/>
            </w:tcBorders>
            <w:vAlign w:val="center"/>
          </w:tcPr>
          <w:p w14:paraId="39A973D8" w14:textId="77777777" w:rsidR="006258B4" w:rsidRPr="003A1203" w:rsidRDefault="006258B4" w:rsidP="00536234">
            <w:pPr>
              <w:spacing w:line="360" w:lineRule="auto"/>
              <w:ind w:left="0"/>
              <w:jc w:val="center"/>
              <w:rPr>
                <w:rFonts w:ascii="Times New Roman" w:hAnsi="Times New Roman" w:cs="Times New Roman"/>
                <w:sz w:val="20"/>
              </w:rPr>
            </w:pPr>
          </w:p>
        </w:tc>
        <w:tc>
          <w:tcPr>
            <w:tcW w:w="1469" w:type="dxa"/>
            <w:tcBorders>
              <w:top w:val="single" w:sz="4" w:space="0" w:color="000000"/>
              <w:left w:val="single" w:sz="4" w:space="0" w:color="000000"/>
              <w:bottom w:val="single" w:sz="4" w:space="0" w:color="000000"/>
              <w:right w:val="single" w:sz="4" w:space="0" w:color="000000"/>
            </w:tcBorders>
            <w:vAlign w:val="center"/>
          </w:tcPr>
          <w:p w14:paraId="34CE0933" w14:textId="77777777" w:rsidR="006258B4" w:rsidRPr="003A1203" w:rsidRDefault="006258B4" w:rsidP="00536234">
            <w:pPr>
              <w:spacing w:line="360" w:lineRule="auto"/>
              <w:ind w:left="0"/>
              <w:jc w:val="center"/>
              <w:rPr>
                <w:rFonts w:ascii="Times New Roman" w:hAnsi="Times New Roman" w:cs="Times New Roman"/>
                <w:sz w:val="20"/>
              </w:rPr>
            </w:pPr>
          </w:p>
        </w:tc>
      </w:tr>
    </w:tbl>
    <w:p w14:paraId="444EEE78" w14:textId="77777777" w:rsidR="006258B4" w:rsidRPr="003A1203" w:rsidRDefault="006258B4" w:rsidP="00536234">
      <w:pPr>
        <w:spacing w:line="480" w:lineRule="auto"/>
        <w:ind w:left="0" w:firstLine="0"/>
        <w:rPr>
          <w:rFonts w:ascii="Times New Roman" w:hAnsi="Times New Roman" w:cs="Times New Roman"/>
          <w:sz w:val="22"/>
        </w:rPr>
      </w:pPr>
    </w:p>
    <w:p w14:paraId="231F4AE9"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dependent variable in the model is the dividend pay-out ratio o</w:t>
      </w:r>
      <w:r>
        <w:rPr>
          <w:rFonts w:ascii="Times New Roman" w:hAnsi="Times New Roman" w:cs="Times New Roman"/>
          <w:sz w:val="22"/>
        </w:rPr>
        <w:t xml:space="preserve">f the sample companies. This has been </w:t>
      </w:r>
      <w:r w:rsidRPr="003A1203">
        <w:rPr>
          <w:rFonts w:ascii="Times New Roman" w:hAnsi="Times New Roman" w:cs="Times New Roman"/>
          <w:sz w:val="22"/>
        </w:rPr>
        <w:t>measured as the dividend declared by a company as a percentage of the company’s accounting earnings for that financial year (Harada</w:t>
      </w:r>
      <w:r>
        <w:rPr>
          <w:rFonts w:ascii="Times New Roman" w:hAnsi="Times New Roman" w:cs="Times New Roman"/>
          <w:sz w:val="22"/>
        </w:rPr>
        <w:t xml:space="preserve"> &amp;</w:t>
      </w:r>
      <w:r w:rsidRPr="003A1203">
        <w:rPr>
          <w:rFonts w:ascii="Times New Roman" w:hAnsi="Times New Roman" w:cs="Times New Roman"/>
          <w:sz w:val="22"/>
        </w:rPr>
        <w:t xml:space="preserve"> Nguyen, 2011). The decision to use this ratio as opposed to other measures such as dividend yield and dividend per share </w:t>
      </w:r>
      <w:r>
        <w:rPr>
          <w:rFonts w:ascii="Times New Roman" w:hAnsi="Times New Roman" w:cs="Times New Roman"/>
          <w:sz w:val="22"/>
        </w:rPr>
        <w:t>has been done in</w:t>
      </w:r>
      <w:r w:rsidRPr="003A1203">
        <w:rPr>
          <w:rFonts w:ascii="Times New Roman" w:hAnsi="Times New Roman" w:cs="Times New Roman"/>
          <w:sz w:val="22"/>
        </w:rPr>
        <w:t xml:space="preserve"> order to control for profitability (Edgerton, 2013). Dividend movements also tend to be highly correlated to that of earnings (Lintner, 1956). </w:t>
      </w:r>
    </w:p>
    <w:p w14:paraId="028993E8"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independent variable is a dummy variable representing the BBBEE deal implementation. This </w:t>
      </w:r>
      <w:r>
        <w:rPr>
          <w:rFonts w:ascii="Times New Roman" w:hAnsi="Times New Roman" w:cs="Times New Roman"/>
          <w:sz w:val="22"/>
        </w:rPr>
        <w:t xml:space="preserve">has </w:t>
      </w:r>
      <w:r w:rsidRPr="003A1203">
        <w:rPr>
          <w:rFonts w:ascii="Times New Roman" w:hAnsi="Times New Roman" w:cs="Times New Roman"/>
          <w:sz w:val="22"/>
        </w:rPr>
        <w:t>designate</w:t>
      </w:r>
      <w:r>
        <w:rPr>
          <w:rFonts w:ascii="Times New Roman" w:hAnsi="Times New Roman" w:cs="Times New Roman"/>
          <w:sz w:val="22"/>
        </w:rPr>
        <w:t>d</w:t>
      </w:r>
      <w:r w:rsidRPr="003A1203">
        <w:rPr>
          <w:rFonts w:ascii="Times New Roman" w:hAnsi="Times New Roman" w:cs="Times New Roman"/>
          <w:sz w:val="22"/>
        </w:rPr>
        <w:t xml:space="preserve"> both the treatment group as well as the control group (Wang</w:t>
      </w:r>
      <w:r>
        <w:rPr>
          <w:rFonts w:ascii="Times New Roman" w:hAnsi="Times New Roman" w:cs="Times New Roman"/>
          <w:sz w:val="22"/>
        </w:rPr>
        <w:t xml:space="preserve"> &amp;</w:t>
      </w:r>
      <w:r w:rsidRPr="003A1203">
        <w:rPr>
          <w:rFonts w:ascii="Times New Roman" w:hAnsi="Times New Roman" w:cs="Times New Roman"/>
          <w:sz w:val="22"/>
        </w:rPr>
        <w:t xml:space="preserve"> Guo, 2011).  </w:t>
      </w:r>
      <w:r>
        <w:rPr>
          <w:rFonts w:ascii="Times New Roman" w:hAnsi="Times New Roman" w:cs="Times New Roman"/>
          <w:sz w:val="22"/>
        </w:rPr>
        <w:t>Companies forming part of the treatment group for a particular year of study have been coded with a 1, while companies forming part of the control group for that same year of study have been coded with a 0. This was then repeated for the entire eight year study period</w:t>
      </w:r>
      <w:r w:rsidR="007D0AA3">
        <w:rPr>
          <w:rFonts w:ascii="Times New Roman" w:hAnsi="Times New Roman" w:cs="Times New Roman"/>
          <w:sz w:val="22"/>
        </w:rPr>
        <w:t xml:space="preserve"> (Suits, 2012)</w:t>
      </w:r>
      <w:r>
        <w:rPr>
          <w:rFonts w:ascii="Times New Roman" w:hAnsi="Times New Roman" w:cs="Times New Roman"/>
          <w:sz w:val="22"/>
        </w:rPr>
        <w:t>.</w:t>
      </w:r>
    </w:p>
    <w:p w14:paraId="72FBD4CA"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Control variables </w:t>
      </w:r>
      <w:r>
        <w:rPr>
          <w:rFonts w:ascii="Times New Roman" w:hAnsi="Times New Roman" w:cs="Times New Roman"/>
          <w:sz w:val="22"/>
        </w:rPr>
        <w:t>were</w:t>
      </w:r>
      <w:r w:rsidRPr="003A1203">
        <w:rPr>
          <w:rFonts w:ascii="Times New Roman" w:hAnsi="Times New Roman" w:cs="Times New Roman"/>
          <w:sz w:val="22"/>
        </w:rPr>
        <w:t xml:space="preserve"> used to control for the impact of other factors influencing dividend payments. This </w:t>
      </w:r>
      <w:r>
        <w:rPr>
          <w:rFonts w:ascii="Times New Roman" w:hAnsi="Times New Roman" w:cs="Times New Roman"/>
          <w:sz w:val="22"/>
        </w:rPr>
        <w:t>needed</w:t>
      </w:r>
      <w:r w:rsidRPr="003A1203">
        <w:rPr>
          <w:rFonts w:ascii="Times New Roman" w:hAnsi="Times New Roman" w:cs="Times New Roman"/>
          <w:sz w:val="22"/>
        </w:rPr>
        <w:t xml:space="preserve"> to be done in order to isolate the impact o</w:t>
      </w:r>
      <w:r w:rsidR="00587A6F">
        <w:rPr>
          <w:rFonts w:ascii="Times New Roman" w:hAnsi="Times New Roman" w:cs="Times New Roman"/>
          <w:sz w:val="22"/>
        </w:rPr>
        <w:t>f the BBBEE</w:t>
      </w:r>
      <w:r w:rsidRPr="003A1203">
        <w:rPr>
          <w:rFonts w:ascii="Times New Roman" w:hAnsi="Times New Roman" w:cs="Times New Roman"/>
          <w:sz w:val="22"/>
        </w:rPr>
        <w:t xml:space="preserve"> deal implementation on dividend pay-out ratios. The control variab</w:t>
      </w:r>
      <w:r>
        <w:rPr>
          <w:rFonts w:ascii="Times New Roman" w:hAnsi="Times New Roman" w:cs="Times New Roman"/>
          <w:sz w:val="22"/>
        </w:rPr>
        <w:t>les used have catered for (1) Size, (2) Capital Structure, (3) Gr</w:t>
      </w:r>
      <w:r w:rsidRPr="003A1203">
        <w:rPr>
          <w:rFonts w:ascii="Times New Roman" w:hAnsi="Times New Roman" w:cs="Times New Roman"/>
          <w:sz w:val="22"/>
        </w:rPr>
        <w:t xml:space="preserve">owth </w:t>
      </w:r>
      <w:r>
        <w:rPr>
          <w:rFonts w:ascii="Times New Roman" w:hAnsi="Times New Roman" w:cs="Times New Roman"/>
          <w:sz w:val="22"/>
        </w:rPr>
        <w:t>(4) Liquidity, (5) Profitability and (6) JSE S</w:t>
      </w:r>
      <w:r w:rsidRPr="003A1203">
        <w:rPr>
          <w:rFonts w:ascii="Times New Roman" w:hAnsi="Times New Roman" w:cs="Times New Roman"/>
          <w:sz w:val="22"/>
        </w:rPr>
        <w:t>ector.  Control variable coefficients are repre</w:t>
      </w:r>
      <w:r>
        <w:rPr>
          <w:rFonts w:ascii="Times New Roman" w:hAnsi="Times New Roman" w:cs="Times New Roman"/>
          <w:sz w:val="22"/>
        </w:rPr>
        <w:t>sented by the variables β2 to β7</w:t>
      </w:r>
      <w:r w:rsidRPr="003A1203">
        <w:rPr>
          <w:rFonts w:ascii="Times New Roman" w:hAnsi="Times New Roman" w:cs="Times New Roman"/>
          <w:sz w:val="22"/>
        </w:rPr>
        <w:t xml:space="preserve"> in the model above.  </w:t>
      </w:r>
    </w:p>
    <w:p w14:paraId="421F3B5A" w14:textId="77777777" w:rsidR="006258B4" w:rsidRPr="003A1203" w:rsidRDefault="00587A6F" w:rsidP="00536234">
      <w:pPr>
        <w:spacing w:line="480" w:lineRule="auto"/>
        <w:ind w:left="0"/>
        <w:rPr>
          <w:rFonts w:ascii="Times New Roman" w:hAnsi="Times New Roman" w:cs="Times New Roman"/>
          <w:sz w:val="22"/>
        </w:rPr>
      </w:pPr>
      <w:r>
        <w:rPr>
          <w:rFonts w:ascii="Times New Roman" w:hAnsi="Times New Roman" w:cs="Times New Roman"/>
          <w:sz w:val="22"/>
        </w:rPr>
        <w:lastRenderedPageBreak/>
        <w:t xml:space="preserve">Despite all the control variables listed in Table 1, a </w:t>
      </w:r>
      <w:r w:rsidR="006258B4" w:rsidRPr="003A1203">
        <w:rPr>
          <w:rFonts w:ascii="Times New Roman" w:hAnsi="Times New Roman" w:cs="Times New Roman"/>
          <w:sz w:val="22"/>
        </w:rPr>
        <w:t xml:space="preserve">control variable for tax </w:t>
      </w:r>
      <w:r w:rsidR="006258B4">
        <w:rPr>
          <w:rFonts w:ascii="Times New Roman" w:hAnsi="Times New Roman" w:cs="Times New Roman"/>
          <w:sz w:val="22"/>
        </w:rPr>
        <w:t>did not need to</w:t>
      </w:r>
      <w:r w:rsidR="006258B4" w:rsidRPr="003A1203">
        <w:rPr>
          <w:rFonts w:ascii="Times New Roman" w:hAnsi="Times New Roman" w:cs="Times New Roman"/>
          <w:sz w:val="22"/>
        </w:rPr>
        <w:t xml:space="preserve"> be incorporated into the formula in order to account for any differing effects of tax on the dividends paid throughout the</w:t>
      </w:r>
      <w:r w:rsidR="004D1864">
        <w:rPr>
          <w:rFonts w:ascii="Times New Roman" w:hAnsi="Times New Roman" w:cs="Times New Roman"/>
          <w:sz w:val="22"/>
        </w:rPr>
        <w:t xml:space="preserve"> entire</w:t>
      </w:r>
      <w:r w:rsidR="006258B4" w:rsidRPr="003A1203">
        <w:rPr>
          <w:rFonts w:ascii="Times New Roman" w:hAnsi="Times New Roman" w:cs="Times New Roman"/>
          <w:sz w:val="22"/>
        </w:rPr>
        <w:t xml:space="preserve"> period of study. This is due to the fact that Secondary Tax on Companies was the only tax on dividends throughout the period of study and remained</w:t>
      </w:r>
      <w:r w:rsidR="004D1864">
        <w:rPr>
          <w:rFonts w:ascii="Times New Roman" w:hAnsi="Times New Roman" w:cs="Times New Roman"/>
          <w:sz w:val="22"/>
        </w:rPr>
        <w:t xml:space="preserve"> the same between the years 1999</w:t>
      </w:r>
      <w:r w:rsidR="006258B4" w:rsidRPr="003A1203">
        <w:rPr>
          <w:rFonts w:ascii="Times New Roman" w:hAnsi="Times New Roman" w:cs="Times New Roman"/>
          <w:sz w:val="22"/>
        </w:rPr>
        <w:t xml:space="preserve"> and 2006. Secondary Tax on companies was only replaced with Dividends Tax in the year 2012.</w:t>
      </w:r>
      <w:r w:rsidR="004D1864">
        <w:rPr>
          <w:rFonts w:ascii="Times New Roman" w:hAnsi="Times New Roman" w:cs="Times New Roman"/>
          <w:sz w:val="22"/>
        </w:rPr>
        <w:t xml:space="preserve"> However, the rate of Secondary Tax on Companies did change on either side of the sample period selected.</w:t>
      </w:r>
      <w:r w:rsidR="006258B4" w:rsidRPr="003A1203">
        <w:rPr>
          <w:rFonts w:ascii="Times New Roman" w:hAnsi="Times New Roman" w:cs="Times New Roman"/>
          <w:sz w:val="22"/>
        </w:rPr>
        <w:t xml:space="preserve"> </w:t>
      </w:r>
      <w:r w:rsidR="006258B4">
        <w:rPr>
          <w:rFonts w:ascii="Times New Roman" w:hAnsi="Times New Roman" w:cs="Times New Roman"/>
          <w:sz w:val="22"/>
        </w:rPr>
        <w:t>This was</w:t>
      </w:r>
      <w:r w:rsidR="004D1864">
        <w:rPr>
          <w:rFonts w:ascii="Times New Roman" w:hAnsi="Times New Roman" w:cs="Times New Roman"/>
          <w:sz w:val="22"/>
        </w:rPr>
        <w:t>, again,</w:t>
      </w:r>
      <w:r w:rsidR="006258B4">
        <w:rPr>
          <w:rFonts w:ascii="Times New Roman" w:hAnsi="Times New Roman" w:cs="Times New Roman"/>
          <w:sz w:val="22"/>
        </w:rPr>
        <w:t xml:space="preserve"> the major reason for choosing the</w:t>
      </w:r>
      <w:r w:rsidR="004D1864">
        <w:rPr>
          <w:rFonts w:ascii="Times New Roman" w:hAnsi="Times New Roman" w:cs="Times New Roman"/>
          <w:sz w:val="22"/>
        </w:rPr>
        <w:t xml:space="preserve"> particular period of</w:t>
      </w:r>
      <w:r w:rsidR="006258B4">
        <w:rPr>
          <w:rFonts w:ascii="Times New Roman" w:hAnsi="Times New Roman" w:cs="Times New Roman"/>
          <w:sz w:val="22"/>
        </w:rPr>
        <w:t xml:space="preserve"> study</w:t>
      </w:r>
      <w:r w:rsidR="004D1864">
        <w:rPr>
          <w:rFonts w:ascii="Times New Roman" w:hAnsi="Times New Roman" w:cs="Times New Roman"/>
          <w:sz w:val="22"/>
        </w:rPr>
        <w:t xml:space="preserve"> described in the Sample and Data section of this Chapter</w:t>
      </w:r>
      <w:r w:rsidR="006258B4">
        <w:rPr>
          <w:rFonts w:ascii="Times New Roman" w:hAnsi="Times New Roman" w:cs="Times New Roman"/>
          <w:sz w:val="22"/>
        </w:rPr>
        <w:t>.</w:t>
      </w:r>
      <w:r w:rsidR="006258B4" w:rsidRPr="003A1203">
        <w:rPr>
          <w:rFonts w:ascii="Times New Roman" w:hAnsi="Times New Roman" w:cs="Times New Roman"/>
          <w:sz w:val="22"/>
        </w:rPr>
        <w:t xml:space="preserve"> </w:t>
      </w:r>
    </w:p>
    <w:p w14:paraId="4334C0BD"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Fama and French (2001) found the size of a firm to be a key determinant of dividend payments. They observed that companies paying dividends tend to be larg</w:t>
      </w:r>
      <w:r w:rsidR="004D1864">
        <w:rPr>
          <w:rFonts w:ascii="Times New Roman" w:hAnsi="Times New Roman" w:cs="Times New Roman"/>
          <w:sz w:val="22"/>
        </w:rPr>
        <w:t xml:space="preserve">er in size as compared to </w:t>
      </w:r>
      <w:r w:rsidRPr="003A1203">
        <w:rPr>
          <w:rFonts w:ascii="Times New Roman" w:hAnsi="Times New Roman" w:cs="Times New Roman"/>
          <w:sz w:val="22"/>
        </w:rPr>
        <w:t xml:space="preserve">nonpayers. This is due to the limited growth prospects that these larger companies generally face.  It has also been determined that there are distinct differences in the dividend policy of companies over their life cycles. The factors causing this are due to changes in growth rates, cash flows and project availability. All these factors can be appropriately determined to be a proxy of that companies’ respective firm size. The natural logarithm of total assets is the widely used control variable for firm size and </w:t>
      </w:r>
      <w:r>
        <w:rPr>
          <w:rFonts w:ascii="Times New Roman" w:hAnsi="Times New Roman" w:cs="Times New Roman"/>
          <w:sz w:val="22"/>
        </w:rPr>
        <w:t>has been</w:t>
      </w:r>
      <w:r w:rsidRPr="003A1203">
        <w:rPr>
          <w:rFonts w:ascii="Times New Roman" w:hAnsi="Times New Roman" w:cs="Times New Roman"/>
          <w:sz w:val="22"/>
        </w:rPr>
        <w:t xml:space="preserve"> used to control for firm size </w:t>
      </w:r>
      <w:r>
        <w:rPr>
          <w:rFonts w:ascii="Times New Roman" w:hAnsi="Times New Roman" w:cs="Times New Roman"/>
          <w:sz w:val="22"/>
        </w:rPr>
        <w:t>for the purposes of completing this study</w:t>
      </w:r>
      <w:r w:rsidRPr="003A1203">
        <w:rPr>
          <w:rFonts w:ascii="Times New Roman" w:hAnsi="Times New Roman" w:cs="Times New Roman"/>
          <w:sz w:val="22"/>
        </w:rPr>
        <w:t xml:space="preserve"> (Wang</w:t>
      </w:r>
      <w:r>
        <w:rPr>
          <w:rFonts w:ascii="Times New Roman" w:hAnsi="Times New Roman" w:cs="Times New Roman"/>
          <w:sz w:val="22"/>
        </w:rPr>
        <w:t xml:space="preserve"> &amp;</w:t>
      </w:r>
      <w:r w:rsidRPr="003A1203">
        <w:rPr>
          <w:rFonts w:ascii="Times New Roman" w:hAnsi="Times New Roman" w:cs="Times New Roman"/>
          <w:sz w:val="22"/>
        </w:rPr>
        <w:t xml:space="preserve"> Guo, 2011). </w:t>
      </w:r>
    </w:p>
    <w:p w14:paraId="59D2F2B8"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second control variable </w:t>
      </w:r>
      <w:r w:rsidR="004D1864">
        <w:rPr>
          <w:rFonts w:ascii="Times New Roman" w:hAnsi="Times New Roman" w:cs="Times New Roman"/>
          <w:sz w:val="22"/>
        </w:rPr>
        <w:t>refers to the capital structure of selected companies</w:t>
      </w:r>
      <w:r w:rsidRPr="003A1203">
        <w:rPr>
          <w:rFonts w:ascii="Times New Roman" w:hAnsi="Times New Roman" w:cs="Times New Roman"/>
          <w:sz w:val="22"/>
        </w:rPr>
        <w:t>. A firm’s level of debt will impact</w:t>
      </w:r>
      <w:r w:rsidR="004D1864">
        <w:rPr>
          <w:rFonts w:ascii="Times New Roman" w:hAnsi="Times New Roman" w:cs="Times New Roman"/>
          <w:sz w:val="22"/>
        </w:rPr>
        <w:t xml:space="preserve"> on</w:t>
      </w:r>
      <w:r w:rsidRPr="003A1203">
        <w:rPr>
          <w:rFonts w:ascii="Times New Roman" w:hAnsi="Times New Roman" w:cs="Times New Roman"/>
          <w:sz w:val="22"/>
        </w:rPr>
        <w:t xml:space="preserve"> its capacity to pay a dividend. Highly leveraged companies will have less ability to pay dividends. This is due to the fact that conditions such as loans covenants will have to </w:t>
      </w:r>
      <w:r w:rsidR="004D1864">
        <w:rPr>
          <w:rFonts w:ascii="Times New Roman" w:hAnsi="Times New Roman" w:cs="Times New Roman"/>
          <w:sz w:val="22"/>
        </w:rPr>
        <w:t>first be met</w:t>
      </w:r>
      <w:r w:rsidRPr="003A1203">
        <w:rPr>
          <w:rFonts w:ascii="Times New Roman" w:hAnsi="Times New Roman" w:cs="Times New Roman"/>
          <w:sz w:val="22"/>
        </w:rPr>
        <w:t xml:space="preserve"> (Damodaran, 1996). The ratio of total debt to total equity is used as a measure of capital structure and </w:t>
      </w:r>
      <w:r>
        <w:rPr>
          <w:rFonts w:ascii="Times New Roman" w:hAnsi="Times New Roman" w:cs="Times New Roman"/>
          <w:sz w:val="22"/>
        </w:rPr>
        <w:t>has been</w:t>
      </w:r>
      <w:r w:rsidRPr="003A1203">
        <w:rPr>
          <w:rFonts w:ascii="Times New Roman" w:hAnsi="Times New Roman" w:cs="Times New Roman"/>
          <w:sz w:val="22"/>
        </w:rPr>
        <w:t xml:space="preserve"> used for the purpose of carrying out this study (Wang</w:t>
      </w:r>
      <w:r>
        <w:rPr>
          <w:rFonts w:ascii="Times New Roman" w:hAnsi="Times New Roman" w:cs="Times New Roman"/>
          <w:sz w:val="22"/>
        </w:rPr>
        <w:t xml:space="preserve"> &amp;</w:t>
      </w:r>
      <w:r w:rsidRPr="003A1203">
        <w:rPr>
          <w:rFonts w:ascii="Times New Roman" w:hAnsi="Times New Roman" w:cs="Times New Roman"/>
          <w:sz w:val="22"/>
        </w:rPr>
        <w:t xml:space="preserve"> Guo, 2011). </w:t>
      </w:r>
      <w:r>
        <w:rPr>
          <w:rFonts w:ascii="Times New Roman" w:hAnsi="Times New Roman" w:cs="Times New Roman"/>
          <w:sz w:val="22"/>
        </w:rPr>
        <w:t>This measure of total debt used to calculate this ratio consisted of both long-term and short-term debt.</w:t>
      </w:r>
    </w:p>
    <w:p w14:paraId="0CB65171"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availability of growth an</w:t>
      </w:r>
      <w:r w:rsidR="004D1864">
        <w:rPr>
          <w:rFonts w:ascii="Times New Roman" w:hAnsi="Times New Roman" w:cs="Times New Roman"/>
          <w:sz w:val="22"/>
        </w:rPr>
        <w:t xml:space="preserve">d investment opportunities </w:t>
      </w:r>
      <w:r w:rsidRPr="003A1203">
        <w:rPr>
          <w:rFonts w:ascii="Times New Roman" w:hAnsi="Times New Roman" w:cs="Times New Roman"/>
          <w:sz w:val="22"/>
        </w:rPr>
        <w:t xml:space="preserve">also affect companies’ dividend decisions. Due to this, it will be considered to be another variable which will need to be controlled for.  Companies with various potential high growth projects are more likely to use internally generated equity to fund these investments </w:t>
      </w:r>
      <w:r w:rsidR="004D1864">
        <w:rPr>
          <w:rFonts w:ascii="Times New Roman" w:hAnsi="Times New Roman" w:cs="Times New Roman"/>
          <w:sz w:val="22"/>
        </w:rPr>
        <w:t>instead of giving these funds</w:t>
      </w:r>
      <w:r w:rsidRPr="003A1203">
        <w:rPr>
          <w:rFonts w:ascii="Times New Roman" w:hAnsi="Times New Roman" w:cs="Times New Roman"/>
          <w:sz w:val="22"/>
        </w:rPr>
        <w:t xml:space="preserve"> away to shareholders (Miller</w:t>
      </w:r>
      <w:r>
        <w:rPr>
          <w:rFonts w:ascii="Times New Roman" w:hAnsi="Times New Roman" w:cs="Times New Roman"/>
          <w:sz w:val="22"/>
        </w:rPr>
        <w:t xml:space="preserve"> &amp;</w:t>
      </w:r>
      <w:r w:rsidRPr="003A1203">
        <w:rPr>
          <w:rFonts w:ascii="Times New Roman" w:hAnsi="Times New Roman" w:cs="Times New Roman"/>
          <w:sz w:val="22"/>
        </w:rPr>
        <w:t xml:space="preserve"> Modigliani, 1961). This </w:t>
      </w:r>
      <w:r w:rsidRPr="003A1203">
        <w:rPr>
          <w:rFonts w:ascii="Times New Roman" w:hAnsi="Times New Roman" w:cs="Times New Roman"/>
          <w:sz w:val="22"/>
        </w:rPr>
        <w:lastRenderedPageBreak/>
        <w:t>is due to the fact that internal forms of financing are considered to be cheaper than alternate external financing options. The price-to-book ratio is often associated with growth opportunities (Fama</w:t>
      </w:r>
      <w:r>
        <w:rPr>
          <w:rFonts w:ascii="Times New Roman" w:hAnsi="Times New Roman" w:cs="Times New Roman"/>
          <w:sz w:val="22"/>
        </w:rPr>
        <w:t xml:space="preserve"> &amp;</w:t>
      </w:r>
      <w:r w:rsidRPr="003A1203">
        <w:rPr>
          <w:rFonts w:ascii="Times New Roman" w:hAnsi="Times New Roman" w:cs="Times New Roman"/>
          <w:sz w:val="22"/>
        </w:rPr>
        <w:t xml:space="preserve"> French, 2001), with Bhattacharya (1979) stating that the relationship between the price-to-book ratio and dividend pay-outs should be negative. The price-book ratio </w:t>
      </w:r>
      <w:r>
        <w:rPr>
          <w:rFonts w:ascii="Times New Roman" w:hAnsi="Times New Roman" w:cs="Times New Roman"/>
          <w:sz w:val="22"/>
        </w:rPr>
        <w:t>has been</w:t>
      </w:r>
      <w:r w:rsidRPr="003A1203">
        <w:rPr>
          <w:rFonts w:ascii="Times New Roman" w:hAnsi="Times New Roman" w:cs="Times New Roman"/>
          <w:sz w:val="22"/>
        </w:rPr>
        <w:t xml:space="preserve"> calculated as the market price per share divided by book value of equity per share. </w:t>
      </w:r>
    </w:p>
    <w:p w14:paraId="495F124C" w14:textId="4400D8F0" w:rsidR="006258B4"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The fourth control variable is liquidity</w:t>
      </w:r>
      <w:r w:rsidR="004D1864">
        <w:rPr>
          <w:rFonts w:ascii="Times New Roman" w:hAnsi="Times New Roman" w:cs="Times New Roman"/>
          <w:sz w:val="22"/>
        </w:rPr>
        <w:t>. A company’s liquidity levels</w:t>
      </w:r>
      <w:r w:rsidRPr="003A1203">
        <w:rPr>
          <w:rFonts w:ascii="Times New Roman" w:hAnsi="Times New Roman" w:cs="Times New Roman"/>
          <w:sz w:val="22"/>
        </w:rPr>
        <w:t xml:space="preserve"> impact on its ability to pay dividends (</w:t>
      </w:r>
      <w:r w:rsidR="00754828">
        <w:rPr>
          <w:rFonts w:ascii="Times New Roman" w:hAnsi="Times New Roman" w:cs="Times New Roman"/>
          <w:sz w:val="22"/>
        </w:rPr>
        <w:t xml:space="preserve">R. </w:t>
      </w:r>
      <w:r w:rsidRPr="003A1203">
        <w:rPr>
          <w:rFonts w:ascii="Times New Roman" w:hAnsi="Times New Roman" w:cs="Times New Roman"/>
          <w:sz w:val="22"/>
        </w:rPr>
        <w:t>Brealey</w:t>
      </w:r>
      <w:r w:rsidR="00754828">
        <w:rPr>
          <w:rFonts w:ascii="Times New Roman" w:hAnsi="Times New Roman" w:cs="Times New Roman"/>
          <w:sz w:val="22"/>
        </w:rPr>
        <w:t>,</w:t>
      </w:r>
      <w:r w:rsidR="005A034F" w:rsidRPr="005A034F">
        <w:rPr>
          <w:rFonts w:ascii="Times New Roman" w:hAnsi="Times New Roman" w:cs="Times New Roman"/>
          <w:sz w:val="22"/>
        </w:rPr>
        <w:t xml:space="preserve"> M</w:t>
      </w:r>
      <w:r w:rsidR="005A034F">
        <w:rPr>
          <w:rFonts w:ascii="Times New Roman" w:hAnsi="Times New Roman" w:cs="Times New Roman"/>
          <w:sz w:val="22"/>
        </w:rPr>
        <w:t>yers</w:t>
      </w:r>
      <w:r w:rsidR="00754828">
        <w:rPr>
          <w:rFonts w:ascii="Times New Roman" w:hAnsi="Times New Roman" w:cs="Times New Roman"/>
          <w:sz w:val="22"/>
        </w:rPr>
        <w:t>,</w:t>
      </w:r>
      <w:r w:rsidR="005A034F">
        <w:rPr>
          <w:rFonts w:ascii="Times New Roman" w:hAnsi="Times New Roman" w:cs="Times New Roman"/>
          <w:sz w:val="22"/>
        </w:rPr>
        <w:t xml:space="preserve"> </w:t>
      </w:r>
      <w:r w:rsidR="005A034F" w:rsidRPr="005A034F">
        <w:rPr>
          <w:rFonts w:ascii="Times New Roman" w:hAnsi="Times New Roman" w:cs="Times New Roman"/>
          <w:sz w:val="22"/>
        </w:rPr>
        <w:t>&amp; M</w:t>
      </w:r>
      <w:r w:rsidR="005A034F">
        <w:rPr>
          <w:rFonts w:ascii="Times New Roman" w:hAnsi="Times New Roman" w:cs="Times New Roman"/>
          <w:sz w:val="22"/>
        </w:rPr>
        <w:t>arcus</w:t>
      </w:r>
      <w:r w:rsidRPr="003A1203">
        <w:rPr>
          <w:rFonts w:ascii="Times New Roman" w:hAnsi="Times New Roman" w:cs="Times New Roman"/>
          <w:sz w:val="22"/>
        </w:rPr>
        <w:t>, 2007). Section 46 of the Companies Act, 2008 requires companies in South Africa to satisfy the liquidity test before dividends can be declared by them.</w:t>
      </w:r>
      <w:r>
        <w:rPr>
          <w:rFonts w:ascii="Times New Roman" w:hAnsi="Times New Roman" w:cs="Times New Roman"/>
          <w:sz w:val="22"/>
        </w:rPr>
        <w:t xml:space="preserve"> Even though this regulation only came into effect after the study period, it is believed that it is in response to evaluations conducted and problems identified during the study period at hand. Therefore, it is likely that liquidity levels </w:t>
      </w:r>
      <w:r w:rsidR="004D1864">
        <w:rPr>
          <w:rFonts w:ascii="Times New Roman" w:hAnsi="Times New Roman" w:cs="Times New Roman"/>
          <w:sz w:val="22"/>
        </w:rPr>
        <w:t>during the time period selected will have an impact on</w:t>
      </w:r>
      <w:r>
        <w:rPr>
          <w:rFonts w:ascii="Times New Roman" w:hAnsi="Times New Roman" w:cs="Times New Roman"/>
          <w:sz w:val="22"/>
        </w:rPr>
        <w:t xml:space="preserve"> dividend pay-out policies. As such, it is likely that highly liquid companies will be the ones paying higher amounts of dividends.</w:t>
      </w:r>
      <w:r w:rsidRPr="003A1203">
        <w:rPr>
          <w:rFonts w:ascii="Times New Roman" w:hAnsi="Times New Roman" w:cs="Times New Roman"/>
          <w:sz w:val="22"/>
        </w:rPr>
        <w:t xml:space="preserve"> To control for this effect, t</w:t>
      </w:r>
      <w:r>
        <w:rPr>
          <w:rFonts w:ascii="Times New Roman" w:hAnsi="Times New Roman" w:cs="Times New Roman"/>
          <w:sz w:val="22"/>
        </w:rPr>
        <w:t>he current ratio of companies will be</w:t>
      </w:r>
      <w:r w:rsidRPr="003A1203">
        <w:rPr>
          <w:rFonts w:ascii="Times New Roman" w:hAnsi="Times New Roman" w:cs="Times New Roman"/>
          <w:sz w:val="22"/>
        </w:rPr>
        <w:t xml:space="preserve"> included</w:t>
      </w:r>
      <w:r w:rsidR="004D1864">
        <w:rPr>
          <w:rFonts w:ascii="Times New Roman" w:hAnsi="Times New Roman" w:cs="Times New Roman"/>
          <w:sz w:val="22"/>
        </w:rPr>
        <w:t xml:space="preserve"> in the study</w:t>
      </w:r>
      <w:r w:rsidRPr="003A1203">
        <w:rPr>
          <w:rFonts w:ascii="Times New Roman" w:hAnsi="Times New Roman" w:cs="Times New Roman"/>
          <w:sz w:val="22"/>
        </w:rPr>
        <w:t xml:space="preserve">. The ratio of current assets to current liabilities </w:t>
      </w:r>
      <w:r>
        <w:rPr>
          <w:rFonts w:ascii="Times New Roman" w:hAnsi="Times New Roman" w:cs="Times New Roman"/>
          <w:sz w:val="22"/>
        </w:rPr>
        <w:t>has been used</w:t>
      </w:r>
      <w:r w:rsidR="004D1864">
        <w:rPr>
          <w:rFonts w:ascii="Times New Roman" w:hAnsi="Times New Roman" w:cs="Times New Roman"/>
          <w:sz w:val="22"/>
        </w:rPr>
        <w:t xml:space="preserve"> to measure</w:t>
      </w:r>
      <w:r w:rsidRPr="003A1203">
        <w:rPr>
          <w:rFonts w:ascii="Times New Roman" w:hAnsi="Times New Roman" w:cs="Times New Roman"/>
          <w:sz w:val="22"/>
        </w:rPr>
        <w:t xml:space="preserve"> liquidity (Wang</w:t>
      </w:r>
      <w:r>
        <w:rPr>
          <w:rFonts w:ascii="Times New Roman" w:hAnsi="Times New Roman" w:cs="Times New Roman"/>
          <w:sz w:val="22"/>
        </w:rPr>
        <w:t xml:space="preserve"> &amp;</w:t>
      </w:r>
      <w:r w:rsidRPr="003A1203">
        <w:rPr>
          <w:rFonts w:ascii="Times New Roman" w:hAnsi="Times New Roman" w:cs="Times New Roman"/>
          <w:sz w:val="22"/>
        </w:rPr>
        <w:t xml:space="preserve"> Guo, 2011). </w:t>
      </w:r>
    </w:p>
    <w:p w14:paraId="5F4DDAEE" w14:textId="0DD4BA22" w:rsidR="006258B4" w:rsidRDefault="006258B4" w:rsidP="00536234">
      <w:pPr>
        <w:spacing w:line="480" w:lineRule="auto"/>
        <w:ind w:left="0"/>
        <w:rPr>
          <w:rFonts w:ascii="Times New Roman" w:hAnsi="Times New Roman" w:cs="Times New Roman"/>
          <w:sz w:val="22"/>
        </w:rPr>
      </w:pPr>
      <w:r w:rsidRPr="003F4933">
        <w:rPr>
          <w:rFonts w:ascii="Times New Roman" w:hAnsi="Times New Roman" w:cs="Times New Roman"/>
          <w:sz w:val="22"/>
        </w:rPr>
        <w:t xml:space="preserve">The next variable controlled for </w:t>
      </w:r>
      <w:r>
        <w:rPr>
          <w:rFonts w:ascii="Times New Roman" w:hAnsi="Times New Roman" w:cs="Times New Roman"/>
          <w:sz w:val="22"/>
        </w:rPr>
        <w:t>was th</w:t>
      </w:r>
      <w:r w:rsidRPr="003F4933">
        <w:rPr>
          <w:rFonts w:ascii="Times New Roman" w:hAnsi="Times New Roman" w:cs="Times New Roman"/>
          <w:sz w:val="22"/>
        </w:rPr>
        <w:t xml:space="preserve">e profitability of </w:t>
      </w:r>
      <w:r>
        <w:rPr>
          <w:rFonts w:ascii="Times New Roman" w:hAnsi="Times New Roman" w:cs="Times New Roman"/>
          <w:sz w:val="22"/>
        </w:rPr>
        <w:t>the companies included in the study</w:t>
      </w:r>
      <w:r w:rsidRPr="003F4933">
        <w:rPr>
          <w:rFonts w:ascii="Times New Roman" w:hAnsi="Times New Roman" w:cs="Times New Roman"/>
          <w:sz w:val="22"/>
        </w:rPr>
        <w:t xml:space="preserve">. Profitability is represented in this study by the </w:t>
      </w:r>
      <w:r>
        <w:rPr>
          <w:rFonts w:ascii="Times New Roman" w:hAnsi="Times New Roman" w:cs="Times New Roman"/>
          <w:sz w:val="22"/>
        </w:rPr>
        <w:t>percentage return on assets of companies</w:t>
      </w:r>
      <w:r w:rsidRPr="003F4933">
        <w:rPr>
          <w:rFonts w:ascii="Times New Roman" w:hAnsi="Times New Roman" w:cs="Times New Roman"/>
          <w:sz w:val="22"/>
        </w:rPr>
        <w:t>. This is because</w:t>
      </w:r>
      <w:r w:rsidR="004D1864">
        <w:rPr>
          <w:rFonts w:ascii="Times New Roman" w:hAnsi="Times New Roman" w:cs="Times New Roman"/>
          <w:sz w:val="22"/>
        </w:rPr>
        <w:t>,</w:t>
      </w:r>
      <w:r w:rsidRPr="003F4933">
        <w:rPr>
          <w:rFonts w:ascii="Times New Roman" w:hAnsi="Times New Roman" w:cs="Times New Roman"/>
          <w:sz w:val="22"/>
        </w:rPr>
        <w:t xml:space="preserve"> in prior studies, profitability and dividend pay</w:t>
      </w:r>
      <w:r>
        <w:rPr>
          <w:rFonts w:ascii="Times New Roman" w:hAnsi="Times New Roman" w:cs="Times New Roman"/>
          <w:sz w:val="22"/>
        </w:rPr>
        <w:t>-</w:t>
      </w:r>
      <w:r w:rsidRPr="003F4933">
        <w:rPr>
          <w:rFonts w:ascii="Times New Roman" w:hAnsi="Times New Roman" w:cs="Times New Roman"/>
          <w:sz w:val="22"/>
        </w:rPr>
        <w:t>outs have shown to be correlated. Firms with more profits tend to distribute higher</w:t>
      </w:r>
      <w:r w:rsidR="004D1864">
        <w:rPr>
          <w:rFonts w:ascii="Times New Roman" w:hAnsi="Times New Roman" w:cs="Times New Roman"/>
          <w:sz w:val="22"/>
        </w:rPr>
        <w:t xml:space="preserve"> dividends as they are able to afford it.</w:t>
      </w:r>
      <w:r w:rsidRPr="003F4933">
        <w:rPr>
          <w:rFonts w:ascii="Times New Roman" w:hAnsi="Times New Roman" w:cs="Times New Roman"/>
          <w:sz w:val="22"/>
        </w:rPr>
        <w:t xml:space="preserve"> </w:t>
      </w:r>
      <w:r w:rsidR="004D1864">
        <w:rPr>
          <w:rFonts w:ascii="Times New Roman" w:hAnsi="Times New Roman" w:cs="Times New Roman"/>
          <w:sz w:val="22"/>
        </w:rPr>
        <w:t>This is compared to companies</w:t>
      </w:r>
      <w:r w:rsidRPr="003F4933">
        <w:rPr>
          <w:rFonts w:ascii="Times New Roman" w:hAnsi="Times New Roman" w:cs="Times New Roman"/>
          <w:sz w:val="22"/>
        </w:rPr>
        <w:t xml:space="preserve"> with </w:t>
      </w:r>
      <w:r w:rsidR="004F79F8">
        <w:rPr>
          <w:rFonts w:ascii="Times New Roman" w:hAnsi="Times New Roman" w:cs="Times New Roman"/>
          <w:sz w:val="22"/>
        </w:rPr>
        <w:t>lower</w:t>
      </w:r>
      <w:r w:rsidRPr="003F4933">
        <w:rPr>
          <w:rFonts w:ascii="Times New Roman" w:hAnsi="Times New Roman" w:cs="Times New Roman"/>
          <w:sz w:val="22"/>
        </w:rPr>
        <w:t xml:space="preserve"> profits </w:t>
      </w:r>
      <w:r w:rsidR="004F79F8">
        <w:rPr>
          <w:rFonts w:ascii="Times New Roman" w:hAnsi="Times New Roman" w:cs="Times New Roman"/>
          <w:sz w:val="22"/>
        </w:rPr>
        <w:t>who will choose to distribute less</w:t>
      </w:r>
      <w:r w:rsidRPr="003F4933">
        <w:rPr>
          <w:rFonts w:ascii="Times New Roman" w:hAnsi="Times New Roman" w:cs="Times New Roman"/>
          <w:sz w:val="22"/>
        </w:rPr>
        <w:t xml:space="preserve"> </w:t>
      </w:r>
      <w:r w:rsidR="004F79F8">
        <w:rPr>
          <w:rFonts w:ascii="Times New Roman" w:hAnsi="Times New Roman" w:cs="Times New Roman"/>
          <w:sz w:val="22"/>
        </w:rPr>
        <w:t>and retain more of these profit</w:t>
      </w:r>
      <w:r w:rsidRPr="003F4933">
        <w:rPr>
          <w:rFonts w:ascii="Times New Roman" w:hAnsi="Times New Roman" w:cs="Times New Roman"/>
          <w:sz w:val="22"/>
        </w:rPr>
        <w:t xml:space="preserve"> cash flows (</w:t>
      </w:r>
      <w:r w:rsidR="00754828">
        <w:rPr>
          <w:rFonts w:ascii="Times New Roman" w:hAnsi="Times New Roman" w:cs="Times New Roman"/>
          <w:sz w:val="22"/>
        </w:rPr>
        <w:t xml:space="preserve">H.K. </w:t>
      </w:r>
      <w:r w:rsidRPr="003F4933">
        <w:rPr>
          <w:rFonts w:ascii="Times New Roman" w:hAnsi="Times New Roman" w:cs="Times New Roman"/>
          <w:sz w:val="22"/>
        </w:rPr>
        <w:t>Kato</w:t>
      </w:r>
      <w:r w:rsidR="004F79F8">
        <w:rPr>
          <w:rFonts w:ascii="Times New Roman" w:hAnsi="Times New Roman" w:cs="Times New Roman"/>
          <w:sz w:val="22"/>
        </w:rPr>
        <w:t xml:space="preserve"> </w:t>
      </w:r>
      <w:r w:rsidR="00754828">
        <w:rPr>
          <w:rFonts w:ascii="Times New Roman" w:hAnsi="Times New Roman" w:cs="Times New Roman"/>
          <w:sz w:val="22"/>
        </w:rPr>
        <w:t>et al.</w:t>
      </w:r>
      <w:r w:rsidRPr="003F4933">
        <w:rPr>
          <w:rFonts w:ascii="Times New Roman" w:hAnsi="Times New Roman" w:cs="Times New Roman"/>
          <w:sz w:val="22"/>
        </w:rPr>
        <w:t>, 2016).</w:t>
      </w:r>
      <w:r>
        <w:rPr>
          <w:rFonts w:ascii="Times New Roman" w:hAnsi="Times New Roman" w:cs="Times New Roman"/>
          <w:sz w:val="22"/>
        </w:rPr>
        <w:t xml:space="preserve"> </w:t>
      </w:r>
    </w:p>
    <w:p w14:paraId="48D4B6D3"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Finally, the dividend policy </w:t>
      </w:r>
      <w:r w:rsidR="004F79F8" w:rsidRPr="003A1203">
        <w:rPr>
          <w:rFonts w:ascii="Times New Roman" w:hAnsi="Times New Roman" w:cs="Times New Roman"/>
          <w:sz w:val="22"/>
        </w:rPr>
        <w:t xml:space="preserve">of </w:t>
      </w:r>
      <w:r w:rsidR="004F79F8">
        <w:rPr>
          <w:rFonts w:ascii="Times New Roman" w:hAnsi="Times New Roman" w:cs="Times New Roman"/>
          <w:sz w:val="22"/>
        </w:rPr>
        <w:t>different</w:t>
      </w:r>
      <w:r w:rsidRPr="003A1203">
        <w:rPr>
          <w:rFonts w:ascii="Times New Roman" w:hAnsi="Times New Roman" w:cs="Times New Roman"/>
          <w:sz w:val="22"/>
        </w:rPr>
        <w:t xml:space="preserve"> sectors </w:t>
      </w:r>
      <w:r w:rsidR="004F79F8">
        <w:rPr>
          <w:rFonts w:ascii="Times New Roman" w:hAnsi="Times New Roman" w:cs="Times New Roman"/>
          <w:sz w:val="22"/>
        </w:rPr>
        <w:t xml:space="preserve">listed </w:t>
      </w:r>
      <w:r w:rsidRPr="003A1203">
        <w:rPr>
          <w:rFonts w:ascii="Times New Roman" w:hAnsi="Times New Roman" w:cs="Times New Roman"/>
          <w:sz w:val="22"/>
        </w:rPr>
        <w:t>on the JSE</w:t>
      </w:r>
      <w:r w:rsidR="004F79F8">
        <w:rPr>
          <w:rFonts w:ascii="Times New Roman" w:hAnsi="Times New Roman" w:cs="Times New Roman"/>
          <w:sz w:val="22"/>
        </w:rPr>
        <w:t xml:space="preserve"> further</w:t>
      </w:r>
      <w:r w:rsidRPr="003A1203">
        <w:rPr>
          <w:rFonts w:ascii="Times New Roman" w:hAnsi="Times New Roman" w:cs="Times New Roman"/>
          <w:sz w:val="22"/>
        </w:rPr>
        <w:t xml:space="preserve"> influences </w:t>
      </w:r>
      <w:r w:rsidR="004F79F8">
        <w:rPr>
          <w:rFonts w:ascii="Times New Roman" w:hAnsi="Times New Roman" w:cs="Times New Roman"/>
          <w:sz w:val="22"/>
        </w:rPr>
        <w:t>companies’</w:t>
      </w:r>
      <w:r w:rsidRPr="003A1203">
        <w:rPr>
          <w:rFonts w:ascii="Times New Roman" w:hAnsi="Times New Roman" w:cs="Times New Roman"/>
          <w:sz w:val="22"/>
        </w:rPr>
        <w:t xml:space="preserve"> dividend policy </w:t>
      </w:r>
      <w:r w:rsidR="004F79F8">
        <w:rPr>
          <w:rFonts w:ascii="Times New Roman" w:hAnsi="Times New Roman" w:cs="Times New Roman"/>
          <w:sz w:val="22"/>
        </w:rPr>
        <w:t>decisions within a particular sector</w:t>
      </w:r>
      <w:r w:rsidRPr="003A1203">
        <w:rPr>
          <w:rFonts w:ascii="Times New Roman" w:hAnsi="Times New Roman" w:cs="Times New Roman"/>
          <w:sz w:val="22"/>
        </w:rPr>
        <w:t xml:space="preserve">. This is because shareholders have different expectations of different sectors’ dividends and each sector is governed by its own practices (Thanatawee, 2014). Therefore, </w:t>
      </w:r>
      <w:r>
        <w:rPr>
          <w:rFonts w:ascii="Times New Roman" w:hAnsi="Times New Roman" w:cs="Times New Roman"/>
          <w:sz w:val="22"/>
        </w:rPr>
        <w:t>coded dummy variables have been created to represent the eight JSE sectors controlled for in the study.</w:t>
      </w:r>
      <w:r w:rsidR="007D0AA3">
        <w:rPr>
          <w:rFonts w:ascii="Times New Roman" w:hAnsi="Times New Roman" w:cs="Times New Roman"/>
          <w:sz w:val="22"/>
        </w:rPr>
        <w:t xml:space="preserve"> The coding will work as such that when coding for a particular sector all companies </w:t>
      </w:r>
      <w:r w:rsidR="007D0AA3">
        <w:rPr>
          <w:rFonts w:ascii="Times New Roman" w:hAnsi="Times New Roman" w:cs="Times New Roman"/>
          <w:sz w:val="22"/>
        </w:rPr>
        <w:lastRenderedPageBreak/>
        <w:t xml:space="preserve">forming part of that sector will be coded with a 1. All other companies will then be coded with a 0. This process will be repeated </w:t>
      </w:r>
      <w:r w:rsidR="007262DD">
        <w:rPr>
          <w:rFonts w:ascii="Times New Roman" w:hAnsi="Times New Roman" w:cs="Times New Roman"/>
          <w:sz w:val="22"/>
        </w:rPr>
        <w:t xml:space="preserve">eight times </w:t>
      </w:r>
      <w:r w:rsidR="007D0AA3">
        <w:rPr>
          <w:rFonts w:ascii="Times New Roman" w:hAnsi="Times New Roman" w:cs="Times New Roman"/>
          <w:sz w:val="22"/>
        </w:rPr>
        <w:t>for all 8</w:t>
      </w:r>
      <w:r w:rsidR="007262DD">
        <w:rPr>
          <w:rFonts w:ascii="Times New Roman" w:hAnsi="Times New Roman" w:cs="Times New Roman"/>
          <w:sz w:val="22"/>
        </w:rPr>
        <w:t xml:space="preserve"> JSE</w:t>
      </w:r>
      <w:r w:rsidR="007D0AA3">
        <w:rPr>
          <w:rFonts w:ascii="Times New Roman" w:hAnsi="Times New Roman" w:cs="Times New Roman"/>
          <w:sz w:val="22"/>
        </w:rPr>
        <w:t xml:space="preserve"> sectors</w:t>
      </w:r>
      <w:r w:rsidR="007262DD">
        <w:rPr>
          <w:rFonts w:ascii="Times New Roman" w:hAnsi="Times New Roman" w:cs="Times New Roman"/>
          <w:sz w:val="22"/>
        </w:rPr>
        <w:t xml:space="preserve"> included in the study</w:t>
      </w:r>
      <w:r w:rsidR="007D0AA3">
        <w:rPr>
          <w:rFonts w:ascii="Times New Roman" w:hAnsi="Times New Roman" w:cs="Times New Roman"/>
          <w:sz w:val="22"/>
        </w:rPr>
        <w:t>.</w:t>
      </w:r>
    </w:p>
    <w:p w14:paraId="237698BE" w14:textId="77777777" w:rsidR="006258B4" w:rsidRPr="003A1203"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 xml:space="preserve">The data analysis </w:t>
      </w:r>
      <w:r>
        <w:rPr>
          <w:rFonts w:ascii="Times New Roman" w:hAnsi="Times New Roman" w:cs="Times New Roman"/>
          <w:sz w:val="22"/>
        </w:rPr>
        <w:t>has been</w:t>
      </w:r>
      <w:r w:rsidRPr="003A1203">
        <w:rPr>
          <w:rFonts w:ascii="Times New Roman" w:hAnsi="Times New Roman" w:cs="Times New Roman"/>
          <w:sz w:val="22"/>
        </w:rPr>
        <w:t xml:space="preserve"> performed using </w:t>
      </w:r>
      <w:r>
        <w:rPr>
          <w:rFonts w:ascii="Times New Roman" w:hAnsi="Times New Roman" w:cs="Times New Roman"/>
          <w:sz w:val="22"/>
        </w:rPr>
        <w:t>Stata</w:t>
      </w:r>
      <w:r w:rsidR="004F79F8">
        <w:rPr>
          <w:rFonts w:ascii="Times New Roman" w:hAnsi="Times New Roman" w:cs="Times New Roman"/>
          <w:sz w:val="22"/>
        </w:rPr>
        <w:t>,</w:t>
      </w:r>
      <w:r>
        <w:rPr>
          <w:rFonts w:ascii="Times New Roman" w:hAnsi="Times New Roman" w:cs="Times New Roman"/>
          <w:sz w:val="22"/>
        </w:rPr>
        <w:t xml:space="preserve"> which is a</w:t>
      </w:r>
      <w:r w:rsidRPr="003A1203">
        <w:rPr>
          <w:rFonts w:ascii="Times New Roman" w:hAnsi="Times New Roman" w:cs="Times New Roman"/>
          <w:sz w:val="22"/>
        </w:rPr>
        <w:t xml:space="preserve"> statistical analysis programme. </w:t>
      </w:r>
    </w:p>
    <w:p w14:paraId="17CE6D91" w14:textId="77777777" w:rsidR="006258B4" w:rsidRDefault="004C7C28" w:rsidP="00536234">
      <w:pPr>
        <w:pStyle w:val="Heading2"/>
        <w:ind w:left="0"/>
        <w:rPr>
          <w:rFonts w:ascii="Times New Roman" w:hAnsi="Times New Roman" w:cs="Times New Roman"/>
          <w:b/>
          <w:color w:val="auto"/>
          <w:sz w:val="24"/>
        </w:rPr>
      </w:pPr>
      <w:bookmarkStart w:id="47" w:name="_Toc506717793"/>
      <w:r w:rsidRPr="00A14BA6">
        <w:rPr>
          <w:rFonts w:ascii="Times New Roman" w:hAnsi="Times New Roman" w:cs="Times New Roman"/>
          <w:b/>
          <w:color w:val="auto"/>
          <w:sz w:val="24"/>
        </w:rPr>
        <w:t xml:space="preserve">3.3 </w:t>
      </w:r>
      <w:r w:rsidRPr="00A14BA6">
        <w:rPr>
          <w:rFonts w:ascii="Times New Roman" w:hAnsi="Times New Roman" w:cs="Times New Roman"/>
          <w:b/>
          <w:color w:val="auto"/>
          <w:sz w:val="24"/>
        </w:rPr>
        <w:tab/>
        <w:t>Validity and R</w:t>
      </w:r>
      <w:r w:rsidR="006258B4" w:rsidRPr="00A14BA6">
        <w:rPr>
          <w:rFonts w:ascii="Times New Roman" w:hAnsi="Times New Roman" w:cs="Times New Roman"/>
          <w:b/>
          <w:color w:val="auto"/>
          <w:sz w:val="24"/>
        </w:rPr>
        <w:t>eliability</w:t>
      </w:r>
      <w:bookmarkEnd w:id="47"/>
      <w:r w:rsidR="006258B4" w:rsidRPr="00A14BA6">
        <w:rPr>
          <w:rFonts w:ascii="Times New Roman" w:hAnsi="Times New Roman" w:cs="Times New Roman"/>
          <w:b/>
          <w:color w:val="auto"/>
          <w:sz w:val="24"/>
        </w:rPr>
        <w:t xml:space="preserve"> </w:t>
      </w:r>
    </w:p>
    <w:p w14:paraId="654E2485" w14:textId="77777777" w:rsidR="007262DD" w:rsidRPr="007262DD" w:rsidRDefault="007262DD" w:rsidP="00536234">
      <w:pPr>
        <w:spacing w:line="480" w:lineRule="auto"/>
        <w:ind w:left="0"/>
        <w:rPr>
          <w:rFonts w:ascii="Times New Roman" w:hAnsi="Times New Roman" w:cs="Times New Roman"/>
          <w:sz w:val="22"/>
        </w:rPr>
      </w:pPr>
      <w:r w:rsidRPr="007262DD">
        <w:rPr>
          <w:rFonts w:ascii="Times New Roman" w:hAnsi="Times New Roman" w:cs="Times New Roman"/>
          <w:sz w:val="22"/>
        </w:rPr>
        <w:t xml:space="preserve">The study conducted used panel data over an eight year period for observing the before and after effects of the implementation of BBBEE deals on the dividend policy of companies. A panel data set </w:t>
      </w:r>
      <w:r>
        <w:rPr>
          <w:rFonts w:ascii="Times New Roman" w:hAnsi="Times New Roman" w:cs="Times New Roman"/>
          <w:sz w:val="22"/>
        </w:rPr>
        <w:t>is</w:t>
      </w:r>
      <w:r w:rsidRPr="007262DD">
        <w:rPr>
          <w:rFonts w:ascii="Times New Roman" w:hAnsi="Times New Roman" w:cs="Times New Roman"/>
          <w:sz w:val="22"/>
        </w:rPr>
        <w:t xml:space="preserve"> described as one that follows a given sample of individual companies over time, and by doing so, is able to provide multiple observations on each individual company included in the sample (Hsiao, 2003:2).  </w:t>
      </w:r>
    </w:p>
    <w:p w14:paraId="01DC0226" w14:textId="77777777" w:rsidR="006258B4" w:rsidRDefault="006258B4" w:rsidP="00536234">
      <w:pPr>
        <w:spacing w:line="480" w:lineRule="auto"/>
        <w:ind w:left="0"/>
        <w:rPr>
          <w:rFonts w:ascii="Times New Roman" w:hAnsi="Times New Roman" w:cs="Times New Roman"/>
          <w:sz w:val="22"/>
        </w:rPr>
      </w:pPr>
      <w:r w:rsidRPr="003A1203">
        <w:rPr>
          <w:rFonts w:ascii="Times New Roman" w:hAnsi="Times New Roman" w:cs="Times New Roman"/>
          <w:sz w:val="22"/>
        </w:rPr>
        <w:t>Panel</w:t>
      </w:r>
      <w:r>
        <w:rPr>
          <w:rFonts w:ascii="Times New Roman" w:hAnsi="Times New Roman" w:cs="Times New Roman"/>
          <w:sz w:val="22"/>
        </w:rPr>
        <w:t xml:space="preserve"> data has certain distinct advantages when</w:t>
      </w:r>
      <w:r w:rsidRPr="003A1203">
        <w:rPr>
          <w:rFonts w:ascii="Times New Roman" w:hAnsi="Times New Roman" w:cs="Times New Roman"/>
          <w:sz w:val="22"/>
        </w:rPr>
        <w:t xml:space="preserve"> compared to cross section</w:t>
      </w:r>
      <w:r w:rsidR="004F79F8">
        <w:rPr>
          <w:rFonts w:ascii="Times New Roman" w:hAnsi="Times New Roman" w:cs="Times New Roman"/>
          <w:sz w:val="22"/>
        </w:rPr>
        <w:t>al</w:t>
      </w:r>
      <w:r w:rsidRPr="003A1203">
        <w:rPr>
          <w:rFonts w:ascii="Times New Roman" w:hAnsi="Times New Roman" w:cs="Times New Roman"/>
          <w:sz w:val="22"/>
        </w:rPr>
        <w:t xml:space="preserve"> data</w:t>
      </w:r>
      <w:r>
        <w:rPr>
          <w:rFonts w:ascii="Times New Roman" w:hAnsi="Times New Roman" w:cs="Times New Roman"/>
          <w:sz w:val="22"/>
        </w:rPr>
        <w:t>.</w:t>
      </w:r>
      <w:r w:rsidRPr="003A1203">
        <w:rPr>
          <w:rFonts w:ascii="Times New Roman" w:hAnsi="Times New Roman" w:cs="Times New Roman"/>
          <w:sz w:val="22"/>
        </w:rPr>
        <w:t xml:space="preserve"> </w:t>
      </w:r>
      <w:r>
        <w:rPr>
          <w:rFonts w:ascii="Times New Roman" w:hAnsi="Times New Roman" w:cs="Times New Roman"/>
          <w:sz w:val="22"/>
        </w:rPr>
        <w:t xml:space="preserve">One of the reasons for this is due to the fact that </w:t>
      </w:r>
      <w:r w:rsidRPr="003A1203">
        <w:rPr>
          <w:rFonts w:ascii="Times New Roman" w:hAnsi="Times New Roman" w:cs="Times New Roman"/>
          <w:sz w:val="22"/>
        </w:rPr>
        <w:t>cross section</w:t>
      </w:r>
      <w:r w:rsidR="004F79F8">
        <w:rPr>
          <w:rFonts w:ascii="Times New Roman" w:hAnsi="Times New Roman" w:cs="Times New Roman"/>
          <w:sz w:val="22"/>
        </w:rPr>
        <w:t>al</w:t>
      </w:r>
      <w:r w:rsidRPr="003A1203">
        <w:rPr>
          <w:rFonts w:ascii="Times New Roman" w:hAnsi="Times New Roman" w:cs="Times New Roman"/>
          <w:sz w:val="22"/>
        </w:rPr>
        <w:t xml:space="preserve"> data restricts observations to a single point in time.</w:t>
      </w:r>
      <w:r>
        <w:rPr>
          <w:rFonts w:ascii="Times New Roman" w:hAnsi="Times New Roman" w:cs="Times New Roman"/>
          <w:sz w:val="22"/>
        </w:rPr>
        <w:t xml:space="preserve"> This is because panel data allows for the identification and measurement of effects that are not apparent in pure cross section</w:t>
      </w:r>
      <w:r w:rsidR="004F79F8">
        <w:rPr>
          <w:rFonts w:ascii="Times New Roman" w:hAnsi="Times New Roman" w:cs="Times New Roman"/>
          <w:sz w:val="22"/>
        </w:rPr>
        <w:t>al</w:t>
      </w:r>
      <w:r>
        <w:rPr>
          <w:rFonts w:ascii="Times New Roman" w:hAnsi="Times New Roman" w:cs="Times New Roman"/>
          <w:sz w:val="22"/>
        </w:rPr>
        <w:t xml:space="preserve"> or time series data.</w:t>
      </w:r>
      <w:r w:rsidRPr="003A1203">
        <w:rPr>
          <w:rFonts w:ascii="Times New Roman" w:hAnsi="Times New Roman" w:cs="Times New Roman"/>
          <w:sz w:val="22"/>
        </w:rPr>
        <w:t xml:space="preserve"> Panel data is also more beneficial </w:t>
      </w:r>
      <w:r>
        <w:rPr>
          <w:rFonts w:ascii="Times New Roman" w:hAnsi="Times New Roman" w:cs="Times New Roman"/>
          <w:sz w:val="22"/>
        </w:rPr>
        <w:t>in aggregating</w:t>
      </w:r>
      <w:r w:rsidRPr="003A1203">
        <w:rPr>
          <w:rFonts w:ascii="Times New Roman" w:hAnsi="Times New Roman" w:cs="Times New Roman"/>
          <w:sz w:val="22"/>
        </w:rPr>
        <w:t xml:space="preserve"> time series data</w:t>
      </w:r>
      <w:r>
        <w:rPr>
          <w:rFonts w:ascii="Times New Roman" w:hAnsi="Times New Roman" w:cs="Times New Roman"/>
          <w:sz w:val="22"/>
        </w:rPr>
        <w:t xml:space="preserve"> as compared to cross sectional data. This is because it allows the</w:t>
      </w:r>
      <w:r w:rsidRPr="003A1203">
        <w:rPr>
          <w:rFonts w:ascii="Times New Roman" w:hAnsi="Times New Roman" w:cs="Times New Roman"/>
          <w:sz w:val="22"/>
        </w:rPr>
        <w:t xml:space="preserve"> underlying dynamics of the data</w:t>
      </w:r>
      <w:r>
        <w:rPr>
          <w:rFonts w:ascii="Times New Roman" w:hAnsi="Times New Roman" w:cs="Times New Roman"/>
          <w:sz w:val="22"/>
        </w:rPr>
        <w:t xml:space="preserve"> to</w:t>
      </w:r>
      <w:r w:rsidRPr="003A1203">
        <w:rPr>
          <w:rFonts w:ascii="Times New Roman" w:hAnsi="Times New Roman" w:cs="Times New Roman"/>
          <w:sz w:val="22"/>
        </w:rPr>
        <w:t xml:space="preserve"> not </w:t>
      </w:r>
      <w:r>
        <w:rPr>
          <w:rFonts w:ascii="Times New Roman" w:hAnsi="Times New Roman" w:cs="Times New Roman"/>
          <w:sz w:val="22"/>
        </w:rPr>
        <w:t xml:space="preserve">be </w:t>
      </w:r>
      <w:r w:rsidRPr="003A1203">
        <w:rPr>
          <w:rFonts w:ascii="Times New Roman" w:hAnsi="Times New Roman" w:cs="Times New Roman"/>
          <w:sz w:val="22"/>
        </w:rPr>
        <w:t>obscure</w:t>
      </w:r>
      <w:r>
        <w:rPr>
          <w:rFonts w:ascii="Times New Roman" w:hAnsi="Times New Roman" w:cs="Times New Roman"/>
          <w:sz w:val="22"/>
        </w:rPr>
        <w:t>d</w:t>
      </w:r>
      <w:r w:rsidRPr="003A1203">
        <w:rPr>
          <w:rFonts w:ascii="Times New Roman" w:hAnsi="Times New Roman" w:cs="Times New Roman"/>
          <w:sz w:val="22"/>
        </w:rPr>
        <w:t xml:space="preserve"> by aggregation (Hsiao, 2007). The improved empirical analysis offered by panel data </w:t>
      </w:r>
      <w:r>
        <w:rPr>
          <w:rFonts w:ascii="Times New Roman" w:hAnsi="Times New Roman" w:cs="Times New Roman"/>
          <w:sz w:val="22"/>
        </w:rPr>
        <w:t>has been</w:t>
      </w:r>
      <w:r w:rsidRPr="003A1203">
        <w:rPr>
          <w:rFonts w:ascii="Times New Roman" w:hAnsi="Times New Roman" w:cs="Times New Roman"/>
          <w:sz w:val="22"/>
        </w:rPr>
        <w:t xml:space="preserve"> particularly valuable to this study</w:t>
      </w:r>
      <w:r w:rsidR="004F79F8">
        <w:rPr>
          <w:rFonts w:ascii="Times New Roman" w:hAnsi="Times New Roman" w:cs="Times New Roman"/>
          <w:sz w:val="22"/>
        </w:rPr>
        <w:t>,</w:t>
      </w:r>
      <w:r w:rsidRPr="003A1203">
        <w:rPr>
          <w:rFonts w:ascii="Times New Roman" w:hAnsi="Times New Roman" w:cs="Times New Roman"/>
          <w:sz w:val="22"/>
        </w:rPr>
        <w:t xml:space="preserve"> as panel data </w:t>
      </w:r>
      <w:r>
        <w:rPr>
          <w:rFonts w:ascii="Times New Roman" w:hAnsi="Times New Roman" w:cs="Times New Roman"/>
          <w:sz w:val="22"/>
        </w:rPr>
        <w:t xml:space="preserve">has allowed for a considerable increase to the </w:t>
      </w:r>
      <w:r w:rsidRPr="003A1203">
        <w:rPr>
          <w:rFonts w:ascii="Times New Roman" w:hAnsi="Times New Roman" w:cs="Times New Roman"/>
          <w:sz w:val="22"/>
        </w:rPr>
        <w:t>sample size</w:t>
      </w:r>
      <w:r w:rsidR="004F79F8">
        <w:rPr>
          <w:rFonts w:ascii="Times New Roman" w:hAnsi="Times New Roman" w:cs="Times New Roman"/>
          <w:sz w:val="22"/>
        </w:rPr>
        <w:t xml:space="preserve"> </w:t>
      </w:r>
      <w:r w:rsidRPr="00867F67">
        <w:rPr>
          <w:rFonts w:ascii="Times New Roman" w:hAnsi="Times New Roman" w:cs="Times New Roman"/>
          <w:sz w:val="22"/>
        </w:rPr>
        <w:t>(Hsiao, 2007)</w:t>
      </w:r>
      <w:r>
        <w:rPr>
          <w:rFonts w:ascii="Times New Roman" w:hAnsi="Times New Roman" w:cs="Times New Roman"/>
          <w:sz w:val="22"/>
        </w:rPr>
        <w:t>.</w:t>
      </w:r>
      <w:r w:rsidRPr="003A1203">
        <w:rPr>
          <w:rFonts w:ascii="Times New Roman" w:hAnsi="Times New Roman" w:cs="Times New Roman"/>
          <w:sz w:val="22"/>
        </w:rPr>
        <w:t xml:space="preserve"> This ability to increase sampl</w:t>
      </w:r>
      <w:r>
        <w:rPr>
          <w:rFonts w:ascii="Times New Roman" w:hAnsi="Times New Roman" w:cs="Times New Roman"/>
          <w:sz w:val="22"/>
        </w:rPr>
        <w:t>e size correspondingly increased</w:t>
      </w:r>
      <w:r w:rsidRPr="003A1203">
        <w:rPr>
          <w:rFonts w:ascii="Times New Roman" w:hAnsi="Times New Roman" w:cs="Times New Roman"/>
          <w:sz w:val="22"/>
        </w:rPr>
        <w:t xml:space="preserve"> the degrees of freedom and </w:t>
      </w:r>
      <w:r>
        <w:rPr>
          <w:rFonts w:ascii="Times New Roman" w:hAnsi="Times New Roman" w:cs="Times New Roman"/>
          <w:sz w:val="22"/>
        </w:rPr>
        <w:t>allowed for a reduction in the</w:t>
      </w:r>
      <w:r w:rsidRPr="003A1203">
        <w:rPr>
          <w:rFonts w:ascii="Times New Roman" w:hAnsi="Times New Roman" w:cs="Times New Roman"/>
          <w:sz w:val="22"/>
        </w:rPr>
        <w:t xml:space="preserve"> collinearity among explanatory variables. </w:t>
      </w:r>
      <w:r w:rsidR="007262DD">
        <w:rPr>
          <w:rFonts w:ascii="Times New Roman" w:hAnsi="Times New Roman" w:cs="Times New Roman"/>
          <w:sz w:val="22"/>
        </w:rPr>
        <w:t>This results in an</w:t>
      </w:r>
      <w:r>
        <w:rPr>
          <w:rFonts w:ascii="Times New Roman" w:hAnsi="Times New Roman" w:cs="Times New Roman"/>
          <w:sz w:val="22"/>
        </w:rPr>
        <w:t xml:space="preserve"> improvement</w:t>
      </w:r>
      <w:r w:rsidRPr="003A1203">
        <w:rPr>
          <w:rFonts w:ascii="Times New Roman" w:hAnsi="Times New Roman" w:cs="Times New Roman"/>
          <w:sz w:val="22"/>
        </w:rPr>
        <w:t xml:space="preserve"> in the efficiency of estimates</w:t>
      </w:r>
      <w:r>
        <w:rPr>
          <w:rFonts w:ascii="Times New Roman" w:hAnsi="Times New Roman" w:cs="Times New Roman"/>
          <w:sz w:val="22"/>
        </w:rPr>
        <w:t xml:space="preserve"> </w:t>
      </w:r>
      <w:r w:rsidRPr="00867F67">
        <w:rPr>
          <w:rFonts w:ascii="Times New Roman" w:hAnsi="Times New Roman" w:cs="Times New Roman"/>
          <w:sz w:val="22"/>
        </w:rPr>
        <w:t>(Hsiao, 2007)</w:t>
      </w:r>
      <w:r w:rsidRPr="003A1203">
        <w:rPr>
          <w:rFonts w:ascii="Times New Roman" w:hAnsi="Times New Roman" w:cs="Times New Roman"/>
          <w:sz w:val="22"/>
        </w:rPr>
        <w:t xml:space="preserve">. </w:t>
      </w:r>
    </w:p>
    <w:p w14:paraId="704B1AA2" w14:textId="77777777" w:rsidR="006258B4" w:rsidRDefault="006258B4" w:rsidP="00536234">
      <w:pPr>
        <w:spacing w:line="480" w:lineRule="auto"/>
        <w:ind w:left="0"/>
        <w:rPr>
          <w:rFonts w:ascii="Times New Roman" w:hAnsi="Times New Roman" w:cs="Times New Roman"/>
          <w:sz w:val="22"/>
        </w:rPr>
      </w:pPr>
      <w:r w:rsidRPr="00115C08">
        <w:rPr>
          <w:rFonts w:ascii="Times New Roman" w:hAnsi="Times New Roman" w:cs="Times New Roman"/>
          <w:sz w:val="22"/>
        </w:rPr>
        <w:t>The linear regression model</w:t>
      </w:r>
      <w:r>
        <w:rPr>
          <w:rFonts w:ascii="Times New Roman" w:hAnsi="Times New Roman" w:cs="Times New Roman"/>
          <w:sz w:val="22"/>
        </w:rPr>
        <w:t xml:space="preserve"> used to conduct the panel data study has been</w:t>
      </w:r>
      <w:r w:rsidRPr="00115C08">
        <w:rPr>
          <w:rFonts w:ascii="Times New Roman" w:hAnsi="Times New Roman" w:cs="Times New Roman"/>
          <w:sz w:val="22"/>
        </w:rPr>
        <w:t xml:space="preserve"> based on </w:t>
      </w:r>
      <w:r>
        <w:rPr>
          <w:rFonts w:ascii="Times New Roman" w:hAnsi="Times New Roman" w:cs="Times New Roman"/>
          <w:sz w:val="22"/>
        </w:rPr>
        <w:t>four distinct</w:t>
      </w:r>
      <w:r w:rsidRPr="00115C08">
        <w:rPr>
          <w:rFonts w:ascii="Times New Roman" w:hAnsi="Times New Roman" w:cs="Times New Roman"/>
          <w:sz w:val="22"/>
        </w:rPr>
        <w:t xml:space="preserve"> assumptions. The </w:t>
      </w:r>
      <w:r>
        <w:rPr>
          <w:rFonts w:ascii="Times New Roman" w:hAnsi="Times New Roman" w:cs="Times New Roman"/>
          <w:sz w:val="22"/>
        </w:rPr>
        <w:t xml:space="preserve">first of these assumptions is that </w:t>
      </w:r>
      <w:r w:rsidRPr="00115C08">
        <w:rPr>
          <w:rFonts w:ascii="Times New Roman" w:hAnsi="Times New Roman" w:cs="Times New Roman"/>
          <w:sz w:val="22"/>
        </w:rPr>
        <w:t>model residuals</w:t>
      </w:r>
      <w:r>
        <w:rPr>
          <w:rFonts w:ascii="Times New Roman" w:hAnsi="Times New Roman" w:cs="Times New Roman"/>
          <w:sz w:val="22"/>
        </w:rPr>
        <w:t xml:space="preserve"> should be normally distributed. The second of these assumptions state that</w:t>
      </w:r>
      <w:r w:rsidRPr="00115C08">
        <w:rPr>
          <w:rFonts w:ascii="Times New Roman" w:hAnsi="Times New Roman" w:cs="Times New Roman"/>
          <w:sz w:val="22"/>
        </w:rPr>
        <w:t xml:space="preserve"> </w:t>
      </w:r>
      <w:r>
        <w:rPr>
          <w:rFonts w:ascii="Times New Roman" w:hAnsi="Times New Roman" w:cs="Times New Roman"/>
          <w:sz w:val="22"/>
        </w:rPr>
        <w:t>explanatory variables should not be serially correlated. Third is that</w:t>
      </w:r>
      <w:r w:rsidRPr="00115C08">
        <w:rPr>
          <w:rFonts w:ascii="Times New Roman" w:hAnsi="Times New Roman" w:cs="Times New Roman"/>
          <w:sz w:val="22"/>
        </w:rPr>
        <w:t xml:space="preserve"> there should be no autocorrelation </w:t>
      </w:r>
      <w:r>
        <w:rPr>
          <w:rFonts w:ascii="Times New Roman" w:hAnsi="Times New Roman" w:cs="Times New Roman"/>
          <w:sz w:val="22"/>
        </w:rPr>
        <w:t xml:space="preserve">between the disturbances, </w:t>
      </w:r>
      <w:r w:rsidRPr="00115C08">
        <w:rPr>
          <w:rFonts w:ascii="Times New Roman" w:hAnsi="Times New Roman" w:cs="Times New Roman"/>
          <w:sz w:val="22"/>
        </w:rPr>
        <w:t>and</w:t>
      </w:r>
      <w:r>
        <w:rPr>
          <w:rFonts w:ascii="Times New Roman" w:hAnsi="Times New Roman" w:cs="Times New Roman"/>
          <w:sz w:val="22"/>
        </w:rPr>
        <w:t xml:space="preserve"> the last assumption states that</w:t>
      </w:r>
      <w:r w:rsidRPr="00115C08">
        <w:rPr>
          <w:rFonts w:ascii="Times New Roman" w:hAnsi="Times New Roman" w:cs="Times New Roman"/>
          <w:sz w:val="22"/>
        </w:rPr>
        <w:t xml:space="preserve"> </w:t>
      </w:r>
      <w:r>
        <w:rPr>
          <w:rFonts w:ascii="Times New Roman" w:hAnsi="Times New Roman" w:cs="Times New Roman"/>
          <w:sz w:val="22"/>
        </w:rPr>
        <w:t>variables should be homoscedastic</w:t>
      </w:r>
      <w:r w:rsidRPr="00115C08">
        <w:rPr>
          <w:rFonts w:ascii="Times New Roman" w:hAnsi="Times New Roman" w:cs="Times New Roman"/>
          <w:sz w:val="22"/>
        </w:rPr>
        <w:t xml:space="preserve"> (Gujarati, 2009).  </w:t>
      </w:r>
    </w:p>
    <w:p w14:paraId="0C49A6DA" w14:textId="77777777" w:rsidR="006258B4" w:rsidRDefault="006258B4" w:rsidP="00536234">
      <w:pPr>
        <w:spacing w:line="480" w:lineRule="auto"/>
        <w:ind w:left="0"/>
        <w:rPr>
          <w:rFonts w:ascii="Times New Roman" w:hAnsi="Times New Roman" w:cs="Times New Roman"/>
          <w:sz w:val="22"/>
        </w:rPr>
      </w:pPr>
      <w:r>
        <w:rPr>
          <w:rFonts w:ascii="Times New Roman" w:hAnsi="Times New Roman" w:cs="Times New Roman"/>
          <w:sz w:val="22"/>
        </w:rPr>
        <w:t xml:space="preserve">Further, endogeneity is described as the risk that explanatory variables are correlated with the error term </w:t>
      </w:r>
      <w:r w:rsidRPr="00867F67">
        <w:rPr>
          <w:rFonts w:ascii="Times New Roman" w:hAnsi="Times New Roman" w:cs="Times New Roman"/>
          <w:sz w:val="22"/>
        </w:rPr>
        <w:t>(Damodaran, 1996)</w:t>
      </w:r>
      <w:r>
        <w:rPr>
          <w:rFonts w:ascii="Times New Roman" w:hAnsi="Times New Roman" w:cs="Times New Roman"/>
          <w:sz w:val="22"/>
        </w:rPr>
        <w:t xml:space="preserve">. This correlation can be a result of measurement errors, autoregression with </w:t>
      </w:r>
      <w:r>
        <w:rPr>
          <w:rFonts w:ascii="Times New Roman" w:hAnsi="Times New Roman" w:cs="Times New Roman"/>
          <w:sz w:val="22"/>
        </w:rPr>
        <w:lastRenderedPageBreak/>
        <w:t xml:space="preserve">autocorrelated errors, simultaneous causality, omitted selection and omitted variables </w:t>
      </w:r>
      <w:r w:rsidRPr="00867F67">
        <w:rPr>
          <w:rFonts w:ascii="Times New Roman" w:hAnsi="Times New Roman" w:cs="Times New Roman"/>
          <w:sz w:val="22"/>
        </w:rPr>
        <w:t>(Damodaran, 1996)</w:t>
      </w:r>
      <w:r>
        <w:rPr>
          <w:rFonts w:ascii="Times New Roman" w:hAnsi="Times New Roman" w:cs="Times New Roman"/>
          <w:sz w:val="22"/>
        </w:rPr>
        <w:t xml:space="preserve">. </w:t>
      </w:r>
      <w:r w:rsidRPr="003A1203">
        <w:rPr>
          <w:rFonts w:ascii="Times New Roman" w:hAnsi="Times New Roman" w:cs="Times New Roman"/>
          <w:sz w:val="22"/>
        </w:rPr>
        <w:t xml:space="preserve">The risk </w:t>
      </w:r>
      <w:r>
        <w:rPr>
          <w:rFonts w:ascii="Times New Roman" w:hAnsi="Times New Roman" w:cs="Times New Roman"/>
          <w:sz w:val="22"/>
        </w:rPr>
        <w:t>of endogeneity in this study has</w:t>
      </w:r>
      <w:r w:rsidRPr="003A1203">
        <w:rPr>
          <w:rFonts w:ascii="Times New Roman" w:hAnsi="Times New Roman" w:cs="Times New Roman"/>
          <w:sz w:val="22"/>
        </w:rPr>
        <w:t xml:space="preserve"> been</w:t>
      </w:r>
      <w:r>
        <w:rPr>
          <w:rFonts w:ascii="Times New Roman" w:hAnsi="Times New Roman" w:cs="Times New Roman"/>
          <w:sz w:val="22"/>
        </w:rPr>
        <w:t xml:space="preserve"> reduced</w:t>
      </w:r>
      <w:r w:rsidRPr="003A1203">
        <w:rPr>
          <w:rFonts w:ascii="Times New Roman" w:hAnsi="Times New Roman" w:cs="Times New Roman"/>
          <w:sz w:val="22"/>
        </w:rPr>
        <w:t xml:space="preserve"> by the natural experiment approach. Furthermore, common observable factors that could potentially differ between t</w:t>
      </w:r>
      <w:r>
        <w:rPr>
          <w:rFonts w:ascii="Times New Roman" w:hAnsi="Times New Roman" w:cs="Times New Roman"/>
          <w:sz w:val="22"/>
        </w:rPr>
        <w:t xml:space="preserve">he control and treatment groups, </w:t>
      </w:r>
      <w:r w:rsidRPr="003A1203">
        <w:rPr>
          <w:rFonts w:ascii="Times New Roman" w:hAnsi="Times New Roman" w:cs="Times New Roman"/>
          <w:sz w:val="22"/>
        </w:rPr>
        <w:t>as well as over time</w:t>
      </w:r>
      <w:r w:rsidR="007262DD">
        <w:rPr>
          <w:rFonts w:ascii="Times New Roman" w:hAnsi="Times New Roman" w:cs="Times New Roman"/>
          <w:sz w:val="22"/>
        </w:rPr>
        <w:t>,</w:t>
      </w:r>
      <w:r w:rsidRPr="003A1203">
        <w:rPr>
          <w:rFonts w:ascii="Times New Roman" w:hAnsi="Times New Roman" w:cs="Times New Roman"/>
          <w:sz w:val="22"/>
        </w:rPr>
        <w:t xml:space="preserve"> and impact on dividend pay-out have been controlled for in the regression study (Wang</w:t>
      </w:r>
      <w:r>
        <w:rPr>
          <w:rFonts w:ascii="Times New Roman" w:hAnsi="Times New Roman" w:cs="Times New Roman"/>
          <w:sz w:val="22"/>
        </w:rPr>
        <w:t xml:space="preserve"> &amp;</w:t>
      </w:r>
      <w:r w:rsidRPr="003A1203">
        <w:rPr>
          <w:rFonts w:ascii="Times New Roman" w:hAnsi="Times New Roman" w:cs="Times New Roman"/>
          <w:sz w:val="22"/>
        </w:rPr>
        <w:t xml:space="preserve"> Guo, 2011). </w:t>
      </w:r>
    </w:p>
    <w:p w14:paraId="0092B644" w14:textId="433CF8C6" w:rsidR="006258B4" w:rsidRDefault="006258B4" w:rsidP="00536234">
      <w:pPr>
        <w:spacing w:line="480" w:lineRule="auto"/>
        <w:ind w:left="0"/>
      </w:pPr>
      <w:r>
        <w:rPr>
          <w:rFonts w:ascii="Times New Roman" w:hAnsi="Times New Roman" w:cs="Times New Roman"/>
          <w:sz w:val="22"/>
        </w:rPr>
        <w:t xml:space="preserve"> Should the above data analysis tools prove to be insufficient for the purpose of providing significant, valid and reliable results, additional tests will need to be used so as to ensure that this is achieved. These include various diagnostics that will be </w:t>
      </w:r>
      <w:r w:rsidR="004F79F8">
        <w:rPr>
          <w:rFonts w:ascii="Times New Roman" w:hAnsi="Times New Roman" w:cs="Times New Roman"/>
          <w:sz w:val="22"/>
        </w:rPr>
        <w:t>performed</w:t>
      </w:r>
      <w:r w:rsidR="00C619E7">
        <w:rPr>
          <w:rFonts w:ascii="Times New Roman" w:hAnsi="Times New Roman" w:cs="Times New Roman"/>
          <w:sz w:val="22"/>
        </w:rPr>
        <w:t xml:space="preserve"> on all models used</w:t>
      </w:r>
      <w:r>
        <w:rPr>
          <w:rFonts w:ascii="Times New Roman" w:hAnsi="Times New Roman" w:cs="Times New Roman"/>
          <w:sz w:val="22"/>
        </w:rPr>
        <w:t xml:space="preserve"> in order</w:t>
      </w:r>
      <w:r w:rsidR="004F79F8">
        <w:rPr>
          <w:rFonts w:ascii="Times New Roman" w:hAnsi="Times New Roman" w:cs="Times New Roman"/>
          <w:sz w:val="22"/>
        </w:rPr>
        <w:t xml:space="preserve"> </w:t>
      </w:r>
      <w:r>
        <w:rPr>
          <w:rFonts w:ascii="Times New Roman" w:hAnsi="Times New Roman" w:cs="Times New Roman"/>
          <w:sz w:val="22"/>
        </w:rPr>
        <w:t xml:space="preserve">to test whether the assumptions raised in this </w:t>
      </w:r>
      <w:r w:rsidR="004F79F8">
        <w:rPr>
          <w:rFonts w:ascii="Times New Roman" w:hAnsi="Times New Roman" w:cs="Times New Roman"/>
          <w:sz w:val="22"/>
        </w:rPr>
        <w:t>section have been</w:t>
      </w:r>
      <w:r>
        <w:rPr>
          <w:rFonts w:ascii="Times New Roman" w:hAnsi="Times New Roman" w:cs="Times New Roman"/>
          <w:sz w:val="22"/>
        </w:rPr>
        <w:t xml:space="preserve"> </w:t>
      </w:r>
      <w:r w:rsidR="004F79F8">
        <w:rPr>
          <w:rFonts w:ascii="Times New Roman" w:hAnsi="Times New Roman" w:cs="Times New Roman"/>
          <w:sz w:val="22"/>
        </w:rPr>
        <w:t>satisfied</w:t>
      </w:r>
      <w:r>
        <w:rPr>
          <w:rFonts w:ascii="Times New Roman" w:hAnsi="Times New Roman" w:cs="Times New Roman"/>
          <w:sz w:val="22"/>
        </w:rPr>
        <w:t>.</w:t>
      </w:r>
    </w:p>
    <w:p w14:paraId="1767039B" w14:textId="77777777" w:rsidR="00445D84" w:rsidRDefault="00445D84" w:rsidP="00536234">
      <w:pPr>
        <w:spacing w:line="480" w:lineRule="auto"/>
        <w:ind w:left="0"/>
        <w:jc w:val="center"/>
        <w:rPr>
          <w:rFonts w:ascii="Times New Roman" w:hAnsi="Times New Roman" w:cs="Times New Roman"/>
          <w:b/>
          <w:szCs w:val="26"/>
          <w:u w:val="single"/>
        </w:rPr>
      </w:pPr>
    </w:p>
    <w:p w14:paraId="66020DED" w14:textId="77777777" w:rsidR="006258B4" w:rsidRDefault="006258B4" w:rsidP="00536234">
      <w:pPr>
        <w:spacing w:line="480" w:lineRule="auto"/>
        <w:ind w:left="0"/>
        <w:jc w:val="center"/>
        <w:rPr>
          <w:rFonts w:ascii="Times New Roman" w:hAnsi="Times New Roman" w:cs="Times New Roman"/>
          <w:b/>
          <w:szCs w:val="26"/>
          <w:u w:val="single"/>
        </w:rPr>
      </w:pPr>
    </w:p>
    <w:p w14:paraId="77DD2069" w14:textId="77777777" w:rsidR="006258B4" w:rsidRDefault="006258B4" w:rsidP="00536234">
      <w:pPr>
        <w:spacing w:line="480" w:lineRule="auto"/>
        <w:ind w:left="0"/>
        <w:jc w:val="center"/>
        <w:rPr>
          <w:rFonts w:ascii="Times New Roman" w:hAnsi="Times New Roman" w:cs="Times New Roman"/>
          <w:b/>
          <w:szCs w:val="26"/>
          <w:u w:val="single"/>
        </w:rPr>
      </w:pPr>
    </w:p>
    <w:p w14:paraId="79316676" w14:textId="77777777" w:rsidR="006258B4" w:rsidRDefault="006258B4" w:rsidP="00536234">
      <w:pPr>
        <w:spacing w:line="480" w:lineRule="auto"/>
        <w:ind w:left="0"/>
        <w:jc w:val="center"/>
        <w:rPr>
          <w:rFonts w:ascii="Times New Roman" w:hAnsi="Times New Roman" w:cs="Times New Roman"/>
          <w:b/>
          <w:szCs w:val="26"/>
          <w:u w:val="single"/>
        </w:rPr>
      </w:pPr>
    </w:p>
    <w:p w14:paraId="7734A2B1" w14:textId="77777777" w:rsidR="006258B4" w:rsidRDefault="006258B4" w:rsidP="00536234">
      <w:pPr>
        <w:spacing w:line="480" w:lineRule="auto"/>
        <w:ind w:left="0"/>
        <w:jc w:val="center"/>
        <w:rPr>
          <w:rFonts w:ascii="Times New Roman" w:hAnsi="Times New Roman" w:cs="Times New Roman"/>
          <w:b/>
          <w:szCs w:val="26"/>
          <w:u w:val="single"/>
        </w:rPr>
      </w:pPr>
    </w:p>
    <w:p w14:paraId="39525ACF" w14:textId="77777777" w:rsidR="00BB4887" w:rsidRDefault="00BB4887">
      <w:pPr>
        <w:spacing w:after="160" w:line="259" w:lineRule="auto"/>
        <w:ind w:left="0" w:firstLine="0"/>
        <w:jc w:val="left"/>
        <w:rPr>
          <w:rFonts w:ascii="Times New Roman" w:hAnsi="Times New Roman" w:cs="Times New Roman"/>
          <w:b/>
          <w:szCs w:val="26"/>
          <w:u w:val="single"/>
        </w:rPr>
      </w:pPr>
      <w:r>
        <w:rPr>
          <w:rFonts w:ascii="Times New Roman" w:hAnsi="Times New Roman" w:cs="Times New Roman"/>
          <w:b/>
          <w:szCs w:val="26"/>
          <w:u w:val="single"/>
        </w:rPr>
        <w:br w:type="page"/>
      </w:r>
    </w:p>
    <w:p w14:paraId="3E3B9936" w14:textId="77777777" w:rsidR="006258B4" w:rsidRPr="00A14BA6" w:rsidRDefault="006258B4" w:rsidP="00536234">
      <w:pPr>
        <w:pStyle w:val="Heading1"/>
        <w:ind w:left="0"/>
        <w:jc w:val="center"/>
        <w:rPr>
          <w:rFonts w:ascii="Times New Roman" w:hAnsi="Times New Roman" w:cs="Times New Roman"/>
          <w:b/>
          <w:color w:val="auto"/>
          <w:sz w:val="28"/>
          <w:u w:val="single"/>
        </w:rPr>
      </w:pPr>
      <w:bookmarkStart w:id="48" w:name="_Toc506717794"/>
      <w:r w:rsidRPr="00A14BA6">
        <w:rPr>
          <w:rFonts w:ascii="Times New Roman" w:hAnsi="Times New Roman" w:cs="Times New Roman"/>
          <w:b/>
          <w:color w:val="auto"/>
          <w:sz w:val="28"/>
          <w:u w:val="single"/>
        </w:rPr>
        <w:lastRenderedPageBreak/>
        <w:t>CHAPTER 4: RESULTS</w:t>
      </w:r>
      <w:bookmarkEnd w:id="48"/>
    </w:p>
    <w:p w14:paraId="0F71803E" w14:textId="77777777" w:rsidR="006258B4" w:rsidRPr="00A14BA6" w:rsidRDefault="006258B4" w:rsidP="00536234">
      <w:pPr>
        <w:pStyle w:val="Heading2"/>
        <w:ind w:left="0"/>
        <w:rPr>
          <w:rFonts w:ascii="Times New Roman" w:hAnsi="Times New Roman" w:cs="Times New Roman"/>
          <w:b/>
          <w:color w:val="auto"/>
          <w:sz w:val="24"/>
        </w:rPr>
      </w:pPr>
      <w:bookmarkStart w:id="49" w:name="_Toc506717795"/>
      <w:r w:rsidRPr="00A14BA6">
        <w:rPr>
          <w:rFonts w:ascii="Times New Roman" w:hAnsi="Times New Roman" w:cs="Times New Roman"/>
          <w:b/>
          <w:color w:val="auto"/>
          <w:sz w:val="24"/>
        </w:rPr>
        <w:t>4.1</w:t>
      </w:r>
      <w:r w:rsidRPr="00A14BA6">
        <w:rPr>
          <w:rFonts w:ascii="Times New Roman" w:hAnsi="Times New Roman" w:cs="Times New Roman"/>
          <w:b/>
          <w:color w:val="auto"/>
          <w:sz w:val="24"/>
        </w:rPr>
        <w:tab/>
        <w:t>Descriptive Statistics</w:t>
      </w:r>
      <w:bookmarkEnd w:id="49"/>
    </w:p>
    <w:p w14:paraId="105172EA" w14:textId="77777777" w:rsidR="006258B4" w:rsidRPr="00A14BA6" w:rsidRDefault="00766427" w:rsidP="00536234">
      <w:pPr>
        <w:pStyle w:val="Heading3"/>
        <w:ind w:left="0"/>
        <w:rPr>
          <w:rFonts w:ascii="Times New Roman" w:hAnsi="Times New Roman" w:cs="Times New Roman"/>
          <w:i/>
          <w:color w:val="auto"/>
          <w:sz w:val="22"/>
        </w:rPr>
      </w:pPr>
      <w:bookmarkStart w:id="50" w:name="_Toc506717796"/>
      <w:r>
        <w:rPr>
          <w:rFonts w:ascii="Times New Roman" w:hAnsi="Times New Roman" w:cs="Times New Roman"/>
          <w:i/>
          <w:color w:val="auto"/>
          <w:sz w:val="22"/>
        </w:rPr>
        <w:t>4.1.1</w:t>
      </w:r>
      <w:r>
        <w:rPr>
          <w:rFonts w:ascii="Times New Roman" w:hAnsi="Times New Roman" w:cs="Times New Roman"/>
          <w:i/>
          <w:color w:val="auto"/>
          <w:sz w:val="22"/>
        </w:rPr>
        <w:tab/>
      </w:r>
      <w:r w:rsidR="006258B4" w:rsidRPr="00A14BA6">
        <w:rPr>
          <w:rFonts w:ascii="Times New Roman" w:hAnsi="Times New Roman" w:cs="Times New Roman"/>
          <w:i/>
          <w:color w:val="auto"/>
          <w:sz w:val="22"/>
        </w:rPr>
        <w:t>Overall Descriptive Statistics</w:t>
      </w:r>
      <w:bookmarkEnd w:id="50"/>
    </w:p>
    <w:p w14:paraId="1FB22AD0" w14:textId="5BEC222B"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 order to begin analysing the results from this study, first reference will be made to the descriptive statistics of the variables. The use of descriptive statistics allows for the identification of standout features and trends in the data set (Holcomb, </w:t>
      </w:r>
      <w:r w:rsidRPr="00D23804">
        <w:rPr>
          <w:rFonts w:ascii="Times New Roman" w:hAnsi="Times New Roman" w:cs="Times New Roman"/>
          <w:sz w:val="22"/>
          <w:szCs w:val="26"/>
        </w:rPr>
        <w:t>2017)</w:t>
      </w:r>
      <w:r>
        <w:rPr>
          <w:rFonts w:ascii="Times New Roman" w:hAnsi="Times New Roman" w:cs="Times New Roman"/>
          <w:sz w:val="22"/>
          <w:szCs w:val="26"/>
        </w:rPr>
        <w:t>. For the purpose of this study, the descriptive statistics were calculated after the data had been winsorized</w:t>
      </w:r>
      <w:r w:rsidR="007A6B98">
        <w:rPr>
          <w:rFonts w:ascii="Times New Roman" w:hAnsi="Times New Roman" w:cs="Times New Roman"/>
          <w:sz w:val="22"/>
          <w:szCs w:val="26"/>
        </w:rPr>
        <w:t xml:space="preserve"> (see Chapter 3-Sample and Data)</w:t>
      </w:r>
      <w:r>
        <w:rPr>
          <w:rFonts w:ascii="Times New Roman" w:hAnsi="Times New Roman" w:cs="Times New Roman"/>
          <w:sz w:val="22"/>
          <w:szCs w:val="26"/>
        </w:rPr>
        <w:t xml:space="preserve">. </w:t>
      </w:r>
    </w:p>
    <w:p w14:paraId="1121430F" w14:textId="77777777"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 This part of the analysis begin</w:t>
      </w:r>
      <w:r w:rsidR="00963497">
        <w:rPr>
          <w:rFonts w:ascii="Times New Roman" w:hAnsi="Times New Roman" w:cs="Times New Roman"/>
          <w:sz w:val="22"/>
          <w:szCs w:val="26"/>
        </w:rPr>
        <w:t>s</w:t>
      </w:r>
      <w:r>
        <w:rPr>
          <w:rFonts w:ascii="Times New Roman" w:hAnsi="Times New Roman" w:cs="Times New Roman"/>
          <w:sz w:val="22"/>
          <w:szCs w:val="26"/>
        </w:rPr>
        <w:t xml:space="preserve"> with a description of the overall statistics. The overall statistics include companies forming part of both the treatment group and the control group. Therefore, the overall descriptive statistics presented below have been calculated based on all observations included in the data set. This information has been presented in the table below:</w:t>
      </w:r>
    </w:p>
    <w:p w14:paraId="44165397" w14:textId="77777777" w:rsidR="006258B4" w:rsidRPr="009D5140" w:rsidRDefault="00D62DF2"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t>Table 2</w:t>
      </w:r>
      <w:r w:rsidR="006258B4" w:rsidRPr="00AC4DE7">
        <w:rPr>
          <w:rFonts w:ascii="Times New Roman" w:hAnsi="Times New Roman" w:cs="Times New Roman"/>
          <w:b/>
          <w:sz w:val="22"/>
          <w:szCs w:val="26"/>
          <w:u w:val="single"/>
        </w:rPr>
        <w:t>-</w:t>
      </w:r>
      <w:r w:rsidR="006258B4" w:rsidRPr="00AC4DE7">
        <w:rPr>
          <w:u w:val="single"/>
        </w:rPr>
        <w:t xml:space="preserve"> </w:t>
      </w:r>
      <w:r w:rsidR="006258B4" w:rsidRPr="00AC4DE7">
        <w:rPr>
          <w:rFonts w:ascii="Times New Roman" w:hAnsi="Times New Roman" w:cs="Times New Roman"/>
          <w:b/>
          <w:sz w:val="22"/>
          <w:szCs w:val="26"/>
          <w:u w:val="single"/>
        </w:rPr>
        <w:t>Descriptive Statistics</w:t>
      </w:r>
      <w:r w:rsidR="006258B4">
        <w:rPr>
          <w:rFonts w:ascii="Times New Roman" w:hAnsi="Times New Roman" w:cs="Times New Roman"/>
          <w:b/>
          <w:sz w:val="22"/>
          <w:szCs w:val="26"/>
          <w:u w:val="single"/>
        </w:rPr>
        <w:t xml:space="preserve"> for the Overall Data Set</w:t>
      </w:r>
      <w:r w:rsidR="006258B4" w:rsidRPr="009D5140">
        <w:rPr>
          <w:rFonts w:ascii="Times New Roman" w:hAnsi="Times New Roman" w:cs="Times New Roman"/>
          <w:b/>
          <w:sz w:val="22"/>
          <w:szCs w:val="26"/>
          <w:u w:val="single"/>
        </w:rPr>
        <w:t>:</w:t>
      </w:r>
    </w:p>
    <w:p w14:paraId="2791AA17"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Variable |       Obs        Mean    Std. Dev.       Min        Max</w:t>
      </w:r>
    </w:p>
    <w:p w14:paraId="1A36ECDB"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48293F63"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DPR |       632    .3757591      .27306          0   1.060558</w:t>
      </w:r>
    </w:p>
    <w:p w14:paraId="71718AC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Deal |       632    .2199367    .4145316          0          1</w:t>
      </w:r>
    </w:p>
    <w:p w14:paraId="2BE6285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Profit |       632    12.30894    10.04641    -4.4746    37.2511</w:t>
      </w:r>
    </w:p>
    <w:p w14:paraId="37A6A464"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CS |       632    2.390581    3.669166      .0548    15.4071</w:t>
      </w:r>
    </w:p>
    <w:p w14:paraId="0EFD63CD"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Growth |       632    3.363575    3.506629      .2568    18.1283</w:t>
      </w:r>
    </w:p>
    <w:p w14:paraId="29EA704A"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21E27EEE"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Liquidity |       632    1.408152    .7756051      .2048     4.2367</w:t>
      </w:r>
    </w:p>
    <w:p w14:paraId="092C4535"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JSE |       632    5.003165    2.348413          1          8</w:t>
      </w:r>
    </w:p>
    <w:p w14:paraId="0267C671"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Size |       632    15.77556    1.577621   12.72029   19.63108</w:t>
      </w:r>
    </w:p>
    <w:p w14:paraId="62349BC4"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time |       632    2002.668    2.284177       1999       2006</w:t>
      </w:r>
    </w:p>
    <w:p w14:paraId="17488952"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Variable |       Obs        Mean    Std. Dev.       Min        Max</w:t>
      </w:r>
    </w:p>
    <w:p w14:paraId="54C8D47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378BFCF3"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DPR |       632    .3757591      .27306          0   1.060558</w:t>
      </w:r>
    </w:p>
    <w:p w14:paraId="1073CBB3"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Deal |       632    .2199367    .4145316          0          1</w:t>
      </w:r>
    </w:p>
    <w:p w14:paraId="455A4833"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Profit |       632    12.30894    10.04641    -4.4746    37.2511</w:t>
      </w:r>
    </w:p>
    <w:p w14:paraId="3390B2E1"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CS |       632    2.390581    3.669166      .0548    15.4071</w:t>
      </w:r>
    </w:p>
    <w:p w14:paraId="512B403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Growth |       632    3.363575    3.506629      .2568    18.1283</w:t>
      </w:r>
    </w:p>
    <w:p w14:paraId="034BA66C"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083C3D4D"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Liquidity |       632    1.408152    .7756051      .2048     4.2367</w:t>
      </w:r>
    </w:p>
    <w:p w14:paraId="0A087211"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JSE |       632    5.003165    2.348413          1          8</w:t>
      </w:r>
    </w:p>
    <w:p w14:paraId="010CBE67"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Size |       632    15.77556    1.577621   12.72029   19.63108</w:t>
      </w:r>
    </w:p>
    <w:p w14:paraId="60F11D88"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time |       632    2002.668    2.284177       1999       2006</w:t>
      </w:r>
    </w:p>
    <w:p w14:paraId="1D06D27A"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Variable |       Obs        Mean    Std. Dev.       Min        Max</w:t>
      </w:r>
    </w:p>
    <w:p w14:paraId="29C54D84"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113B8777"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DPR |       632    .3757591      .27306          0   1.060558</w:t>
      </w:r>
    </w:p>
    <w:p w14:paraId="33C890C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Deal |       632    .2199367    .4145316          0          1</w:t>
      </w:r>
    </w:p>
    <w:p w14:paraId="30673D79"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Profit |       632    12.30894    10.04641    -4.4746    37.2511</w:t>
      </w:r>
    </w:p>
    <w:p w14:paraId="03AE0541"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CS |       632    2.390581    3.669166      .0548    15.4071</w:t>
      </w:r>
    </w:p>
    <w:p w14:paraId="460C4E3A"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Growth |       632    3.363575    3.506629      .2568    18.1283</w:t>
      </w:r>
    </w:p>
    <w:p w14:paraId="6121E913"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w:t>
      </w:r>
    </w:p>
    <w:p w14:paraId="6CF76E38"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Liquidity |       632    1.408152    .7756051      .2048     4.2367</w:t>
      </w:r>
    </w:p>
    <w:p w14:paraId="6B4C3EE5"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JSE |       632    5.003165    2.348413          1          8</w:t>
      </w:r>
    </w:p>
    <w:p w14:paraId="6715CE66"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Size |       632    15.77556    1.577621   12.72029   19.63108</w:t>
      </w:r>
    </w:p>
    <w:p w14:paraId="4A9C1EF5" w14:textId="77777777" w:rsidR="006258B4" w:rsidRPr="00736CBE" w:rsidRDefault="006258B4" w:rsidP="00536234">
      <w:pPr>
        <w:shd w:val="clear" w:color="auto" w:fill="FFFFFF"/>
        <w:spacing w:after="0" w:line="0" w:lineRule="auto"/>
        <w:ind w:left="0" w:firstLine="0"/>
        <w:jc w:val="left"/>
        <w:rPr>
          <w:rFonts w:ascii="pg-3fff0" w:eastAsia="Times New Roman" w:hAnsi="pg-3fff0" w:cs="Times New Roman"/>
          <w:sz w:val="60"/>
          <w:szCs w:val="60"/>
        </w:rPr>
      </w:pPr>
      <w:r w:rsidRPr="00736CBE">
        <w:rPr>
          <w:rFonts w:ascii="pg-3fff0" w:eastAsia="Times New Roman" w:hAnsi="pg-3fff0" w:cs="Times New Roman"/>
          <w:sz w:val="60"/>
          <w:szCs w:val="60"/>
        </w:rPr>
        <w:t xml:space="preserve">        time |       632    2002.668    2.284177       1999       2006</w:t>
      </w:r>
    </w:p>
    <w:tbl>
      <w:tblPr>
        <w:tblW w:w="9089" w:type="dxa"/>
        <w:jc w:val="center"/>
        <w:tblLayout w:type="fixed"/>
        <w:tblCellMar>
          <w:left w:w="75" w:type="dxa"/>
          <w:right w:w="75" w:type="dxa"/>
        </w:tblCellMar>
        <w:tblLook w:val="0000" w:firstRow="0" w:lastRow="0" w:firstColumn="0" w:lastColumn="0" w:noHBand="0" w:noVBand="0"/>
      </w:tblPr>
      <w:tblGrid>
        <w:gridCol w:w="2422"/>
        <w:gridCol w:w="919"/>
        <w:gridCol w:w="1379"/>
        <w:gridCol w:w="1379"/>
        <w:gridCol w:w="1611"/>
        <w:gridCol w:w="1379"/>
      </w:tblGrid>
      <w:tr w:rsidR="006258B4" w:rsidRPr="00676BB7" w14:paraId="2D2B27F2" w14:textId="77777777" w:rsidTr="008463F8">
        <w:trPr>
          <w:trHeight w:val="273"/>
          <w:jc w:val="center"/>
        </w:trPr>
        <w:tc>
          <w:tcPr>
            <w:tcW w:w="2422" w:type="dxa"/>
            <w:tcBorders>
              <w:top w:val="single" w:sz="6" w:space="0" w:color="auto"/>
              <w:left w:val="nil"/>
              <w:bottom w:val="nil"/>
              <w:right w:val="nil"/>
            </w:tcBorders>
          </w:tcPr>
          <w:p w14:paraId="625C792A"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919" w:type="dxa"/>
            <w:tcBorders>
              <w:top w:val="single" w:sz="6" w:space="0" w:color="auto"/>
              <w:left w:val="nil"/>
              <w:bottom w:val="nil"/>
              <w:right w:val="nil"/>
            </w:tcBorders>
          </w:tcPr>
          <w:p w14:paraId="10A12A2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p>
        </w:tc>
        <w:tc>
          <w:tcPr>
            <w:tcW w:w="1379" w:type="dxa"/>
            <w:tcBorders>
              <w:top w:val="single" w:sz="6" w:space="0" w:color="auto"/>
              <w:left w:val="nil"/>
              <w:bottom w:val="nil"/>
              <w:right w:val="nil"/>
            </w:tcBorders>
          </w:tcPr>
          <w:p w14:paraId="11DA271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(2)</w:t>
            </w:r>
          </w:p>
        </w:tc>
        <w:tc>
          <w:tcPr>
            <w:tcW w:w="1379" w:type="dxa"/>
            <w:tcBorders>
              <w:top w:val="single" w:sz="6" w:space="0" w:color="auto"/>
              <w:left w:val="nil"/>
              <w:bottom w:val="nil"/>
              <w:right w:val="nil"/>
            </w:tcBorders>
          </w:tcPr>
          <w:p w14:paraId="791A041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p>
        </w:tc>
        <w:tc>
          <w:tcPr>
            <w:tcW w:w="1611" w:type="dxa"/>
            <w:tcBorders>
              <w:top w:val="single" w:sz="6" w:space="0" w:color="auto"/>
              <w:left w:val="nil"/>
              <w:bottom w:val="nil"/>
              <w:right w:val="nil"/>
            </w:tcBorders>
          </w:tcPr>
          <w:p w14:paraId="761C517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w:t>
            </w:r>
          </w:p>
        </w:tc>
        <w:tc>
          <w:tcPr>
            <w:tcW w:w="1379" w:type="dxa"/>
            <w:tcBorders>
              <w:top w:val="single" w:sz="6" w:space="0" w:color="auto"/>
              <w:left w:val="nil"/>
              <w:bottom w:val="nil"/>
              <w:right w:val="nil"/>
            </w:tcBorders>
          </w:tcPr>
          <w:p w14:paraId="376EB53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(5)</w:t>
            </w:r>
          </w:p>
        </w:tc>
      </w:tr>
      <w:tr w:rsidR="006258B4" w:rsidRPr="00676BB7" w14:paraId="79A6EACC" w14:textId="77777777" w:rsidTr="008463F8">
        <w:trPr>
          <w:trHeight w:val="273"/>
          <w:jc w:val="center"/>
        </w:trPr>
        <w:tc>
          <w:tcPr>
            <w:tcW w:w="2422" w:type="dxa"/>
            <w:tcBorders>
              <w:top w:val="nil"/>
              <w:left w:val="nil"/>
              <w:bottom w:val="single" w:sz="6" w:space="0" w:color="auto"/>
              <w:right w:val="nil"/>
            </w:tcBorders>
          </w:tcPr>
          <w:p w14:paraId="6BA83964"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VARIABLES</w:t>
            </w:r>
          </w:p>
        </w:tc>
        <w:tc>
          <w:tcPr>
            <w:tcW w:w="919" w:type="dxa"/>
            <w:tcBorders>
              <w:top w:val="nil"/>
              <w:left w:val="nil"/>
              <w:bottom w:val="single" w:sz="6" w:space="0" w:color="auto"/>
              <w:right w:val="nil"/>
            </w:tcBorders>
          </w:tcPr>
          <w:p w14:paraId="2FAEA04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N</w:t>
            </w:r>
          </w:p>
        </w:tc>
        <w:tc>
          <w:tcPr>
            <w:tcW w:w="1379" w:type="dxa"/>
            <w:tcBorders>
              <w:top w:val="nil"/>
              <w:left w:val="nil"/>
              <w:bottom w:val="single" w:sz="6" w:space="0" w:color="auto"/>
              <w:right w:val="nil"/>
            </w:tcBorders>
          </w:tcPr>
          <w:p w14:paraId="59485DE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ean</w:t>
            </w:r>
          </w:p>
        </w:tc>
        <w:tc>
          <w:tcPr>
            <w:tcW w:w="1379" w:type="dxa"/>
            <w:tcBorders>
              <w:top w:val="nil"/>
              <w:left w:val="nil"/>
              <w:bottom w:val="single" w:sz="6" w:space="0" w:color="auto"/>
              <w:right w:val="nil"/>
            </w:tcBorders>
          </w:tcPr>
          <w:p w14:paraId="484715A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SD</w:t>
            </w:r>
          </w:p>
        </w:tc>
        <w:tc>
          <w:tcPr>
            <w:tcW w:w="1611" w:type="dxa"/>
            <w:tcBorders>
              <w:top w:val="nil"/>
              <w:left w:val="nil"/>
              <w:bottom w:val="single" w:sz="6" w:space="0" w:color="auto"/>
              <w:right w:val="nil"/>
            </w:tcBorders>
          </w:tcPr>
          <w:p w14:paraId="6A174E8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in</w:t>
            </w:r>
          </w:p>
        </w:tc>
        <w:tc>
          <w:tcPr>
            <w:tcW w:w="1379" w:type="dxa"/>
            <w:tcBorders>
              <w:top w:val="nil"/>
              <w:left w:val="nil"/>
              <w:bottom w:val="single" w:sz="6" w:space="0" w:color="auto"/>
              <w:right w:val="nil"/>
            </w:tcBorders>
          </w:tcPr>
          <w:p w14:paraId="1B2BC81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ax</w:t>
            </w:r>
          </w:p>
        </w:tc>
      </w:tr>
      <w:tr w:rsidR="006258B4" w:rsidRPr="00676BB7" w14:paraId="393015E0" w14:textId="77777777" w:rsidTr="008463F8">
        <w:trPr>
          <w:trHeight w:val="53"/>
          <w:jc w:val="center"/>
        </w:trPr>
        <w:tc>
          <w:tcPr>
            <w:tcW w:w="2422" w:type="dxa"/>
            <w:tcBorders>
              <w:top w:val="nil"/>
              <w:left w:val="nil"/>
              <w:bottom w:val="nil"/>
              <w:right w:val="nil"/>
            </w:tcBorders>
          </w:tcPr>
          <w:p w14:paraId="138A7DE9"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919" w:type="dxa"/>
            <w:tcBorders>
              <w:top w:val="nil"/>
              <w:left w:val="nil"/>
              <w:bottom w:val="nil"/>
              <w:right w:val="nil"/>
            </w:tcBorders>
          </w:tcPr>
          <w:p w14:paraId="430D196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79" w:type="dxa"/>
            <w:tcBorders>
              <w:top w:val="nil"/>
              <w:left w:val="nil"/>
              <w:bottom w:val="nil"/>
              <w:right w:val="nil"/>
            </w:tcBorders>
          </w:tcPr>
          <w:p w14:paraId="6894626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79" w:type="dxa"/>
            <w:tcBorders>
              <w:top w:val="nil"/>
              <w:left w:val="nil"/>
              <w:bottom w:val="nil"/>
              <w:right w:val="nil"/>
            </w:tcBorders>
          </w:tcPr>
          <w:p w14:paraId="1F8EF48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611" w:type="dxa"/>
            <w:tcBorders>
              <w:top w:val="nil"/>
              <w:left w:val="nil"/>
              <w:bottom w:val="nil"/>
              <w:right w:val="nil"/>
            </w:tcBorders>
          </w:tcPr>
          <w:p w14:paraId="4A4808A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79" w:type="dxa"/>
            <w:tcBorders>
              <w:top w:val="nil"/>
              <w:left w:val="nil"/>
              <w:bottom w:val="nil"/>
              <w:right w:val="nil"/>
            </w:tcBorders>
          </w:tcPr>
          <w:p w14:paraId="4881DE0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r>
      <w:tr w:rsidR="006258B4" w:rsidRPr="00676BB7" w14:paraId="26D1C19E" w14:textId="77777777" w:rsidTr="008463F8">
        <w:trPr>
          <w:trHeight w:val="273"/>
          <w:jc w:val="center"/>
        </w:trPr>
        <w:tc>
          <w:tcPr>
            <w:tcW w:w="2422" w:type="dxa"/>
            <w:tcBorders>
              <w:top w:val="nil"/>
              <w:left w:val="nil"/>
              <w:bottom w:val="nil"/>
              <w:right w:val="nil"/>
            </w:tcBorders>
          </w:tcPr>
          <w:p w14:paraId="04C40FF7"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DPR</w:t>
            </w:r>
          </w:p>
        </w:tc>
        <w:tc>
          <w:tcPr>
            <w:tcW w:w="919" w:type="dxa"/>
            <w:tcBorders>
              <w:top w:val="nil"/>
              <w:left w:val="nil"/>
              <w:bottom w:val="nil"/>
              <w:right w:val="nil"/>
            </w:tcBorders>
          </w:tcPr>
          <w:p w14:paraId="70A5252F"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0A906D9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0.376</w:t>
            </w:r>
          </w:p>
        </w:tc>
        <w:tc>
          <w:tcPr>
            <w:tcW w:w="1379" w:type="dxa"/>
            <w:tcBorders>
              <w:top w:val="nil"/>
              <w:left w:val="nil"/>
              <w:bottom w:val="nil"/>
              <w:right w:val="nil"/>
            </w:tcBorders>
          </w:tcPr>
          <w:p w14:paraId="61C91AE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0.273</w:t>
            </w:r>
          </w:p>
        </w:tc>
        <w:tc>
          <w:tcPr>
            <w:tcW w:w="1611" w:type="dxa"/>
            <w:tcBorders>
              <w:top w:val="nil"/>
              <w:left w:val="nil"/>
              <w:bottom w:val="nil"/>
              <w:right w:val="nil"/>
            </w:tcBorders>
          </w:tcPr>
          <w:p w14:paraId="7B1958E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p>
        </w:tc>
        <w:tc>
          <w:tcPr>
            <w:tcW w:w="1379" w:type="dxa"/>
            <w:tcBorders>
              <w:top w:val="nil"/>
              <w:left w:val="nil"/>
              <w:bottom w:val="nil"/>
              <w:right w:val="nil"/>
            </w:tcBorders>
          </w:tcPr>
          <w:p w14:paraId="1675232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1.061</w:t>
            </w:r>
          </w:p>
        </w:tc>
      </w:tr>
      <w:tr w:rsidR="006258B4" w:rsidRPr="00676BB7" w14:paraId="43CF625B" w14:textId="77777777" w:rsidTr="008463F8">
        <w:trPr>
          <w:trHeight w:val="273"/>
          <w:jc w:val="center"/>
        </w:trPr>
        <w:tc>
          <w:tcPr>
            <w:tcW w:w="2422" w:type="dxa"/>
            <w:tcBorders>
              <w:top w:val="nil"/>
              <w:left w:val="nil"/>
              <w:bottom w:val="nil"/>
              <w:right w:val="nil"/>
            </w:tcBorders>
          </w:tcPr>
          <w:p w14:paraId="57FDA450"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Deal</w:t>
            </w:r>
          </w:p>
        </w:tc>
        <w:tc>
          <w:tcPr>
            <w:tcW w:w="919" w:type="dxa"/>
            <w:tcBorders>
              <w:top w:val="nil"/>
              <w:left w:val="nil"/>
              <w:bottom w:val="nil"/>
              <w:right w:val="nil"/>
            </w:tcBorders>
          </w:tcPr>
          <w:p w14:paraId="389569B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5704F3A8" w14:textId="77777777" w:rsidR="006258B4" w:rsidRPr="00676BB7" w:rsidRDefault="00963497"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379" w:type="dxa"/>
            <w:tcBorders>
              <w:top w:val="nil"/>
              <w:left w:val="nil"/>
              <w:bottom w:val="nil"/>
              <w:right w:val="nil"/>
            </w:tcBorders>
          </w:tcPr>
          <w:p w14:paraId="740468FE" w14:textId="77777777" w:rsidR="006258B4" w:rsidRPr="00676BB7" w:rsidRDefault="00963497"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611" w:type="dxa"/>
            <w:tcBorders>
              <w:top w:val="nil"/>
              <w:left w:val="nil"/>
              <w:bottom w:val="nil"/>
              <w:right w:val="nil"/>
            </w:tcBorders>
          </w:tcPr>
          <w:p w14:paraId="683CC6D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p>
        </w:tc>
        <w:tc>
          <w:tcPr>
            <w:tcW w:w="1379" w:type="dxa"/>
            <w:tcBorders>
              <w:top w:val="nil"/>
              <w:left w:val="nil"/>
              <w:bottom w:val="nil"/>
              <w:right w:val="nil"/>
            </w:tcBorders>
          </w:tcPr>
          <w:p w14:paraId="7EA6106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p>
        </w:tc>
      </w:tr>
      <w:tr w:rsidR="006258B4" w:rsidRPr="00676BB7" w14:paraId="127F44D6" w14:textId="77777777" w:rsidTr="008463F8">
        <w:trPr>
          <w:trHeight w:val="273"/>
          <w:jc w:val="center"/>
        </w:trPr>
        <w:tc>
          <w:tcPr>
            <w:tcW w:w="2422" w:type="dxa"/>
            <w:tcBorders>
              <w:top w:val="nil"/>
              <w:left w:val="nil"/>
              <w:bottom w:val="nil"/>
              <w:right w:val="nil"/>
            </w:tcBorders>
          </w:tcPr>
          <w:p w14:paraId="05FD267D"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Size</w:t>
            </w:r>
          </w:p>
        </w:tc>
        <w:tc>
          <w:tcPr>
            <w:tcW w:w="919" w:type="dxa"/>
            <w:tcBorders>
              <w:top w:val="nil"/>
              <w:left w:val="nil"/>
              <w:bottom w:val="nil"/>
              <w:right w:val="nil"/>
            </w:tcBorders>
          </w:tcPr>
          <w:p w14:paraId="5BBA2C5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10435EB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15.78</w:t>
            </w:r>
          </w:p>
        </w:tc>
        <w:tc>
          <w:tcPr>
            <w:tcW w:w="1379" w:type="dxa"/>
            <w:tcBorders>
              <w:top w:val="nil"/>
              <w:left w:val="nil"/>
              <w:bottom w:val="nil"/>
              <w:right w:val="nil"/>
            </w:tcBorders>
          </w:tcPr>
          <w:p w14:paraId="0395884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1.578</w:t>
            </w:r>
          </w:p>
        </w:tc>
        <w:tc>
          <w:tcPr>
            <w:tcW w:w="1611" w:type="dxa"/>
            <w:tcBorders>
              <w:top w:val="nil"/>
              <w:left w:val="nil"/>
              <w:bottom w:val="nil"/>
              <w:right w:val="nil"/>
            </w:tcBorders>
          </w:tcPr>
          <w:p w14:paraId="1A99873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12.72</w:t>
            </w:r>
          </w:p>
        </w:tc>
        <w:tc>
          <w:tcPr>
            <w:tcW w:w="1379" w:type="dxa"/>
            <w:tcBorders>
              <w:top w:val="nil"/>
              <w:left w:val="nil"/>
              <w:bottom w:val="nil"/>
              <w:right w:val="nil"/>
            </w:tcBorders>
          </w:tcPr>
          <w:p w14:paraId="0EE56C7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19.63</w:t>
            </w:r>
          </w:p>
        </w:tc>
      </w:tr>
      <w:tr w:rsidR="006258B4" w:rsidRPr="00676BB7" w14:paraId="373F3DC3" w14:textId="77777777" w:rsidTr="008463F8">
        <w:trPr>
          <w:trHeight w:val="273"/>
          <w:jc w:val="center"/>
        </w:trPr>
        <w:tc>
          <w:tcPr>
            <w:tcW w:w="2422" w:type="dxa"/>
            <w:tcBorders>
              <w:top w:val="nil"/>
              <w:left w:val="nil"/>
              <w:bottom w:val="nil"/>
              <w:right w:val="nil"/>
            </w:tcBorders>
          </w:tcPr>
          <w:p w14:paraId="37808848"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CS</w:t>
            </w:r>
          </w:p>
        </w:tc>
        <w:tc>
          <w:tcPr>
            <w:tcW w:w="919" w:type="dxa"/>
            <w:tcBorders>
              <w:top w:val="nil"/>
              <w:left w:val="nil"/>
              <w:bottom w:val="nil"/>
              <w:right w:val="nil"/>
            </w:tcBorders>
          </w:tcPr>
          <w:p w14:paraId="58F8F10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614335D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2.391</w:t>
            </w:r>
          </w:p>
        </w:tc>
        <w:tc>
          <w:tcPr>
            <w:tcW w:w="1379" w:type="dxa"/>
            <w:tcBorders>
              <w:top w:val="nil"/>
              <w:left w:val="nil"/>
              <w:bottom w:val="nil"/>
              <w:right w:val="nil"/>
            </w:tcBorders>
          </w:tcPr>
          <w:p w14:paraId="6A76527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3.669</w:t>
            </w:r>
          </w:p>
        </w:tc>
        <w:tc>
          <w:tcPr>
            <w:tcW w:w="1611" w:type="dxa"/>
            <w:tcBorders>
              <w:top w:val="nil"/>
              <w:left w:val="nil"/>
              <w:bottom w:val="nil"/>
              <w:right w:val="nil"/>
            </w:tcBorders>
          </w:tcPr>
          <w:p w14:paraId="5845E69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0.0548</w:t>
            </w:r>
          </w:p>
        </w:tc>
        <w:tc>
          <w:tcPr>
            <w:tcW w:w="1379" w:type="dxa"/>
            <w:tcBorders>
              <w:top w:val="nil"/>
              <w:left w:val="nil"/>
              <w:bottom w:val="nil"/>
              <w:right w:val="nil"/>
            </w:tcBorders>
          </w:tcPr>
          <w:p w14:paraId="0CABD60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15.41</w:t>
            </w:r>
          </w:p>
        </w:tc>
      </w:tr>
      <w:tr w:rsidR="006258B4" w:rsidRPr="00676BB7" w14:paraId="4C259D09" w14:textId="77777777" w:rsidTr="008463F8">
        <w:trPr>
          <w:trHeight w:val="273"/>
          <w:jc w:val="center"/>
        </w:trPr>
        <w:tc>
          <w:tcPr>
            <w:tcW w:w="2422" w:type="dxa"/>
            <w:tcBorders>
              <w:top w:val="nil"/>
              <w:left w:val="nil"/>
              <w:bottom w:val="nil"/>
              <w:right w:val="nil"/>
            </w:tcBorders>
          </w:tcPr>
          <w:p w14:paraId="10312C8C"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Growth</w:t>
            </w:r>
          </w:p>
        </w:tc>
        <w:tc>
          <w:tcPr>
            <w:tcW w:w="919" w:type="dxa"/>
            <w:tcBorders>
              <w:top w:val="nil"/>
              <w:left w:val="nil"/>
              <w:bottom w:val="nil"/>
              <w:right w:val="nil"/>
            </w:tcBorders>
          </w:tcPr>
          <w:p w14:paraId="4986AE0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4ECE509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3.364</w:t>
            </w:r>
          </w:p>
        </w:tc>
        <w:tc>
          <w:tcPr>
            <w:tcW w:w="1379" w:type="dxa"/>
            <w:tcBorders>
              <w:top w:val="nil"/>
              <w:left w:val="nil"/>
              <w:bottom w:val="nil"/>
              <w:right w:val="nil"/>
            </w:tcBorders>
          </w:tcPr>
          <w:p w14:paraId="5BF60D0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3.507</w:t>
            </w:r>
          </w:p>
        </w:tc>
        <w:tc>
          <w:tcPr>
            <w:tcW w:w="1611" w:type="dxa"/>
            <w:tcBorders>
              <w:top w:val="nil"/>
              <w:left w:val="nil"/>
              <w:bottom w:val="nil"/>
              <w:right w:val="nil"/>
            </w:tcBorders>
          </w:tcPr>
          <w:p w14:paraId="095F193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0.257</w:t>
            </w:r>
          </w:p>
        </w:tc>
        <w:tc>
          <w:tcPr>
            <w:tcW w:w="1379" w:type="dxa"/>
            <w:tcBorders>
              <w:top w:val="nil"/>
              <w:left w:val="nil"/>
              <w:bottom w:val="nil"/>
              <w:right w:val="nil"/>
            </w:tcBorders>
          </w:tcPr>
          <w:p w14:paraId="205731F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18.13</w:t>
            </w:r>
          </w:p>
        </w:tc>
      </w:tr>
      <w:tr w:rsidR="006258B4" w:rsidRPr="00676BB7" w14:paraId="66BB149E" w14:textId="77777777" w:rsidTr="008463F8">
        <w:trPr>
          <w:trHeight w:val="273"/>
          <w:jc w:val="center"/>
        </w:trPr>
        <w:tc>
          <w:tcPr>
            <w:tcW w:w="2422" w:type="dxa"/>
            <w:tcBorders>
              <w:top w:val="nil"/>
              <w:left w:val="nil"/>
              <w:bottom w:val="nil"/>
              <w:right w:val="nil"/>
            </w:tcBorders>
          </w:tcPr>
          <w:p w14:paraId="5A065236"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Liquidity</w:t>
            </w:r>
          </w:p>
        </w:tc>
        <w:tc>
          <w:tcPr>
            <w:tcW w:w="919" w:type="dxa"/>
            <w:tcBorders>
              <w:top w:val="nil"/>
              <w:left w:val="nil"/>
              <w:bottom w:val="nil"/>
              <w:right w:val="nil"/>
            </w:tcBorders>
          </w:tcPr>
          <w:p w14:paraId="3F8CC9B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1722709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1.408</w:t>
            </w:r>
          </w:p>
        </w:tc>
        <w:tc>
          <w:tcPr>
            <w:tcW w:w="1379" w:type="dxa"/>
            <w:tcBorders>
              <w:top w:val="nil"/>
              <w:left w:val="nil"/>
              <w:bottom w:val="nil"/>
              <w:right w:val="nil"/>
            </w:tcBorders>
          </w:tcPr>
          <w:p w14:paraId="1F46B3F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0.776</w:t>
            </w:r>
          </w:p>
        </w:tc>
        <w:tc>
          <w:tcPr>
            <w:tcW w:w="1611" w:type="dxa"/>
            <w:tcBorders>
              <w:top w:val="nil"/>
              <w:left w:val="nil"/>
              <w:bottom w:val="nil"/>
              <w:right w:val="nil"/>
            </w:tcBorders>
          </w:tcPr>
          <w:p w14:paraId="7672D36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0.205</w:t>
            </w:r>
          </w:p>
        </w:tc>
        <w:tc>
          <w:tcPr>
            <w:tcW w:w="1379" w:type="dxa"/>
            <w:tcBorders>
              <w:top w:val="nil"/>
              <w:left w:val="nil"/>
              <w:bottom w:val="nil"/>
              <w:right w:val="nil"/>
            </w:tcBorders>
          </w:tcPr>
          <w:p w14:paraId="2E25445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4.237</w:t>
            </w:r>
          </w:p>
        </w:tc>
      </w:tr>
      <w:tr w:rsidR="006258B4" w:rsidRPr="00676BB7" w14:paraId="35266405" w14:textId="77777777" w:rsidTr="008463F8">
        <w:trPr>
          <w:trHeight w:val="273"/>
          <w:jc w:val="center"/>
        </w:trPr>
        <w:tc>
          <w:tcPr>
            <w:tcW w:w="2422" w:type="dxa"/>
            <w:tcBorders>
              <w:top w:val="nil"/>
              <w:left w:val="nil"/>
              <w:bottom w:val="nil"/>
              <w:right w:val="nil"/>
            </w:tcBorders>
          </w:tcPr>
          <w:p w14:paraId="3212E3E4"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Profit</w:t>
            </w:r>
          </w:p>
        </w:tc>
        <w:tc>
          <w:tcPr>
            <w:tcW w:w="919" w:type="dxa"/>
            <w:tcBorders>
              <w:top w:val="nil"/>
              <w:left w:val="nil"/>
              <w:bottom w:val="nil"/>
              <w:right w:val="nil"/>
            </w:tcBorders>
          </w:tcPr>
          <w:p w14:paraId="19BD6A4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632</w:t>
            </w:r>
          </w:p>
        </w:tc>
        <w:tc>
          <w:tcPr>
            <w:tcW w:w="1379" w:type="dxa"/>
            <w:tcBorders>
              <w:top w:val="nil"/>
              <w:left w:val="nil"/>
              <w:bottom w:val="nil"/>
              <w:right w:val="nil"/>
            </w:tcBorders>
          </w:tcPr>
          <w:p w14:paraId="12A33EC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12.31</w:t>
            </w:r>
          </w:p>
        </w:tc>
        <w:tc>
          <w:tcPr>
            <w:tcW w:w="1379" w:type="dxa"/>
            <w:tcBorders>
              <w:top w:val="nil"/>
              <w:left w:val="nil"/>
              <w:bottom w:val="nil"/>
              <w:right w:val="nil"/>
            </w:tcBorders>
          </w:tcPr>
          <w:p w14:paraId="1BACEE8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10.05</w:t>
            </w:r>
          </w:p>
        </w:tc>
        <w:tc>
          <w:tcPr>
            <w:tcW w:w="1611" w:type="dxa"/>
            <w:tcBorders>
              <w:top w:val="nil"/>
              <w:left w:val="nil"/>
              <w:bottom w:val="nil"/>
              <w:right w:val="nil"/>
            </w:tcBorders>
          </w:tcPr>
          <w:p w14:paraId="54468EE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-4.475</w:t>
            </w:r>
          </w:p>
        </w:tc>
        <w:tc>
          <w:tcPr>
            <w:tcW w:w="1379" w:type="dxa"/>
            <w:tcBorders>
              <w:top w:val="nil"/>
              <w:left w:val="nil"/>
              <w:bottom w:val="nil"/>
              <w:right w:val="nil"/>
            </w:tcBorders>
          </w:tcPr>
          <w:p w14:paraId="31E4E4B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37.25</w:t>
            </w:r>
          </w:p>
        </w:tc>
      </w:tr>
      <w:tr w:rsidR="006258B4" w:rsidRPr="00676BB7" w14:paraId="324A3239" w14:textId="77777777" w:rsidTr="008463F8">
        <w:tblPrEx>
          <w:tblBorders>
            <w:bottom w:val="single" w:sz="6" w:space="0" w:color="auto"/>
          </w:tblBorders>
        </w:tblPrEx>
        <w:trPr>
          <w:trHeight w:val="142"/>
          <w:jc w:val="center"/>
        </w:trPr>
        <w:tc>
          <w:tcPr>
            <w:tcW w:w="2422" w:type="dxa"/>
            <w:tcBorders>
              <w:top w:val="nil"/>
              <w:left w:val="nil"/>
              <w:bottom w:val="single" w:sz="6" w:space="0" w:color="auto"/>
              <w:right w:val="nil"/>
            </w:tcBorders>
          </w:tcPr>
          <w:p w14:paraId="1CD7E81D"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szCs w:val="24"/>
              </w:rPr>
            </w:pPr>
          </w:p>
        </w:tc>
        <w:tc>
          <w:tcPr>
            <w:tcW w:w="919" w:type="dxa"/>
            <w:tcBorders>
              <w:top w:val="nil"/>
              <w:left w:val="nil"/>
              <w:bottom w:val="single" w:sz="6" w:space="0" w:color="auto"/>
              <w:right w:val="nil"/>
            </w:tcBorders>
          </w:tcPr>
          <w:p w14:paraId="21F0614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79" w:type="dxa"/>
            <w:tcBorders>
              <w:top w:val="nil"/>
              <w:left w:val="nil"/>
              <w:bottom w:val="single" w:sz="6" w:space="0" w:color="auto"/>
              <w:right w:val="nil"/>
            </w:tcBorders>
          </w:tcPr>
          <w:p w14:paraId="1DD091E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79" w:type="dxa"/>
            <w:tcBorders>
              <w:top w:val="nil"/>
              <w:left w:val="nil"/>
              <w:bottom w:val="single" w:sz="6" w:space="0" w:color="auto"/>
              <w:right w:val="nil"/>
            </w:tcBorders>
          </w:tcPr>
          <w:p w14:paraId="6578F0E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611" w:type="dxa"/>
            <w:tcBorders>
              <w:top w:val="nil"/>
              <w:left w:val="nil"/>
              <w:bottom w:val="single" w:sz="6" w:space="0" w:color="auto"/>
              <w:right w:val="nil"/>
            </w:tcBorders>
          </w:tcPr>
          <w:p w14:paraId="6BBDAB8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79" w:type="dxa"/>
            <w:tcBorders>
              <w:top w:val="nil"/>
              <w:left w:val="nil"/>
              <w:bottom w:val="single" w:sz="6" w:space="0" w:color="auto"/>
              <w:right w:val="nil"/>
            </w:tcBorders>
          </w:tcPr>
          <w:p w14:paraId="666B027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r>
    </w:tbl>
    <w:p w14:paraId="637587E0" w14:textId="77777777" w:rsidR="006258B4" w:rsidRDefault="006258B4" w:rsidP="00536234">
      <w:pPr>
        <w:widowControl w:val="0"/>
        <w:autoSpaceDE w:val="0"/>
        <w:autoSpaceDN w:val="0"/>
        <w:adjustRightInd w:val="0"/>
        <w:spacing w:after="0" w:line="240" w:lineRule="auto"/>
        <w:ind w:left="0"/>
        <w:jc w:val="right"/>
        <w:rPr>
          <w:rFonts w:ascii="Times New Roman" w:hAnsi="Times New Roman" w:cs="Times New Roman"/>
          <w:sz w:val="22"/>
          <w:szCs w:val="26"/>
        </w:rPr>
      </w:pPr>
      <w:r>
        <w:rPr>
          <w:rFonts w:ascii="Times New Roman" w:hAnsi="Times New Roman" w:cs="Times New Roman"/>
          <w:sz w:val="22"/>
          <w:szCs w:val="26"/>
        </w:rPr>
        <w:t>(Source: Stata)</w:t>
      </w:r>
    </w:p>
    <w:p w14:paraId="2EEA8E0B" w14:textId="77777777" w:rsidR="006258B4" w:rsidRPr="00DA2A65" w:rsidRDefault="006258B4" w:rsidP="00536234">
      <w:pPr>
        <w:widowControl w:val="0"/>
        <w:autoSpaceDE w:val="0"/>
        <w:autoSpaceDN w:val="0"/>
        <w:adjustRightInd w:val="0"/>
        <w:spacing w:after="0" w:line="240" w:lineRule="auto"/>
        <w:ind w:left="0"/>
        <w:rPr>
          <w:rFonts w:ascii="Times New Roman" w:hAnsi="Times New Roman" w:cs="Times New Roman"/>
          <w:sz w:val="22"/>
          <w:szCs w:val="26"/>
        </w:rPr>
      </w:pPr>
    </w:p>
    <w:p w14:paraId="77580486" w14:textId="35D4A8C7"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This section will first begin with the description of the dependent variable. </w:t>
      </w:r>
      <w:r w:rsidRPr="00B328BC">
        <w:rPr>
          <w:rFonts w:ascii="Times New Roman" w:hAnsi="Times New Roman" w:cs="Times New Roman"/>
          <w:sz w:val="22"/>
          <w:szCs w:val="26"/>
        </w:rPr>
        <w:t>The average dividend pay-out ratio i</w:t>
      </w:r>
      <w:r>
        <w:rPr>
          <w:rFonts w:ascii="Times New Roman" w:hAnsi="Times New Roman" w:cs="Times New Roman"/>
          <w:sz w:val="22"/>
          <w:szCs w:val="26"/>
        </w:rPr>
        <w:t>s 37.6 percent. This is in line with prior research which found</w:t>
      </w:r>
      <w:r w:rsidR="007A6B98">
        <w:rPr>
          <w:rFonts w:ascii="Times New Roman" w:hAnsi="Times New Roman" w:cs="Times New Roman"/>
          <w:sz w:val="22"/>
          <w:szCs w:val="26"/>
        </w:rPr>
        <w:t xml:space="preserve"> that</w:t>
      </w:r>
      <w:r>
        <w:rPr>
          <w:rFonts w:ascii="Times New Roman" w:hAnsi="Times New Roman" w:cs="Times New Roman"/>
          <w:sz w:val="22"/>
          <w:szCs w:val="26"/>
        </w:rPr>
        <w:t xml:space="preserve"> the average dividend pay-out ratio of South African companies was 35 percent over a similar period of study (Wolmarans, 2003). Further, the</w:t>
      </w:r>
      <w:r w:rsidRPr="00B328BC">
        <w:rPr>
          <w:rFonts w:ascii="Times New Roman" w:hAnsi="Times New Roman" w:cs="Times New Roman"/>
          <w:sz w:val="22"/>
          <w:szCs w:val="26"/>
        </w:rPr>
        <w:t xml:space="preserve"> standard deviation o</w:t>
      </w:r>
      <w:r>
        <w:rPr>
          <w:rFonts w:ascii="Times New Roman" w:hAnsi="Times New Roman" w:cs="Times New Roman"/>
          <w:sz w:val="22"/>
          <w:szCs w:val="26"/>
        </w:rPr>
        <w:t>f the dividend pay-out ratio is high at 0.273. This could indicate that the variation of dividend pay-out ratio is large across years, and that this measure of dividends could potentially vary significantly across companies. This high level of variability is further reflected in the wide range between the maximum</w:t>
      </w:r>
      <w:r w:rsidR="007A6B98">
        <w:rPr>
          <w:rFonts w:ascii="Times New Roman" w:hAnsi="Times New Roman" w:cs="Times New Roman"/>
          <w:sz w:val="22"/>
          <w:szCs w:val="26"/>
        </w:rPr>
        <w:t xml:space="preserve"> dividend pay-out ratio</w:t>
      </w:r>
      <w:r>
        <w:rPr>
          <w:rFonts w:ascii="Times New Roman" w:hAnsi="Times New Roman" w:cs="Times New Roman"/>
          <w:sz w:val="22"/>
          <w:szCs w:val="26"/>
        </w:rPr>
        <w:t xml:space="preserve"> of 106.10 percent and the minimum of 0 percent. </w:t>
      </w:r>
    </w:p>
    <w:p w14:paraId="06B2824B" w14:textId="67B63514" w:rsidR="00963497"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The second variable described is the Deal variable of whether or not companies ha</w:t>
      </w:r>
      <w:r w:rsidR="007A6B98">
        <w:rPr>
          <w:rFonts w:ascii="Times New Roman" w:hAnsi="Times New Roman" w:cs="Times New Roman"/>
          <w:sz w:val="22"/>
          <w:szCs w:val="26"/>
        </w:rPr>
        <w:t>d</w:t>
      </w:r>
      <w:r>
        <w:rPr>
          <w:rFonts w:ascii="Times New Roman" w:hAnsi="Times New Roman" w:cs="Times New Roman"/>
          <w:sz w:val="22"/>
          <w:szCs w:val="26"/>
        </w:rPr>
        <w:t xml:space="preserve"> BBBEE deals in place in a given year of study. This variable is </w:t>
      </w:r>
      <w:r w:rsidR="00BB4887">
        <w:rPr>
          <w:rFonts w:ascii="Times New Roman" w:hAnsi="Times New Roman" w:cs="Times New Roman"/>
          <w:sz w:val="22"/>
          <w:szCs w:val="26"/>
        </w:rPr>
        <w:t>a</w:t>
      </w:r>
      <w:r>
        <w:rPr>
          <w:rFonts w:ascii="Times New Roman" w:hAnsi="Times New Roman" w:cs="Times New Roman"/>
          <w:sz w:val="22"/>
          <w:szCs w:val="26"/>
        </w:rPr>
        <w:t xml:space="preserve"> dummy variable and has been used to designate either the treatment group (1) or the control group (0).  </w:t>
      </w:r>
    </w:p>
    <w:p w14:paraId="093D233C" w14:textId="4AB1B307" w:rsidR="006258B4" w:rsidRPr="00B328BC"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Size is the first of the control variables used in the study. The average company size, expressed as a natural logarithm of total assets, was 15.78, with a minimum size of 12.72 and a maximum size of 19.63. This is in line with prior research which has found the average South African company to have had a total assets balance amounting to R 2 761 649 million in the year 2006 (Statistics South Africa, 2006). The natural logarithm of this amount is equal to 14.8313. The natural logarithm effect has reduced the extreme variability that would otherwise have been expected to have been visible from the variable. This is seen in the low standard deviation of 1.578. The natural logarithm was calculated in order to avoid potential problems of multicollinearity with other variable</w:t>
      </w:r>
      <w:r w:rsidR="007A6B98">
        <w:rPr>
          <w:rFonts w:ascii="Times New Roman" w:hAnsi="Times New Roman" w:cs="Times New Roman"/>
          <w:sz w:val="22"/>
          <w:szCs w:val="26"/>
        </w:rPr>
        <w:t xml:space="preserve"> (</w:t>
      </w:r>
      <w:r>
        <w:rPr>
          <w:rFonts w:ascii="Times New Roman" w:hAnsi="Times New Roman" w:cs="Times New Roman"/>
          <w:sz w:val="22"/>
          <w:szCs w:val="26"/>
        </w:rPr>
        <w:t>discussed in Chapter 3 of the study</w:t>
      </w:r>
      <w:r w:rsidR="007A6B98">
        <w:rPr>
          <w:rFonts w:ascii="Times New Roman" w:hAnsi="Times New Roman" w:cs="Times New Roman"/>
          <w:sz w:val="22"/>
          <w:szCs w:val="26"/>
        </w:rPr>
        <w:t>)</w:t>
      </w:r>
      <w:r>
        <w:rPr>
          <w:rFonts w:ascii="Times New Roman" w:hAnsi="Times New Roman" w:cs="Times New Roman"/>
          <w:sz w:val="22"/>
          <w:szCs w:val="26"/>
        </w:rPr>
        <w:t xml:space="preserve">. </w:t>
      </w:r>
    </w:p>
    <w:p w14:paraId="097D59D1" w14:textId="77777777"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second control variable to be described is that of capital structure, or CS as per the above table. The average debt to equity ratio of companies included in the data set is 2.391. This is also in line with prior research which found the average total debt-equity ratio of all South African companies to amount to 2.1 in 2005 and 2.2 in 2006 (</w:t>
      </w:r>
      <w:r w:rsidRPr="00AC4DE7">
        <w:rPr>
          <w:rFonts w:ascii="Times New Roman" w:hAnsi="Times New Roman" w:cs="Times New Roman"/>
          <w:sz w:val="22"/>
          <w:szCs w:val="26"/>
        </w:rPr>
        <w:t>Statistics South Africa, 2016</w:t>
      </w:r>
      <w:r>
        <w:rPr>
          <w:rFonts w:ascii="Times New Roman" w:hAnsi="Times New Roman" w:cs="Times New Roman"/>
          <w:sz w:val="22"/>
          <w:szCs w:val="26"/>
        </w:rPr>
        <w:t>). This indicates that companies are, on average, very highly leveraged. The standard deviation of this variable is extremely high at an amount of 3.669. This high variation can further be seen in the large difference between the maximum debt-to-equity of 15.41 and the minimum debt-to-equity ratio of 0.0548. These large differences could potentially be explained as a result of the different preference for capital structure policies across the different JSE sectors (</w:t>
      </w:r>
      <w:r w:rsidRPr="00AC4DE7">
        <w:rPr>
          <w:rFonts w:ascii="Times New Roman" w:hAnsi="Times New Roman" w:cs="Times New Roman"/>
          <w:sz w:val="22"/>
          <w:szCs w:val="26"/>
        </w:rPr>
        <w:t>Statistics South Africa, 2016</w:t>
      </w:r>
      <w:r>
        <w:rPr>
          <w:rFonts w:ascii="Times New Roman" w:hAnsi="Times New Roman" w:cs="Times New Roman"/>
          <w:sz w:val="22"/>
          <w:szCs w:val="26"/>
        </w:rPr>
        <w:t xml:space="preserve">). This difference in industry policy norms will lead to companies in different sectors having different funding preferences for the purpose of funding their operations </w:t>
      </w:r>
      <w:r w:rsidRPr="00AC4DE7">
        <w:rPr>
          <w:rFonts w:ascii="Times New Roman" w:hAnsi="Times New Roman" w:cs="Times New Roman"/>
          <w:sz w:val="22"/>
          <w:szCs w:val="26"/>
        </w:rPr>
        <w:t>(Statistics South Africa, 2016)</w:t>
      </w:r>
      <w:r>
        <w:rPr>
          <w:rFonts w:ascii="Times New Roman" w:hAnsi="Times New Roman" w:cs="Times New Roman"/>
          <w:sz w:val="22"/>
          <w:szCs w:val="26"/>
        </w:rPr>
        <w:t xml:space="preserve">. This is because these different sectors are subject to different conditions which will naturally affect capital structure policy. </w:t>
      </w:r>
    </w:p>
    <w:p w14:paraId="28EB5010" w14:textId="77777777"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third control variable is that of growth. The growth variable is calculated according to the price-to-book ratio of a company for a particular year of study. The average price-to-book ratio has been </w:t>
      </w:r>
      <w:r>
        <w:rPr>
          <w:rFonts w:ascii="Times New Roman" w:hAnsi="Times New Roman" w:cs="Times New Roman"/>
          <w:sz w:val="22"/>
          <w:szCs w:val="26"/>
        </w:rPr>
        <w:lastRenderedPageBreak/>
        <w:t xml:space="preserve">calculated at an amount of 3.364 with a standard deviation of 3.507. This high variation in the value is further seen in comparing the minimum price-to-book ratio of 0.257 to the maximum price-to-book ratio of 18.13.  A potential reason for this great level of variation can also be attributed due to differences arising between JSE sectors </w:t>
      </w:r>
      <w:r w:rsidRPr="00997AFD">
        <w:rPr>
          <w:rFonts w:ascii="Times New Roman" w:hAnsi="Times New Roman" w:cs="Times New Roman"/>
          <w:sz w:val="22"/>
          <w:szCs w:val="26"/>
        </w:rPr>
        <w:t>(Thanatawee, 2014)</w:t>
      </w:r>
      <w:r>
        <w:rPr>
          <w:rFonts w:ascii="Times New Roman" w:hAnsi="Times New Roman" w:cs="Times New Roman"/>
          <w:sz w:val="22"/>
          <w:szCs w:val="26"/>
        </w:rPr>
        <w:t xml:space="preserve">. This is because market participants could have had extremely different perceptions regarding the performance of companies operating in different sectors, as well as throughout the entire study period. This is seen in the average price-to-book ratio of 3.364 which is, in itself, considered to be a high value. The efficiency of markets at the time should also be questioned as it could serve as an additional driver for the high mean and standard deviation. </w:t>
      </w:r>
    </w:p>
    <w:p w14:paraId="666B44EF" w14:textId="1E2DFB05" w:rsidR="006258B4" w:rsidRPr="008A5121"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fourth control variable, as depicted in the above table, is that of liquidity. Liquidity, for the purposes of this study, has been calculated as the current ratio of a company for a given year of study. The average current ratio has been calculated to be an amount of 1.408. This means that, on average, companies paying dividends meet the liquidity ratio required by the Companies Act No.71 of 2008 to be able to pay dividends.  This is in line with prior literature which found the average current ratio of all South African  companies to amount to 1.2210 in 2006 (Statistics South Africa, 2006). The standard deviation is considered to be quite reasonable at an amount of 0.776.</w:t>
      </w:r>
    </w:p>
    <w:p w14:paraId="3C407DD5" w14:textId="6503C2BC" w:rsidR="006258B4" w:rsidRPr="00110640"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fifth control variable is that of the profit variable. The profit variable is calculated as the return on assets ratio of a particular company for a given year of study. The average return on assets ratio is calculated at an amount of 12.31 percent with a standard deviation of 10.05 percent. This mean result is in line with prior research which found the average return on assets ratio of all South African companies to amount to 16.70 percent during a similar period </w:t>
      </w:r>
      <w:r w:rsidRPr="001E0B50">
        <w:rPr>
          <w:rFonts w:ascii="Times New Roman" w:hAnsi="Times New Roman" w:cs="Times New Roman"/>
          <w:sz w:val="22"/>
          <w:szCs w:val="26"/>
        </w:rPr>
        <w:t>(</w:t>
      </w:r>
      <w:r w:rsidR="00766427">
        <w:rPr>
          <w:rFonts w:ascii="Times New Roman" w:hAnsi="Times New Roman" w:cs="Times New Roman"/>
          <w:sz w:val="22"/>
          <w:szCs w:val="26"/>
        </w:rPr>
        <w:t xml:space="preserve">T. </w:t>
      </w:r>
      <w:r>
        <w:rPr>
          <w:rFonts w:ascii="Times New Roman" w:hAnsi="Times New Roman" w:cs="Times New Roman"/>
          <w:sz w:val="22"/>
          <w:szCs w:val="26"/>
        </w:rPr>
        <w:t>Gwatido</w:t>
      </w:r>
      <w:r w:rsidR="00E1097B">
        <w:rPr>
          <w:rFonts w:ascii="Times New Roman" w:hAnsi="Times New Roman" w:cs="Times New Roman"/>
          <w:sz w:val="22"/>
          <w:szCs w:val="26"/>
        </w:rPr>
        <w:t>,</w:t>
      </w:r>
      <w:r>
        <w:rPr>
          <w:rFonts w:ascii="Times New Roman" w:hAnsi="Times New Roman" w:cs="Times New Roman"/>
          <w:sz w:val="22"/>
          <w:szCs w:val="26"/>
        </w:rPr>
        <w:t xml:space="preserve"> N</w:t>
      </w:r>
      <w:r w:rsidR="00E1097B">
        <w:rPr>
          <w:rFonts w:ascii="Times New Roman" w:hAnsi="Times New Roman" w:cs="Times New Roman"/>
          <w:sz w:val="22"/>
          <w:szCs w:val="26"/>
        </w:rPr>
        <w:t>t</w:t>
      </w:r>
      <w:r>
        <w:rPr>
          <w:rFonts w:ascii="Times New Roman" w:hAnsi="Times New Roman" w:cs="Times New Roman"/>
          <w:sz w:val="22"/>
          <w:szCs w:val="26"/>
        </w:rPr>
        <w:t>uli</w:t>
      </w:r>
      <w:r w:rsidR="00E1097B">
        <w:rPr>
          <w:rFonts w:ascii="Times New Roman" w:hAnsi="Times New Roman" w:cs="Times New Roman"/>
          <w:sz w:val="22"/>
          <w:szCs w:val="26"/>
        </w:rPr>
        <w:t>,</w:t>
      </w:r>
      <w:r>
        <w:rPr>
          <w:rFonts w:ascii="Times New Roman" w:hAnsi="Times New Roman" w:cs="Times New Roman"/>
          <w:sz w:val="22"/>
          <w:szCs w:val="26"/>
        </w:rPr>
        <w:t xml:space="preserve"> &amp; Mlilo</w:t>
      </w:r>
      <w:r w:rsidRPr="001E0B50">
        <w:rPr>
          <w:rFonts w:ascii="Times New Roman" w:hAnsi="Times New Roman" w:cs="Times New Roman"/>
          <w:sz w:val="22"/>
          <w:szCs w:val="26"/>
        </w:rPr>
        <w:t>, 20</w:t>
      </w:r>
      <w:r>
        <w:rPr>
          <w:rFonts w:ascii="Times New Roman" w:hAnsi="Times New Roman" w:cs="Times New Roman"/>
          <w:sz w:val="22"/>
          <w:szCs w:val="26"/>
        </w:rPr>
        <w:t>15</w:t>
      </w:r>
      <w:r w:rsidRPr="001E0B50">
        <w:rPr>
          <w:rFonts w:ascii="Times New Roman" w:hAnsi="Times New Roman" w:cs="Times New Roman"/>
          <w:sz w:val="22"/>
          <w:szCs w:val="26"/>
        </w:rPr>
        <w:t>)</w:t>
      </w:r>
      <w:r>
        <w:rPr>
          <w:rFonts w:ascii="Times New Roman" w:hAnsi="Times New Roman" w:cs="Times New Roman"/>
          <w:sz w:val="22"/>
          <w:szCs w:val="26"/>
        </w:rPr>
        <w:t>. The standard deviation seen as arising from the observations included in the data set is also considered to be reasonable.</w:t>
      </w:r>
    </w:p>
    <w:p w14:paraId="11283BA2" w14:textId="77777777" w:rsidR="004949C3"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final control variable to be used is that of a JSE sector placeholder variable. These placeholders have been determined by assigning a number to a JSE sector in order to represent that particular sector. </w:t>
      </w:r>
      <w:r w:rsidR="00C8769B">
        <w:rPr>
          <w:rFonts w:ascii="Times New Roman" w:hAnsi="Times New Roman" w:cs="Times New Roman"/>
          <w:sz w:val="22"/>
          <w:szCs w:val="26"/>
        </w:rPr>
        <w:t>The table</w:t>
      </w:r>
      <w:r w:rsidR="004949C3">
        <w:rPr>
          <w:rFonts w:ascii="Times New Roman" w:hAnsi="Times New Roman" w:cs="Times New Roman"/>
          <w:sz w:val="22"/>
          <w:szCs w:val="26"/>
        </w:rPr>
        <w:t xml:space="preserve"> below depicts the manner in which the different sectors were identified and labelled with respect to a given placeholder value:</w:t>
      </w:r>
    </w:p>
    <w:p w14:paraId="42F699CB" w14:textId="1FB68B56" w:rsidR="008F2EC9" w:rsidRPr="008E5542" w:rsidRDefault="008F2EC9" w:rsidP="00536234">
      <w:pPr>
        <w:spacing w:line="480" w:lineRule="auto"/>
        <w:ind w:left="0"/>
        <w:rPr>
          <w:rFonts w:ascii="Times New Roman" w:hAnsi="Times New Roman" w:cs="Times New Roman"/>
          <w:sz w:val="22"/>
          <w:szCs w:val="26"/>
          <w:u w:val="single"/>
        </w:rPr>
      </w:pPr>
      <w:r w:rsidRPr="008E5542">
        <w:rPr>
          <w:rFonts w:ascii="Times New Roman" w:eastAsia="Times New Roman" w:hAnsi="Times New Roman" w:cs="Times New Roman"/>
          <w:b/>
          <w:bCs/>
          <w:color w:val="0D0D0D"/>
          <w:sz w:val="22"/>
          <w:u w:val="single"/>
        </w:rPr>
        <w:lastRenderedPageBreak/>
        <w:t>Table 3- Johannesburg Securities Exchange Sector Breakdown</w:t>
      </w:r>
      <w:r w:rsidR="00E1097B">
        <w:rPr>
          <w:rFonts w:ascii="Times New Roman" w:eastAsia="Times New Roman" w:hAnsi="Times New Roman" w:cs="Times New Roman"/>
          <w:b/>
          <w:bCs/>
          <w:color w:val="0D0D0D"/>
          <w:sz w:val="22"/>
          <w:u w:val="single"/>
        </w:rPr>
        <w:t>:</w:t>
      </w:r>
    </w:p>
    <w:tbl>
      <w:tblPr>
        <w:tblW w:w="8838" w:type="dxa"/>
        <w:jc w:val="center"/>
        <w:tblLook w:val="04A0" w:firstRow="1" w:lastRow="0" w:firstColumn="1" w:lastColumn="0" w:noHBand="0" w:noVBand="1"/>
      </w:tblPr>
      <w:tblGrid>
        <w:gridCol w:w="1494"/>
        <w:gridCol w:w="7344"/>
      </w:tblGrid>
      <w:tr w:rsidR="004949C3" w:rsidRPr="004949C3" w14:paraId="27843946" w14:textId="77777777" w:rsidTr="004949C3">
        <w:trPr>
          <w:trHeight w:val="358"/>
          <w:jc w:val="center"/>
        </w:trPr>
        <w:tc>
          <w:tcPr>
            <w:tcW w:w="8838" w:type="dxa"/>
            <w:gridSpan w:val="2"/>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4F8474DE" w14:textId="77777777" w:rsidR="004949C3" w:rsidRPr="004949C3" w:rsidRDefault="004949C3" w:rsidP="00C8769B">
            <w:pPr>
              <w:spacing w:after="0" w:line="240" w:lineRule="auto"/>
              <w:ind w:left="0" w:firstLine="0"/>
              <w:jc w:val="center"/>
              <w:rPr>
                <w:rFonts w:ascii="Times New Roman" w:eastAsia="Times New Roman" w:hAnsi="Times New Roman" w:cs="Times New Roman"/>
                <w:b/>
                <w:bCs/>
                <w:color w:val="0D0D0D"/>
                <w:sz w:val="22"/>
              </w:rPr>
            </w:pPr>
            <w:r w:rsidRPr="004949C3">
              <w:rPr>
                <w:rFonts w:ascii="Times New Roman" w:eastAsia="Times New Roman" w:hAnsi="Times New Roman" w:cs="Times New Roman"/>
                <w:b/>
                <w:bCs/>
                <w:color w:val="0D0D0D"/>
                <w:sz w:val="22"/>
              </w:rPr>
              <w:t>Jo</w:t>
            </w:r>
            <w:r>
              <w:rPr>
                <w:rFonts w:ascii="Times New Roman" w:eastAsia="Times New Roman" w:hAnsi="Times New Roman" w:cs="Times New Roman"/>
                <w:b/>
                <w:bCs/>
                <w:color w:val="0D0D0D"/>
                <w:sz w:val="22"/>
              </w:rPr>
              <w:t>hannesburg Securities Exchange S</w:t>
            </w:r>
            <w:r w:rsidRPr="004949C3">
              <w:rPr>
                <w:rFonts w:ascii="Times New Roman" w:eastAsia="Times New Roman" w:hAnsi="Times New Roman" w:cs="Times New Roman"/>
                <w:b/>
                <w:bCs/>
                <w:color w:val="0D0D0D"/>
                <w:sz w:val="22"/>
              </w:rPr>
              <w:t>ector</w:t>
            </w:r>
            <w:r>
              <w:rPr>
                <w:rFonts w:ascii="Times New Roman" w:eastAsia="Times New Roman" w:hAnsi="Times New Roman" w:cs="Times New Roman"/>
                <w:b/>
                <w:bCs/>
                <w:color w:val="0D0D0D"/>
                <w:sz w:val="22"/>
              </w:rPr>
              <w:t xml:space="preserve"> Breakdown</w:t>
            </w:r>
          </w:p>
        </w:tc>
      </w:tr>
      <w:tr w:rsidR="004949C3" w:rsidRPr="004949C3" w14:paraId="0310A71B"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1695F6FE" w14:textId="77777777" w:rsidR="004949C3" w:rsidRPr="004949C3" w:rsidRDefault="004949C3" w:rsidP="00536234">
            <w:pPr>
              <w:spacing w:after="0" w:line="240" w:lineRule="auto"/>
              <w:ind w:left="0" w:firstLine="0"/>
              <w:rPr>
                <w:rFonts w:ascii="Times New Roman" w:eastAsia="Times New Roman" w:hAnsi="Times New Roman" w:cs="Times New Roman"/>
                <w:b/>
                <w:bCs/>
                <w:color w:val="0D0D0D"/>
                <w:sz w:val="22"/>
              </w:rPr>
            </w:pPr>
            <w:r w:rsidRPr="004949C3">
              <w:rPr>
                <w:rFonts w:ascii="Times New Roman" w:eastAsia="Times New Roman" w:hAnsi="Times New Roman" w:cs="Times New Roman"/>
                <w:b/>
                <w:bCs/>
                <w:color w:val="0D0D0D"/>
                <w:sz w:val="22"/>
              </w:rPr>
              <w:t xml:space="preserve">Symbol </w:t>
            </w:r>
          </w:p>
        </w:tc>
        <w:tc>
          <w:tcPr>
            <w:tcW w:w="7344" w:type="dxa"/>
            <w:tcBorders>
              <w:top w:val="nil"/>
              <w:left w:val="nil"/>
              <w:bottom w:val="single" w:sz="8" w:space="0" w:color="000000"/>
              <w:right w:val="single" w:sz="8" w:space="0" w:color="000000"/>
            </w:tcBorders>
            <w:shd w:val="clear" w:color="auto" w:fill="auto"/>
            <w:vAlign w:val="center"/>
            <w:hideMark/>
          </w:tcPr>
          <w:p w14:paraId="12312978" w14:textId="77777777" w:rsidR="004949C3" w:rsidRPr="004949C3" w:rsidRDefault="004949C3" w:rsidP="00536234">
            <w:pPr>
              <w:spacing w:after="0" w:line="240" w:lineRule="auto"/>
              <w:ind w:left="0" w:firstLine="0"/>
              <w:rPr>
                <w:rFonts w:ascii="Times New Roman" w:eastAsia="Times New Roman" w:hAnsi="Times New Roman" w:cs="Times New Roman"/>
                <w:b/>
                <w:bCs/>
                <w:color w:val="0D0D0D"/>
                <w:sz w:val="22"/>
              </w:rPr>
            </w:pPr>
            <w:r w:rsidRPr="004949C3">
              <w:rPr>
                <w:rFonts w:ascii="Times New Roman" w:eastAsia="Times New Roman" w:hAnsi="Times New Roman" w:cs="Times New Roman"/>
                <w:b/>
                <w:bCs/>
                <w:color w:val="0D0D0D"/>
                <w:sz w:val="22"/>
              </w:rPr>
              <w:t xml:space="preserve">Johannesburg Securities Exchange Sector </w:t>
            </w:r>
          </w:p>
        </w:tc>
      </w:tr>
      <w:tr w:rsidR="004949C3" w:rsidRPr="004949C3" w14:paraId="01BBDA76"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30E7675D"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S=1 </w:t>
            </w:r>
          </w:p>
        </w:tc>
        <w:tc>
          <w:tcPr>
            <w:tcW w:w="7344" w:type="dxa"/>
            <w:tcBorders>
              <w:top w:val="nil"/>
              <w:left w:val="nil"/>
              <w:bottom w:val="single" w:sz="8" w:space="0" w:color="000000"/>
              <w:right w:val="single" w:sz="8" w:space="0" w:color="000000"/>
            </w:tcBorders>
            <w:shd w:val="clear" w:color="auto" w:fill="auto"/>
            <w:vAlign w:val="center"/>
            <w:hideMark/>
          </w:tcPr>
          <w:p w14:paraId="3875293D"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Oil and gas </w:t>
            </w:r>
          </w:p>
        </w:tc>
      </w:tr>
      <w:tr w:rsidR="004949C3" w:rsidRPr="004949C3" w14:paraId="49350A7D"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1EB8976B"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S=2 </w:t>
            </w:r>
          </w:p>
        </w:tc>
        <w:tc>
          <w:tcPr>
            <w:tcW w:w="7344" w:type="dxa"/>
            <w:tcBorders>
              <w:top w:val="nil"/>
              <w:left w:val="nil"/>
              <w:bottom w:val="single" w:sz="8" w:space="0" w:color="000000"/>
              <w:right w:val="single" w:sz="8" w:space="0" w:color="000000"/>
            </w:tcBorders>
            <w:shd w:val="clear" w:color="auto" w:fill="auto"/>
            <w:vAlign w:val="center"/>
            <w:hideMark/>
          </w:tcPr>
          <w:p w14:paraId="2A95A058"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Basic Materials</w:t>
            </w:r>
          </w:p>
        </w:tc>
      </w:tr>
      <w:tr w:rsidR="004949C3" w:rsidRPr="004949C3" w14:paraId="13E2CFE4"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12E031EF"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S=3 </w:t>
            </w:r>
          </w:p>
        </w:tc>
        <w:tc>
          <w:tcPr>
            <w:tcW w:w="7344" w:type="dxa"/>
            <w:tcBorders>
              <w:top w:val="nil"/>
              <w:left w:val="nil"/>
              <w:bottom w:val="single" w:sz="8" w:space="0" w:color="000000"/>
              <w:right w:val="single" w:sz="8" w:space="0" w:color="000000"/>
            </w:tcBorders>
            <w:shd w:val="clear" w:color="auto" w:fill="auto"/>
            <w:vAlign w:val="center"/>
            <w:hideMark/>
          </w:tcPr>
          <w:p w14:paraId="3DE84D1B"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Industrials</w:t>
            </w:r>
          </w:p>
        </w:tc>
      </w:tr>
      <w:tr w:rsidR="004949C3" w:rsidRPr="004949C3" w14:paraId="38A58CE6"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7F4E1173"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S=4 </w:t>
            </w:r>
          </w:p>
        </w:tc>
        <w:tc>
          <w:tcPr>
            <w:tcW w:w="7344" w:type="dxa"/>
            <w:tcBorders>
              <w:top w:val="nil"/>
              <w:left w:val="nil"/>
              <w:bottom w:val="single" w:sz="8" w:space="0" w:color="000000"/>
              <w:right w:val="single" w:sz="8" w:space="0" w:color="000000"/>
            </w:tcBorders>
            <w:shd w:val="clear" w:color="auto" w:fill="auto"/>
            <w:vAlign w:val="center"/>
            <w:hideMark/>
          </w:tcPr>
          <w:p w14:paraId="71006EBF"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Consumer goods </w:t>
            </w:r>
          </w:p>
        </w:tc>
      </w:tr>
      <w:tr w:rsidR="004949C3" w:rsidRPr="004949C3" w14:paraId="1D6E31EC"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421B229B"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S=5 </w:t>
            </w:r>
          </w:p>
        </w:tc>
        <w:tc>
          <w:tcPr>
            <w:tcW w:w="7344" w:type="dxa"/>
            <w:tcBorders>
              <w:top w:val="nil"/>
              <w:left w:val="nil"/>
              <w:bottom w:val="single" w:sz="8" w:space="0" w:color="000000"/>
              <w:right w:val="single" w:sz="8" w:space="0" w:color="000000"/>
            </w:tcBorders>
            <w:shd w:val="clear" w:color="auto" w:fill="auto"/>
            <w:vAlign w:val="center"/>
            <w:hideMark/>
          </w:tcPr>
          <w:p w14:paraId="260B5FFD"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Healthcare </w:t>
            </w:r>
          </w:p>
        </w:tc>
      </w:tr>
      <w:tr w:rsidR="004949C3" w:rsidRPr="004949C3" w14:paraId="4BFB84FB" w14:textId="77777777" w:rsidTr="004949C3">
        <w:trPr>
          <w:trHeight w:val="358"/>
          <w:jc w:val="center"/>
        </w:trPr>
        <w:tc>
          <w:tcPr>
            <w:tcW w:w="1494" w:type="dxa"/>
            <w:tcBorders>
              <w:top w:val="nil"/>
              <w:left w:val="single" w:sz="8" w:space="0" w:color="000000"/>
              <w:bottom w:val="single" w:sz="8" w:space="0" w:color="000000"/>
              <w:right w:val="single" w:sz="8" w:space="0" w:color="000000"/>
            </w:tcBorders>
            <w:shd w:val="clear" w:color="auto" w:fill="auto"/>
            <w:vAlign w:val="center"/>
            <w:hideMark/>
          </w:tcPr>
          <w:p w14:paraId="277DE960"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S=6 </w:t>
            </w:r>
          </w:p>
        </w:tc>
        <w:tc>
          <w:tcPr>
            <w:tcW w:w="7344" w:type="dxa"/>
            <w:tcBorders>
              <w:top w:val="nil"/>
              <w:left w:val="nil"/>
              <w:bottom w:val="single" w:sz="8" w:space="0" w:color="000000"/>
              <w:right w:val="single" w:sz="8" w:space="0" w:color="000000"/>
            </w:tcBorders>
            <w:shd w:val="clear" w:color="auto" w:fill="auto"/>
            <w:vAlign w:val="center"/>
            <w:hideMark/>
          </w:tcPr>
          <w:p w14:paraId="246EDC05"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Consumer Services </w:t>
            </w:r>
          </w:p>
        </w:tc>
      </w:tr>
      <w:tr w:rsidR="004949C3" w:rsidRPr="004949C3" w14:paraId="3E4B460F" w14:textId="77777777" w:rsidTr="004949C3">
        <w:trPr>
          <w:trHeight w:val="358"/>
          <w:jc w:val="center"/>
        </w:trPr>
        <w:tc>
          <w:tcPr>
            <w:tcW w:w="1494" w:type="dxa"/>
            <w:tcBorders>
              <w:top w:val="nil"/>
              <w:left w:val="single" w:sz="8" w:space="0" w:color="000000"/>
              <w:bottom w:val="nil"/>
              <w:right w:val="single" w:sz="8" w:space="0" w:color="000000"/>
            </w:tcBorders>
            <w:shd w:val="clear" w:color="auto" w:fill="auto"/>
            <w:vAlign w:val="center"/>
            <w:hideMark/>
          </w:tcPr>
          <w:p w14:paraId="0B2970DF"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S=7 </w:t>
            </w:r>
          </w:p>
        </w:tc>
        <w:tc>
          <w:tcPr>
            <w:tcW w:w="7344" w:type="dxa"/>
            <w:tcBorders>
              <w:top w:val="nil"/>
              <w:left w:val="nil"/>
              <w:bottom w:val="nil"/>
              <w:right w:val="single" w:sz="8" w:space="0" w:color="000000"/>
            </w:tcBorders>
            <w:shd w:val="clear" w:color="auto" w:fill="auto"/>
            <w:vAlign w:val="center"/>
            <w:hideMark/>
          </w:tcPr>
          <w:p w14:paraId="4FDBCCC3"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Telecommunications </w:t>
            </w:r>
          </w:p>
        </w:tc>
      </w:tr>
      <w:tr w:rsidR="004949C3" w:rsidRPr="004949C3" w14:paraId="7088D442" w14:textId="77777777" w:rsidTr="004949C3">
        <w:trPr>
          <w:trHeight w:val="358"/>
          <w:jc w:val="center"/>
        </w:trPr>
        <w:tc>
          <w:tcPr>
            <w:tcW w:w="149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68CB7288" w14:textId="77777777" w:rsidR="004949C3" w:rsidRPr="004949C3" w:rsidRDefault="004949C3" w:rsidP="00536234">
            <w:pPr>
              <w:spacing w:after="0" w:line="240" w:lineRule="auto"/>
              <w:ind w:left="0" w:firstLine="0"/>
              <w:rPr>
                <w:rFonts w:ascii="Times New Roman" w:eastAsia="Times New Roman" w:hAnsi="Times New Roman" w:cs="Times New Roman"/>
                <w:color w:val="0D0D0D"/>
                <w:sz w:val="22"/>
              </w:rPr>
            </w:pPr>
            <w:r w:rsidRPr="004949C3">
              <w:rPr>
                <w:rFonts w:ascii="Times New Roman" w:eastAsia="Times New Roman" w:hAnsi="Times New Roman" w:cs="Times New Roman"/>
                <w:color w:val="0D0D0D"/>
                <w:sz w:val="22"/>
              </w:rPr>
              <w:t xml:space="preserve">S=8 </w:t>
            </w:r>
          </w:p>
        </w:tc>
        <w:tc>
          <w:tcPr>
            <w:tcW w:w="7344" w:type="dxa"/>
            <w:tcBorders>
              <w:top w:val="single" w:sz="8" w:space="0" w:color="auto"/>
              <w:left w:val="nil"/>
              <w:bottom w:val="single" w:sz="8" w:space="0" w:color="auto"/>
              <w:right w:val="single" w:sz="8" w:space="0" w:color="auto"/>
            </w:tcBorders>
            <w:shd w:val="clear" w:color="auto" w:fill="auto"/>
            <w:noWrap/>
            <w:vAlign w:val="bottom"/>
            <w:hideMark/>
          </w:tcPr>
          <w:p w14:paraId="5FF5B760" w14:textId="77777777" w:rsidR="004949C3" w:rsidRPr="004949C3" w:rsidRDefault="004949C3" w:rsidP="00536234">
            <w:pPr>
              <w:spacing w:after="0" w:line="240" w:lineRule="auto"/>
              <w:ind w:left="0" w:firstLine="0"/>
              <w:jc w:val="left"/>
              <w:rPr>
                <w:rFonts w:ascii="Times New Roman" w:eastAsia="Times New Roman" w:hAnsi="Times New Roman" w:cs="Times New Roman"/>
                <w:sz w:val="22"/>
              </w:rPr>
            </w:pPr>
            <w:r w:rsidRPr="004949C3">
              <w:rPr>
                <w:rFonts w:ascii="Times New Roman" w:eastAsia="Times New Roman" w:hAnsi="Times New Roman" w:cs="Times New Roman"/>
                <w:sz w:val="22"/>
              </w:rPr>
              <w:t>Financials</w:t>
            </w:r>
          </w:p>
        </w:tc>
      </w:tr>
    </w:tbl>
    <w:p w14:paraId="4C43E7E1" w14:textId="77777777" w:rsidR="004949C3" w:rsidRDefault="004949C3" w:rsidP="00536234">
      <w:pPr>
        <w:spacing w:line="480" w:lineRule="auto"/>
        <w:ind w:left="0"/>
        <w:rPr>
          <w:rFonts w:ascii="Times New Roman" w:hAnsi="Times New Roman" w:cs="Times New Roman"/>
          <w:sz w:val="22"/>
          <w:szCs w:val="26"/>
        </w:rPr>
      </w:pPr>
    </w:p>
    <w:p w14:paraId="64237EF9" w14:textId="77777777" w:rsidR="006258B4" w:rsidRPr="00E800E2"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placeholders generated </w:t>
      </w:r>
      <w:r w:rsidR="004949C3">
        <w:rPr>
          <w:rFonts w:ascii="Times New Roman" w:hAnsi="Times New Roman" w:cs="Times New Roman"/>
          <w:sz w:val="22"/>
          <w:szCs w:val="26"/>
        </w:rPr>
        <w:t>have then been</w:t>
      </w:r>
      <w:r>
        <w:rPr>
          <w:rFonts w:ascii="Times New Roman" w:hAnsi="Times New Roman" w:cs="Times New Roman"/>
          <w:sz w:val="22"/>
          <w:szCs w:val="26"/>
        </w:rPr>
        <w:t xml:space="preserve"> used to create coded dummy variables in order to run the regression in the data analysis described in Chapter 3. Despite the fact that not much information can be deduced with regards to this variable from the information provided in the above table, the same cannot b</w:t>
      </w:r>
      <w:r w:rsidR="00963497">
        <w:rPr>
          <w:rFonts w:ascii="Times New Roman" w:hAnsi="Times New Roman" w:cs="Times New Roman"/>
          <w:sz w:val="22"/>
          <w:szCs w:val="26"/>
        </w:rPr>
        <w:t>e said if one were to calculate</w:t>
      </w:r>
      <w:r>
        <w:rPr>
          <w:rFonts w:ascii="Times New Roman" w:hAnsi="Times New Roman" w:cs="Times New Roman"/>
          <w:sz w:val="22"/>
          <w:szCs w:val="26"/>
        </w:rPr>
        <w:t xml:space="preserve"> the respective mode of the variable. This is because the mode is calculated at an amount of 8. Looking at the data set it can be seen that a wide range of companies have been assigned a number 8 JSE sector placeholder. This is appropriate as it is those financial services companies that dominate the South African economy. It is therefore appropriate that companies within this sector number make up the majority of observations in the data set. </w:t>
      </w:r>
    </w:p>
    <w:p w14:paraId="40CB074D" w14:textId="77777777" w:rsidR="006258B4" w:rsidRPr="00A14BA6" w:rsidRDefault="00766427" w:rsidP="00536234">
      <w:pPr>
        <w:pStyle w:val="Heading3"/>
        <w:ind w:left="0"/>
        <w:rPr>
          <w:rFonts w:ascii="Times New Roman" w:hAnsi="Times New Roman" w:cs="Times New Roman"/>
          <w:i/>
          <w:color w:val="auto"/>
          <w:sz w:val="22"/>
        </w:rPr>
      </w:pPr>
      <w:bookmarkStart w:id="51" w:name="_Toc506717797"/>
      <w:r>
        <w:rPr>
          <w:rFonts w:ascii="Times New Roman" w:hAnsi="Times New Roman" w:cs="Times New Roman"/>
          <w:i/>
          <w:color w:val="auto"/>
          <w:sz w:val="22"/>
        </w:rPr>
        <w:t>4.1.2</w:t>
      </w:r>
      <w:r>
        <w:rPr>
          <w:rFonts w:ascii="Times New Roman" w:hAnsi="Times New Roman" w:cs="Times New Roman"/>
          <w:i/>
          <w:color w:val="auto"/>
          <w:sz w:val="22"/>
        </w:rPr>
        <w:tab/>
      </w:r>
      <w:r w:rsidR="006258B4" w:rsidRPr="00A14BA6">
        <w:rPr>
          <w:rFonts w:ascii="Times New Roman" w:hAnsi="Times New Roman" w:cs="Times New Roman"/>
          <w:i/>
          <w:color w:val="auto"/>
          <w:sz w:val="22"/>
        </w:rPr>
        <w:t>Comparing the Treatment Group to the Control Group</w:t>
      </w:r>
      <w:bookmarkEnd w:id="51"/>
    </w:p>
    <w:p w14:paraId="47E3DD94" w14:textId="7AE7C87B"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descriptive statistics calculated above can further be analysed in terms of either the control group or the treatment group. This will provide additional insight by allowing us to compare the characteristics of firms included in the control group to that of the treatment group. The results for the descriptive statistics of both the control and treatment group can be seen in the tables below. Table </w:t>
      </w:r>
      <w:r w:rsidR="00CD3783">
        <w:rPr>
          <w:rFonts w:ascii="Times New Roman" w:hAnsi="Times New Roman" w:cs="Times New Roman"/>
          <w:sz w:val="22"/>
          <w:szCs w:val="26"/>
        </w:rPr>
        <w:t>4</w:t>
      </w:r>
      <w:r>
        <w:rPr>
          <w:rFonts w:ascii="Times New Roman" w:hAnsi="Times New Roman" w:cs="Times New Roman"/>
          <w:sz w:val="22"/>
          <w:szCs w:val="26"/>
        </w:rPr>
        <w:t xml:space="preserve"> shows the results for the control group while Table </w:t>
      </w:r>
      <w:r w:rsidR="00CD3783">
        <w:rPr>
          <w:rFonts w:ascii="Times New Roman" w:hAnsi="Times New Roman" w:cs="Times New Roman"/>
          <w:sz w:val="22"/>
          <w:szCs w:val="26"/>
        </w:rPr>
        <w:t>5</w:t>
      </w:r>
      <w:r>
        <w:rPr>
          <w:rFonts w:ascii="Times New Roman" w:hAnsi="Times New Roman" w:cs="Times New Roman"/>
          <w:sz w:val="22"/>
          <w:szCs w:val="26"/>
        </w:rPr>
        <w:t xml:space="preserve"> will illustrate the results for those companies that form part of the treatment group:</w:t>
      </w:r>
    </w:p>
    <w:p w14:paraId="0BB850FC" w14:textId="77777777" w:rsidR="00C8769B" w:rsidRDefault="00C8769B" w:rsidP="00536234">
      <w:pPr>
        <w:spacing w:line="480" w:lineRule="auto"/>
        <w:ind w:left="0"/>
        <w:rPr>
          <w:rFonts w:ascii="Times New Roman" w:hAnsi="Times New Roman" w:cs="Times New Roman"/>
          <w:sz w:val="22"/>
          <w:szCs w:val="26"/>
        </w:rPr>
      </w:pPr>
    </w:p>
    <w:p w14:paraId="39077B56" w14:textId="77777777" w:rsidR="00C8769B" w:rsidRDefault="00C8769B" w:rsidP="00536234">
      <w:pPr>
        <w:spacing w:line="480" w:lineRule="auto"/>
        <w:ind w:left="0"/>
        <w:rPr>
          <w:rFonts w:ascii="Times New Roman" w:hAnsi="Times New Roman" w:cs="Times New Roman"/>
          <w:sz w:val="22"/>
          <w:szCs w:val="26"/>
        </w:rPr>
      </w:pPr>
    </w:p>
    <w:p w14:paraId="6F135706" w14:textId="29032367" w:rsidR="006258B4" w:rsidRPr="00676BB7" w:rsidRDefault="006258B4" w:rsidP="00536234">
      <w:pPr>
        <w:spacing w:line="480" w:lineRule="auto"/>
        <w:ind w:left="0"/>
        <w:rPr>
          <w:rFonts w:ascii="Times New Roman" w:hAnsi="Times New Roman" w:cs="Times New Roman"/>
          <w:b/>
          <w:sz w:val="22"/>
          <w:szCs w:val="26"/>
          <w:u w:val="single"/>
        </w:rPr>
      </w:pPr>
      <w:r w:rsidRPr="00AC4DE7">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4</w:t>
      </w:r>
      <w:r w:rsidRPr="00AC4DE7">
        <w:rPr>
          <w:rFonts w:ascii="Times New Roman" w:hAnsi="Times New Roman" w:cs="Times New Roman"/>
          <w:b/>
          <w:sz w:val="22"/>
          <w:szCs w:val="26"/>
          <w:u w:val="single"/>
        </w:rPr>
        <w:t>-</w:t>
      </w:r>
      <w:r w:rsidRPr="00B60EBD">
        <w:rPr>
          <w:u w:val="single"/>
        </w:rPr>
        <w:t xml:space="preserve"> </w:t>
      </w:r>
      <w:r w:rsidR="00D62DF2">
        <w:rPr>
          <w:rFonts w:ascii="Times New Roman" w:hAnsi="Times New Roman" w:cs="Times New Roman"/>
          <w:b/>
          <w:sz w:val="22"/>
          <w:szCs w:val="26"/>
          <w:u w:val="single"/>
        </w:rPr>
        <w:t>Descriptive Statistics R</w:t>
      </w:r>
      <w:r w:rsidRPr="00AC4DE7">
        <w:rPr>
          <w:rFonts w:ascii="Times New Roman" w:hAnsi="Times New Roman" w:cs="Times New Roman"/>
          <w:b/>
          <w:sz w:val="22"/>
          <w:szCs w:val="26"/>
          <w:u w:val="single"/>
        </w:rPr>
        <w:t>elating to the Control Group</w:t>
      </w:r>
      <w:r w:rsidRPr="00676BB7">
        <w:rPr>
          <w:rFonts w:ascii="Times New Roman" w:hAnsi="Times New Roman" w:cs="Times New Roman"/>
          <w:b/>
          <w:sz w:val="22"/>
          <w:szCs w:val="26"/>
          <w:u w:val="single"/>
        </w:rPr>
        <w:t>:</w:t>
      </w:r>
    </w:p>
    <w:tbl>
      <w:tblPr>
        <w:tblW w:w="8905" w:type="dxa"/>
        <w:jc w:val="center"/>
        <w:tblLayout w:type="fixed"/>
        <w:tblCellMar>
          <w:left w:w="75" w:type="dxa"/>
          <w:right w:w="75" w:type="dxa"/>
        </w:tblCellMar>
        <w:tblLook w:val="0000" w:firstRow="0" w:lastRow="0" w:firstColumn="0" w:lastColumn="0" w:noHBand="0" w:noVBand="0"/>
      </w:tblPr>
      <w:tblGrid>
        <w:gridCol w:w="2374"/>
        <w:gridCol w:w="900"/>
        <w:gridCol w:w="1351"/>
        <w:gridCol w:w="1351"/>
        <w:gridCol w:w="1578"/>
        <w:gridCol w:w="1351"/>
      </w:tblGrid>
      <w:tr w:rsidR="006258B4" w:rsidRPr="00B328BC" w14:paraId="4093F9A5" w14:textId="77777777" w:rsidTr="008463F8">
        <w:trPr>
          <w:trHeight w:val="268"/>
          <w:jc w:val="center"/>
        </w:trPr>
        <w:tc>
          <w:tcPr>
            <w:tcW w:w="2374" w:type="dxa"/>
            <w:tcBorders>
              <w:top w:val="single" w:sz="6" w:space="0" w:color="auto"/>
              <w:left w:val="nil"/>
              <w:bottom w:val="nil"/>
              <w:right w:val="nil"/>
            </w:tcBorders>
          </w:tcPr>
          <w:p w14:paraId="53FE77A4"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900" w:type="dxa"/>
            <w:tcBorders>
              <w:top w:val="single" w:sz="6" w:space="0" w:color="auto"/>
              <w:left w:val="nil"/>
              <w:bottom w:val="nil"/>
              <w:right w:val="nil"/>
            </w:tcBorders>
          </w:tcPr>
          <w:p w14:paraId="6440AF2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p>
        </w:tc>
        <w:tc>
          <w:tcPr>
            <w:tcW w:w="1351" w:type="dxa"/>
            <w:tcBorders>
              <w:top w:val="single" w:sz="6" w:space="0" w:color="auto"/>
              <w:left w:val="nil"/>
              <w:bottom w:val="nil"/>
              <w:right w:val="nil"/>
            </w:tcBorders>
          </w:tcPr>
          <w:p w14:paraId="208C96E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(2)</w:t>
            </w:r>
          </w:p>
        </w:tc>
        <w:tc>
          <w:tcPr>
            <w:tcW w:w="1351" w:type="dxa"/>
            <w:tcBorders>
              <w:top w:val="single" w:sz="6" w:space="0" w:color="auto"/>
              <w:left w:val="nil"/>
              <w:bottom w:val="nil"/>
              <w:right w:val="nil"/>
            </w:tcBorders>
          </w:tcPr>
          <w:p w14:paraId="4C86020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p>
        </w:tc>
        <w:tc>
          <w:tcPr>
            <w:tcW w:w="1578" w:type="dxa"/>
            <w:tcBorders>
              <w:top w:val="single" w:sz="6" w:space="0" w:color="auto"/>
              <w:left w:val="nil"/>
              <w:bottom w:val="nil"/>
              <w:right w:val="nil"/>
            </w:tcBorders>
          </w:tcPr>
          <w:p w14:paraId="4C094FF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w:t>
            </w:r>
          </w:p>
        </w:tc>
        <w:tc>
          <w:tcPr>
            <w:tcW w:w="1351" w:type="dxa"/>
            <w:tcBorders>
              <w:top w:val="single" w:sz="6" w:space="0" w:color="auto"/>
              <w:left w:val="nil"/>
              <w:bottom w:val="nil"/>
              <w:right w:val="nil"/>
            </w:tcBorders>
          </w:tcPr>
          <w:p w14:paraId="1C4C924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(5)</w:t>
            </w:r>
          </w:p>
        </w:tc>
      </w:tr>
      <w:tr w:rsidR="006258B4" w:rsidRPr="00B328BC" w14:paraId="1DF14DEB" w14:textId="77777777" w:rsidTr="008463F8">
        <w:trPr>
          <w:trHeight w:val="268"/>
          <w:jc w:val="center"/>
        </w:trPr>
        <w:tc>
          <w:tcPr>
            <w:tcW w:w="2374" w:type="dxa"/>
            <w:tcBorders>
              <w:top w:val="nil"/>
              <w:left w:val="nil"/>
              <w:bottom w:val="single" w:sz="6" w:space="0" w:color="auto"/>
              <w:right w:val="nil"/>
            </w:tcBorders>
          </w:tcPr>
          <w:p w14:paraId="07DCF89A"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VARIABLES</w:t>
            </w:r>
          </w:p>
        </w:tc>
        <w:tc>
          <w:tcPr>
            <w:tcW w:w="900" w:type="dxa"/>
            <w:tcBorders>
              <w:top w:val="nil"/>
              <w:left w:val="nil"/>
              <w:bottom w:val="single" w:sz="6" w:space="0" w:color="auto"/>
              <w:right w:val="nil"/>
            </w:tcBorders>
          </w:tcPr>
          <w:p w14:paraId="4339CE4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N</w:t>
            </w:r>
          </w:p>
        </w:tc>
        <w:tc>
          <w:tcPr>
            <w:tcW w:w="1351" w:type="dxa"/>
            <w:tcBorders>
              <w:top w:val="nil"/>
              <w:left w:val="nil"/>
              <w:bottom w:val="single" w:sz="6" w:space="0" w:color="auto"/>
              <w:right w:val="nil"/>
            </w:tcBorders>
          </w:tcPr>
          <w:p w14:paraId="1BAAC18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ean</w:t>
            </w:r>
          </w:p>
        </w:tc>
        <w:tc>
          <w:tcPr>
            <w:tcW w:w="1351" w:type="dxa"/>
            <w:tcBorders>
              <w:top w:val="nil"/>
              <w:left w:val="nil"/>
              <w:bottom w:val="single" w:sz="6" w:space="0" w:color="auto"/>
              <w:right w:val="nil"/>
            </w:tcBorders>
          </w:tcPr>
          <w:p w14:paraId="00CEFBB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SD</w:t>
            </w:r>
          </w:p>
        </w:tc>
        <w:tc>
          <w:tcPr>
            <w:tcW w:w="1578" w:type="dxa"/>
            <w:tcBorders>
              <w:top w:val="nil"/>
              <w:left w:val="nil"/>
              <w:bottom w:val="single" w:sz="6" w:space="0" w:color="auto"/>
              <w:right w:val="nil"/>
            </w:tcBorders>
          </w:tcPr>
          <w:p w14:paraId="1F9B3A4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in</w:t>
            </w:r>
          </w:p>
        </w:tc>
        <w:tc>
          <w:tcPr>
            <w:tcW w:w="1351" w:type="dxa"/>
            <w:tcBorders>
              <w:top w:val="nil"/>
              <w:left w:val="nil"/>
              <w:bottom w:val="single" w:sz="6" w:space="0" w:color="auto"/>
              <w:right w:val="nil"/>
            </w:tcBorders>
          </w:tcPr>
          <w:p w14:paraId="2117826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ax</w:t>
            </w:r>
          </w:p>
        </w:tc>
      </w:tr>
      <w:tr w:rsidR="006258B4" w:rsidRPr="00B328BC" w14:paraId="195A827A" w14:textId="77777777" w:rsidTr="008463F8">
        <w:trPr>
          <w:trHeight w:val="133"/>
          <w:jc w:val="center"/>
        </w:trPr>
        <w:tc>
          <w:tcPr>
            <w:tcW w:w="2374" w:type="dxa"/>
            <w:tcBorders>
              <w:top w:val="nil"/>
              <w:left w:val="nil"/>
              <w:bottom w:val="nil"/>
              <w:right w:val="nil"/>
            </w:tcBorders>
          </w:tcPr>
          <w:p w14:paraId="4D46F292"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900" w:type="dxa"/>
            <w:tcBorders>
              <w:top w:val="nil"/>
              <w:left w:val="nil"/>
              <w:bottom w:val="nil"/>
              <w:right w:val="nil"/>
            </w:tcBorders>
          </w:tcPr>
          <w:p w14:paraId="35D4A41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51" w:type="dxa"/>
            <w:tcBorders>
              <w:top w:val="nil"/>
              <w:left w:val="nil"/>
              <w:bottom w:val="nil"/>
              <w:right w:val="nil"/>
            </w:tcBorders>
          </w:tcPr>
          <w:p w14:paraId="39A7EEC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51" w:type="dxa"/>
            <w:tcBorders>
              <w:top w:val="nil"/>
              <w:left w:val="nil"/>
              <w:bottom w:val="nil"/>
              <w:right w:val="nil"/>
            </w:tcBorders>
          </w:tcPr>
          <w:p w14:paraId="7A81369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578" w:type="dxa"/>
            <w:tcBorders>
              <w:top w:val="nil"/>
              <w:left w:val="nil"/>
              <w:bottom w:val="nil"/>
              <w:right w:val="nil"/>
            </w:tcBorders>
          </w:tcPr>
          <w:p w14:paraId="4A1926D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51" w:type="dxa"/>
            <w:tcBorders>
              <w:top w:val="nil"/>
              <w:left w:val="nil"/>
              <w:bottom w:val="nil"/>
              <w:right w:val="nil"/>
            </w:tcBorders>
          </w:tcPr>
          <w:p w14:paraId="41F2C41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r>
      <w:tr w:rsidR="006258B4" w:rsidRPr="00B328BC" w14:paraId="57E88172" w14:textId="77777777" w:rsidTr="008463F8">
        <w:trPr>
          <w:trHeight w:val="268"/>
          <w:jc w:val="center"/>
        </w:trPr>
        <w:tc>
          <w:tcPr>
            <w:tcW w:w="2374" w:type="dxa"/>
            <w:tcBorders>
              <w:top w:val="nil"/>
              <w:left w:val="nil"/>
              <w:bottom w:val="nil"/>
              <w:right w:val="nil"/>
            </w:tcBorders>
          </w:tcPr>
          <w:p w14:paraId="404C320D"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DPR</w:t>
            </w:r>
          </w:p>
        </w:tc>
        <w:tc>
          <w:tcPr>
            <w:tcW w:w="900" w:type="dxa"/>
            <w:tcBorders>
              <w:top w:val="nil"/>
              <w:left w:val="nil"/>
              <w:bottom w:val="nil"/>
              <w:right w:val="nil"/>
            </w:tcBorders>
          </w:tcPr>
          <w:p w14:paraId="4628EB3F"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2AD5B78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0.3</w:t>
            </w:r>
            <w:r>
              <w:rPr>
                <w:rFonts w:ascii="Times New Roman" w:hAnsi="Times New Roman" w:cs="Times New Roman"/>
                <w:sz w:val="20"/>
              </w:rPr>
              <w:t>65</w:t>
            </w:r>
          </w:p>
        </w:tc>
        <w:tc>
          <w:tcPr>
            <w:tcW w:w="1351" w:type="dxa"/>
            <w:tcBorders>
              <w:top w:val="nil"/>
              <w:left w:val="nil"/>
              <w:bottom w:val="nil"/>
              <w:right w:val="nil"/>
            </w:tcBorders>
          </w:tcPr>
          <w:p w14:paraId="63EDFE7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0.273</w:t>
            </w:r>
          </w:p>
        </w:tc>
        <w:tc>
          <w:tcPr>
            <w:tcW w:w="1578" w:type="dxa"/>
            <w:tcBorders>
              <w:top w:val="nil"/>
              <w:left w:val="nil"/>
              <w:bottom w:val="nil"/>
              <w:right w:val="nil"/>
            </w:tcBorders>
          </w:tcPr>
          <w:p w14:paraId="3C473DC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p>
        </w:tc>
        <w:tc>
          <w:tcPr>
            <w:tcW w:w="1351" w:type="dxa"/>
            <w:tcBorders>
              <w:top w:val="nil"/>
              <w:left w:val="nil"/>
              <w:bottom w:val="nil"/>
              <w:right w:val="nil"/>
            </w:tcBorders>
          </w:tcPr>
          <w:p w14:paraId="141A818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1.061</w:t>
            </w:r>
          </w:p>
        </w:tc>
      </w:tr>
      <w:tr w:rsidR="006258B4" w:rsidRPr="00B328BC" w14:paraId="0FEDFB9D" w14:textId="77777777" w:rsidTr="008463F8">
        <w:trPr>
          <w:trHeight w:val="268"/>
          <w:jc w:val="center"/>
        </w:trPr>
        <w:tc>
          <w:tcPr>
            <w:tcW w:w="2374" w:type="dxa"/>
            <w:tcBorders>
              <w:top w:val="nil"/>
              <w:left w:val="nil"/>
              <w:bottom w:val="nil"/>
              <w:right w:val="nil"/>
            </w:tcBorders>
          </w:tcPr>
          <w:p w14:paraId="0DBAC4FD"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Deal</w:t>
            </w:r>
          </w:p>
        </w:tc>
        <w:tc>
          <w:tcPr>
            <w:tcW w:w="900" w:type="dxa"/>
            <w:tcBorders>
              <w:top w:val="nil"/>
              <w:left w:val="nil"/>
              <w:bottom w:val="nil"/>
              <w:right w:val="nil"/>
            </w:tcBorders>
          </w:tcPr>
          <w:p w14:paraId="5123D7D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671BC983" w14:textId="77777777" w:rsidR="006258B4" w:rsidRPr="00676BB7" w:rsidRDefault="009950DC"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351" w:type="dxa"/>
            <w:tcBorders>
              <w:top w:val="nil"/>
              <w:left w:val="nil"/>
              <w:bottom w:val="nil"/>
              <w:right w:val="nil"/>
            </w:tcBorders>
          </w:tcPr>
          <w:p w14:paraId="300E9D34" w14:textId="77777777" w:rsidR="006258B4" w:rsidRPr="00676BB7" w:rsidRDefault="009950DC"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578" w:type="dxa"/>
            <w:tcBorders>
              <w:top w:val="nil"/>
              <w:left w:val="nil"/>
              <w:bottom w:val="nil"/>
              <w:right w:val="nil"/>
            </w:tcBorders>
          </w:tcPr>
          <w:p w14:paraId="3BB19BF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p>
        </w:tc>
        <w:tc>
          <w:tcPr>
            <w:tcW w:w="1351" w:type="dxa"/>
            <w:tcBorders>
              <w:top w:val="nil"/>
              <w:left w:val="nil"/>
              <w:bottom w:val="nil"/>
              <w:right w:val="nil"/>
            </w:tcBorders>
          </w:tcPr>
          <w:p w14:paraId="27B96F4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0</w:t>
            </w:r>
          </w:p>
        </w:tc>
      </w:tr>
      <w:tr w:rsidR="006258B4" w:rsidRPr="00B328BC" w14:paraId="06D3E451" w14:textId="77777777" w:rsidTr="008463F8">
        <w:trPr>
          <w:trHeight w:val="268"/>
          <w:jc w:val="center"/>
        </w:trPr>
        <w:tc>
          <w:tcPr>
            <w:tcW w:w="2374" w:type="dxa"/>
            <w:tcBorders>
              <w:top w:val="nil"/>
              <w:left w:val="nil"/>
              <w:bottom w:val="nil"/>
              <w:right w:val="nil"/>
            </w:tcBorders>
          </w:tcPr>
          <w:p w14:paraId="37DA7833"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Size</w:t>
            </w:r>
          </w:p>
        </w:tc>
        <w:tc>
          <w:tcPr>
            <w:tcW w:w="900" w:type="dxa"/>
            <w:tcBorders>
              <w:top w:val="nil"/>
              <w:left w:val="nil"/>
              <w:bottom w:val="nil"/>
              <w:right w:val="nil"/>
            </w:tcBorders>
          </w:tcPr>
          <w:p w14:paraId="5341FEE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25DD2E4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15.532</w:t>
            </w:r>
          </w:p>
        </w:tc>
        <w:tc>
          <w:tcPr>
            <w:tcW w:w="1351" w:type="dxa"/>
            <w:tcBorders>
              <w:top w:val="nil"/>
              <w:left w:val="nil"/>
              <w:bottom w:val="nil"/>
              <w:right w:val="nil"/>
            </w:tcBorders>
          </w:tcPr>
          <w:p w14:paraId="31460AE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r>
              <w:rPr>
                <w:rFonts w:ascii="Times New Roman" w:hAnsi="Times New Roman" w:cs="Times New Roman"/>
                <w:sz w:val="20"/>
              </w:rPr>
              <w:t>492</w:t>
            </w:r>
          </w:p>
        </w:tc>
        <w:tc>
          <w:tcPr>
            <w:tcW w:w="1578" w:type="dxa"/>
            <w:tcBorders>
              <w:top w:val="nil"/>
              <w:left w:val="nil"/>
              <w:bottom w:val="nil"/>
              <w:right w:val="nil"/>
            </w:tcBorders>
          </w:tcPr>
          <w:p w14:paraId="671D0BF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12.72</w:t>
            </w:r>
            <w:r>
              <w:rPr>
                <w:rFonts w:ascii="Times New Roman" w:hAnsi="Times New Roman" w:cs="Times New Roman"/>
                <w:sz w:val="20"/>
              </w:rPr>
              <w:t>0</w:t>
            </w:r>
          </w:p>
        </w:tc>
        <w:tc>
          <w:tcPr>
            <w:tcW w:w="1351" w:type="dxa"/>
            <w:tcBorders>
              <w:top w:val="nil"/>
              <w:left w:val="nil"/>
              <w:bottom w:val="nil"/>
              <w:right w:val="nil"/>
            </w:tcBorders>
          </w:tcPr>
          <w:p w14:paraId="606110F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19.</w:t>
            </w:r>
            <w:r>
              <w:rPr>
                <w:rFonts w:ascii="Times New Roman" w:hAnsi="Times New Roman" w:cs="Times New Roman"/>
                <w:sz w:val="20"/>
              </w:rPr>
              <w:t>428</w:t>
            </w:r>
          </w:p>
        </w:tc>
      </w:tr>
      <w:tr w:rsidR="006258B4" w:rsidRPr="00B328BC" w14:paraId="15C08AD2" w14:textId="77777777" w:rsidTr="008463F8">
        <w:trPr>
          <w:trHeight w:val="268"/>
          <w:jc w:val="center"/>
        </w:trPr>
        <w:tc>
          <w:tcPr>
            <w:tcW w:w="2374" w:type="dxa"/>
            <w:tcBorders>
              <w:top w:val="nil"/>
              <w:left w:val="nil"/>
              <w:bottom w:val="nil"/>
              <w:right w:val="nil"/>
            </w:tcBorders>
          </w:tcPr>
          <w:p w14:paraId="09EAA715"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CS</w:t>
            </w:r>
          </w:p>
        </w:tc>
        <w:tc>
          <w:tcPr>
            <w:tcW w:w="900" w:type="dxa"/>
            <w:tcBorders>
              <w:top w:val="nil"/>
              <w:left w:val="nil"/>
              <w:bottom w:val="nil"/>
              <w:right w:val="nil"/>
            </w:tcBorders>
          </w:tcPr>
          <w:p w14:paraId="0A18983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6C932ED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2.248</w:t>
            </w:r>
          </w:p>
        </w:tc>
        <w:tc>
          <w:tcPr>
            <w:tcW w:w="1351" w:type="dxa"/>
            <w:tcBorders>
              <w:top w:val="nil"/>
              <w:left w:val="nil"/>
              <w:bottom w:val="nil"/>
              <w:right w:val="nil"/>
            </w:tcBorders>
          </w:tcPr>
          <w:p w14:paraId="65780FC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r>
              <w:rPr>
                <w:rFonts w:ascii="Times New Roman" w:hAnsi="Times New Roman" w:cs="Times New Roman"/>
                <w:sz w:val="20"/>
              </w:rPr>
              <w:t>348</w:t>
            </w:r>
          </w:p>
        </w:tc>
        <w:tc>
          <w:tcPr>
            <w:tcW w:w="1578" w:type="dxa"/>
            <w:tcBorders>
              <w:top w:val="nil"/>
              <w:left w:val="nil"/>
              <w:bottom w:val="nil"/>
              <w:right w:val="nil"/>
            </w:tcBorders>
          </w:tcPr>
          <w:p w14:paraId="4A01DE8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0.05</w:t>
            </w:r>
            <w:r>
              <w:rPr>
                <w:rFonts w:ascii="Times New Roman" w:hAnsi="Times New Roman" w:cs="Times New Roman"/>
                <w:sz w:val="20"/>
              </w:rPr>
              <w:t>5</w:t>
            </w:r>
          </w:p>
        </w:tc>
        <w:tc>
          <w:tcPr>
            <w:tcW w:w="1351" w:type="dxa"/>
            <w:tcBorders>
              <w:top w:val="nil"/>
              <w:left w:val="nil"/>
              <w:bottom w:val="nil"/>
              <w:right w:val="nil"/>
            </w:tcBorders>
          </w:tcPr>
          <w:p w14:paraId="44C35C8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14.720</w:t>
            </w:r>
          </w:p>
        </w:tc>
      </w:tr>
      <w:tr w:rsidR="006258B4" w:rsidRPr="00B328BC" w14:paraId="05C8803D" w14:textId="77777777" w:rsidTr="008463F8">
        <w:trPr>
          <w:trHeight w:val="268"/>
          <w:jc w:val="center"/>
        </w:trPr>
        <w:tc>
          <w:tcPr>
            <w:tcW w:w="2374" w:type="dxa"/>
            <w:tcBorders>
              <w:top w:val="nil"/>
              <w:left w:val="nil"/>
              <w:bottom w:val="nil"/>
              <w:right w:val="nil"/>
            </w:tcBorders>
          </w:tcPr>
          <w:p w14:paraId="169A587B"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Growth</w:t>
            </w:r>
          </w:p>
        </w:tc>
        <w:tc>
          <w:tcPr>
            <w:tcW w:w="900" w:type="dxa"/>
            <w:tcBorders>
              <w:top w:val="nil"/>
              <w:left w:val="nil"/>
              <w:bottom w:val="nil"/>
              <w:right w:val="nil"/>
            </w:tcBorders>
          </w:tcPr>
          <w:p w14:paraId="3A41376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72F6762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3.170</w:t>
            </w:r>
          </w:p>
        </w:tc>
        <w:tc>
          <w:tcPr>
            <w:tcW w:w="1351" w:type="dxa"/>
            <w:tcBorders>
              <w:top w:val="nil"/>
              <w:left w:val="nil"/>
              <w:bottom w:val="nil"/>
              <w:right w:val="nil"/>
            </w:tcBorders>
          </w:tcPr>
          <w:p w14:paraId="741EAD6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r>
              <w:rPr>
                <w:rFonts w:ascii="Times New Roman" w:hAnsi="Times New Roman" w:cs="Times New Roman"/>
                <w:sz w:val="20"/>
              </w:rPr>
              <w:t>432</w:t>
            </w:r>
          </w:p>
        </w:tc>
        <w:tc>
          <w:tcPr>
            <w:tcW w:w="1578" w:type="dxa"/>
            <w:tcBorders>
              <w:top w:val="nil"/>
              <w:left w:val="nil"/>
              <w:bottom w:val="nil"/>
              <w:right w:val="nil"/>
            </w:tcBorders>
          </w:tcPr>
          <w:p w14:paraId="57EFF58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0.257</w:t>
            </w:r>
          </w:p>
        </w:tc>
        <w:tc>
          <w:tcPr>
            <w:tcW w:w="1351" w:type="dxa"/>
            <w:tcBorders>
              <w:top w:val="nil"/>
              <w:left w:val="nil"/>
              <w:bottom w:val="nil"/>
              <w:right w:val="nil"/>
            </w:tcBorders>
          </w:tcPr>
          <w:p w14:paraId="2BAC230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18.1</w:t>
            </w:r>
            <w:r>
              <w:rPr>
                <w:rFonts w:ascii="Times New Roman" w:hAnsi="Times New Roman" w:cs="Times New Roman"/>
                <w:sz w:val="20"/>
              </w:rPr>
              <w:t>28</w:t>
            </w:r>
          </w:p>
        </w:tc>
      </w:tr>
      <w:tr w:rsidR="006258B4" w:rsidRPr="00B328BC" w14:paraId="6CB16523" w14:textId="77777777" w:rsidTr="008463F8">
        <w:trPr>
          <w:trHeight w:val="268"/>
          <w:jc w:val="center"/>
        </w:trPr>
        <w:tc>
          <w:tcPr>
            <w:tcW w:w="2374" w:type="dxa"/>
            <w:tcBorders>
              <w:top w:val="nil"/>
              <w:left w:val="nil"/>
              <w:bottom w:val="nil"/>
              <w:right w:val="nil"/>
            </w:tcBorders>
          </w:tcPr>
          <w:p w14:paraId="77EC5C94"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Liquidity</w:t>
            </w:r>
          </w:p>
        </w:tc>
        <w:tc>
          <w:tcPr>
            <w:tcW w:w="900" w:type="dxa"/>
            <w:tcBorders>
              <w:top w:val="nil"/>
              <w:left w:val="nil"/>
              <w:bottom w:val="nil"/>
              <w:right w:val="nil"/>
            </w:tcBorders>
          </w:tcPr>
          <w:p w14:paraId="41A8915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7ADCFFA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1.395</w:t>
            </w:r>
          </w:p>
        </w:tc>
        <w:tc>
          <w:tcPr>
            <w:tcW w:w="1351" w:type="dxa"/>
            <w:tcBorders>
              <w:top w:val="nil"/>
              <w:left w:val="nil"/>
              <w:bottom w:val="nil"/>
              <w:right w:val="nil"/>
            </w:tcBorders>
          </w:tcPr>
          <w:p w14:paraId="0B47F72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0.7</w:t>
            </w:r>
            <w:r>
              <w:rPr>
                <w:rFonts w:ascii="Times New Roman" w:hAnsi="Times New Roman" w:cs="Times New Roman"/>
                <w:sz w:val="20"/>
              </w:rPr>
              <w:t>36</w:t>
            </w:r>
          </w:p>
        </w:tc>
        <w:tc>
          <w:tcPr>
            <w:tcW w:w="1578" w:type="dxa"/>
            <w:tcBorders>
              <w:top w:val="nil"/>
              <w:left w:val="nil"/>
              <w:bottom w:val="nil"/>
              <w:right w:val="nil"/>
            </w:tcBorders>
          </w:tcPr>
          <w:p w14:paraId="62E1F646"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w:t>
            </w:r>
            <w:r>
              <w:rPr>
                <w:rFonts w:ascii="Times New Roman" w:hAnsi="Times New Roman" w:cs="Times New Roman"/>
                <w:sz w:val="20"/>
              </w:rPr>
              <w:t>55</w:t>
            </w:r>
          </w:p>
        </w:tc>
        <w:tc>
          <w:tcPr>
            <w:tcW w:w="1351" w:type="dxa"/>
            <w:tcBorders>
              <w:top w:val="nil"/>
              <w:left w:val="nil"/>
              <w:bottom w:val="nil"/>
              <w:right w:val="nil"/>
            </w:tcBorders>
          </w:tcPr>
          <w:p w14:paraId="11B1CA7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4.237</w:t>
            </w:r>
          </w:p>
        </w:tc>
      </w:tr>
      <w:tr w:rsidR="006258B4" w:rsidRPr="00B328BC" w14:paraId="550FF40D" w14:textId="77777777" w:rsidTr="008463F8">
        <w:trPr>
          <w:trHeight w:val="268"/>
          <w:jc w:val="center"/>
        </w:trPr>
        <w:tc>
          <w:tcPr>
            <w:tcW w:w="2374" w:type="dxa"/>
            <w:tcBorders>
              <w:top w:val="nil"/>
              <w:left w:val="nil"/>
              <w:bottom w:val="nil"/>
              <w:right w:val="nil"/>
            </w:tcBorders>
          </w:tcPr>
          <w:p w14:paraId="6C81E01B"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Profit</w:t>
            </w:r>
          </w:p>
        </w:tc>
        <w:tc>
          <w:tcPr>
            <w:tcW w:w="900" w:type="dxa"/>
            <w:tcBorders>
              <w:top w:val="nil"/>
              <w:left w:val="nil"/>
              <w:bottom w:val="nil"/>
              <w:right w:val="nil"/>
            </w:tcBorders>
          </w:tcPr>
          <w:p w14:paraId="4D7F575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493</w:t>
            </w:r>
          </w:p>
        </w:tc>
        <w:tc>
          <w:tcPr>
            <w:tcW w:w="1351" w:type="dxa"/>
            <w:tcBorders>
              <w:top w:val="nil"/>
              <w:left w:val="nil"/>
              <w:bottom w:val="nil"/>
              <w:right w:val="nil"/>
            </w:tcBorders>
          </w:tcPr>
          <w:p w14:paraId="2946248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12.</w:t>
            </w:r>
            <w:r>
              <w:rPr>
                <w:rFonts w:ascii="Times New Roman" w:hAnsi="Times New Roman" w:cs="Times New Roman"/>
                <w:sz w:val="20"/>
              </w:rPr>
              <w:t>217</w:t>
            </w:r>
          </w:p>
        </w:tc>
        <w:tc>
          <w:tcPr>
            <w:tcW w:w="1351" w:type="dxa"/>
            <w:tcBorders>
              <w:top w:val="nil"/>
              <w:left w:val="nil"/>
              <w:bottom w:val="nil"/>
              <w:right w:val="nil"/>
            </w:tcBorders>
          </w:tcPr>
          <w:p w14:paraId="02F4484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9.666</w:t>
            </w:r>
          </w:p>
        </w:tc>
        <w:tc>
          <w:tcPr>
            <w:tcW w:w="1578" w:type="dxa"/>
            <w:tcBorders>
              <w:top w:val="nil"/>
              <w:left w:val="nil"/>
              <w:bottom w:val="nil"/>
              <w:right w:val="nil"/>
            </w:tcBorders>
          </w:tcPr>
          <w:p w14:paraId="7085A19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-4.4</w:t>
            </w:r>
            <w:r>
              <w:rPr>
                <w:rFonts w:ascii="Times New Roman" w:hAnsi="Times New Roman" w:cs="Times New Roman"/>
                <w:sz w:val="20"/>
              </w:rPr>
              <w:t>75</w:t>
            </w:r>
          </w:p>
        </w:tc>
        <w:tc>
          <w:tcPr>
            <w:tcW w:w="1351" w:type="dxa"/>
            <w:tcBorders>
              <w:top w:val="nil"/>
              <w:left w:val="nil"/>
              <w:bottom w:val="nil"/>
              <w:right w:val="nil"/>
            </w:tcBorders>
          </w:tcPr>
          <w:p w14:paraId="5194D08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37.25</w:t>
            </w:r>
            <w:r>
              <w:rPr>
                <w:rFonts w:ascii="Times New Roman" w:hAnsi="Times New Roman" w:cs="Times New Roman"/>
                <w:sz w:val="20"/>
              </w:rPr>
              <w:t>1</w:t>
            </w:r>
          </w:p>
        </w:tc>
      </w:tr>
      <w:tr w:rsidR="006258B4" w14:paraId="21AD4F6C" w14:textId="77777777" w:rsidTr="008463F8">
        <w:tblPrEx>
          <w:tblBorders>
            <w:bottom w:val="single" w:sz="6" w:space="0" w:color="auto"/>
          </w:tblBorders>
        </w:tblPrEx>
        <w:trPr>
          <w:trHeight w:val="139"/>
          <w:jc w:val="center"/>
        </w:trPr>
        <w:tc>
          <w:tcPr>
            <w:tcW w:w="2374" w:type="dxa"/>
            <w:tcBorders>
              <w:top w:val="nil"/>
              <w:left w:val="nil"/>
              <w:bottom w:val="single" w:sz="6" w:space="0" w:color="auto"/>
              <w:right w:val="nil"/>
            </w:tcBorders>
          </w:tcPr>
          <w:p w14:paraId="601274FB"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szCs w:val="24"/>
              </w:rPr>
            </w:pPr>
          </w:p>
        </w:tc>
        <w:tc>
          <w:tcPr>
            <w:tcW w:w="900" w:type="dxa"/>
            <w:tcBorders>
              <w:top w:val="nil"/>
              <w:left w:val="nil"/>
              <w:bottom w:val="single" w:sz="6" w:space="0" w:color="auto"/>
              <w:right w:val="nil"/>
            </w:tcBorders>
          </w:tcPr>
          <w:p w14:paraId="3F1EAE5B"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51" w:type="dxa"/>
            <w:tcBorders>
              <w:top w:val="nil"/>
              <w:left w:val="nil"/>
              <w:bottom w:val="single" w:sz="6" w:space="0" w:color="auto"/>
              <w:right w:val="nil"/>
            </w:tcBorders>
          </w:tcPr>
          <w:p w14:paraId="1713A57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51" w:type="dxa"/>
            <w:tcBorders>
              <w:top w:val="nil"/>
              <w:left w:val="nil"/>
              <w:bottom w:val="single" w:sz="6" w:space="0" w:color="auto"/>
              <w:right w:val="nil"/>
            </w:tcBorders>
          </w:tcPr>
          <w:p w14:paraId="67C06A6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578" w:type="dxa"/>
            <w:tcBorders>
              <w:top w:val="nil"/>
              <w:left w:val="nil"/>
              <w:bottom w:val="single" w:sz="6" w:space="0" w:color="auto"/>
              <w:right w:val="nil"/>
            </w:tcBorders>
          </w:tcPr>
          <w:p w14:paraId="5BBDC70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c>
          <w:tcPr>
            <w:tcW w:w="1351" w:type="dxa"/>
            <w:tcBorders>
              <w:top w:val="nil"/>
              <w:left w:val="nil"/>
              <w:bottom w:val="single" w:sz="6" w:space="0" w:color="auto"/>
              <w:right w:val="nil"/>
            </w:tcBorders>
          </w:tcPr>
          <w:p w14:paraId="1A8955C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szCs w:val="24"/>
              </w:rPr>
            </w:pPr>
          </w:p>
        </w:tc>
      </w:tr>
    </w:tbl>
    <w:p w14:paraId="10CCB3AF" w14:textId="77777777" w:rsidR="006258B4" w:rsidRPr="0069016A" w:rsidRDefault="006258B4" w:rsidP="00536234">
      <w:pPr>
        <w:spacing w:line="480" w:lineRule="auto"/>
        <w:ind w:left="0"/>
        <w:jc w:val="right"/>
        <w:rPr>
          <w:rFonts w:ascii="Times New Roman" w:hAnsi="Times New Roman" w:cs="Times New Roman"/>
          <w:sz w:val="22"/>
          <w:szCs w:val="26"/>
        </w:rPr>
      </w:pPr>
      <w:r w:rsidRPr="0069016A">
        <w:rPr>
          <w:rFonts w:ascii="Times New Roman" w:hAnsi="Times New Roman" w:cs="Times New Roman"/>
          <w:sz w:val="22"/>
          <w:szCs w:val="26"/>
        </w:rPr>
        <w:t>(Source: Stata)</w:t>
      </w:r>
    </w:p>
    <w:p w14:paraId="18160510" w14:textId="7871DEB0" w:rsidR="006258B4" w:rsidRPr="00676BB7" w:rsidRDefault="006258B4" w:rsidP="00536234">
      <w:pPr>
        <w:spacing w:line="480" w:lineRule="auto"/>
        <w:ind w:left="0"/>
        <w:rPr>
          <w:rFonts w:ascii="Times New Roman" w:hAnsi="Times New Roman" w:cs="Times New Roman"/>
          <w:b/>
          <w:sz w:val="22"/>
          <w:szCs w:val="26"/>
          <w:u w:val="single"/>
        </w:rPr>
      </w:pPr>
      <w:r w:rsidRPr="00AC4DE7">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5</w:t>
      </w:r>
      <w:r w:rsidRPr="00B60EBD">
        <w:rPr>
          <w:rFonts w:ascii="Times New Roman" w:hAnsi="Times New Roman" w:cs="Times New Roman"/>
          <w:b/>
          <w:sz w:val="22"/>
          <w:szCs w:val="26"/>
          <w:u w:val="single"/>
        </w:rPr>
        <w:t>-</w:t>
      </w:r>
      <w:r w:rsidRPr="00B60EBD">
        <w:rPr>
          <w:u w:val="single"/>
        </w:rPr>
        <w:t xml:space="preserve"> </w:t>
      </w:r>
      <w:r w:rsidRPr="00AC4DE7">
        <w:rPr>
          <w:rFonts w:ascii="Times New Roman" w:hAnsi="Times New Roman" w:cs="Times New Roman"/>
          <w:b/>
          <w:sz w:val="22"/>
          <w:szCs w:val="26"/>
          <w:u w:val="single"/>
        </w:rPr>
        <w:t xml:space="preserve">Descriptive Statistics </w:t>
      </w:r>
      <w:r w:rsidR="00D62DF2">
        <w:rPr>
          <w:rFonts w:ascii="Times New Roman" w:hAnsi="Times New Roman" w:cs="Times New Roman"/>
          <w:b/>
          <w:sz w:val="22"/>
          <w:szCs w:val="26"/>
          <w:u w:val="single"/>
        </w:rPr>
        <w:t>R</w:t>
      </w:r>
      <w:r w:rsidRPr="00AC4DE7">
        <w:rPr>
          <w:rFonts w:ascii="Times New Roman" w:hAnsi="Times New Roman" w:cs="Times New Roman"/>
          <w:b/>
          <w:sz w:val="22"/>
          <w:szCs w:val="26"/>
          <w:u w:val="single"/>
        </w:rPr>
        <w:t>elating to the Treatment Group</w:t>
      </w:r>
      <w:r w:rsidRPr="00676BB7">
        <w:rPr>
          <w:rFonts w:ascii="Times New Roman" w:hAnsi="Times New Roman" w:cs="Times New Roman"/>
          <w:b/>
          <w:sz w:val="22"/>
          <w:szCs w:val="26"/>
          <w:u w:val="single"/>
        </w:rPr>
        <w:t>:</w:t>
      </w:r>
    </w:p>
    <w:tbl>
      <w:tblPr>
        <w:tblW w:w="8803" w:type="dxa"/>
        <w:jc w:val="center"/>
        <w:tblLayout w:type="fixed"/>
        <w:tblCellMar>
          <w:left w:w="75" w:type="dxa"/>
          <w:right w:w="75" w:type="dxa"/>
        </w:tblCellMar>
        <w:tblLook w:val="0000" w:firstRow="0" w:lastRow="0" w:firstColumn="0" w:lastColumn="0" w:noHBand="0" w:noVBand="0"/>
      </w:tblPr>
      <w:tblGrid>
        <w:gridCol w:w="2347"/>
        <w:gridCol w:w="890"/>
        <w:gridCol w:w="1335"/>
        <w:gridCol w:w="1335"/>
        <w:gridCol w:w="1561"/>
        <w:gridCol w:w="1335"/>
      </w:tblGrid>
      <w:tr w:rsidR="006258B4" w:rsidRPr="00676BB7" w14:paraId="44738B04" w14:textId="77777777" w:rsidTr="008463F8">
        <w:trPr>
          <w:trHeight w:val="264"/>
          <w:jc w:val="center"/>
        </w:trPr>
        <w:tc>
          <w:tcPr>
            <w:tcW w:w="2347" w:type="dxa"/>
            <w:tcBorders>
              <w:top w:val="single" w:sz="6" w:space="0" w:color="auto"/>
              <w:left w:val="nil"/>
              <w:bottom w:val="nil"/>
              <w:right w:val="nil"/>
            </w:tcBorders>
          </w:tcPr>
          <w:p w14:paraId="1FCCEB0A"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890" w:type="dxa"/>
            <w:tcBorders>
              <w:top w:val="single" w:sz="6" w:space="0" w:color="auto"/>
              <w:left w:val="nil"/>
              <w:bottom w:val="nil"/>
              <w:right w:val="nil"/>
            </w:tcBorders>
          </w:tcPr>
          <w:p w14:paraId="1361A94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p>
        </w:tc>
        <w:tc>
          <w:tcPr>
            <w:tcW w:w="1335" w:type="dxa"/>
            <w:tcBorders>
              <w:top w:val="single" w:sz="6" w:space="0" w:color="auto"/>
              <w:left w:val="nil"/>
              <w:bottom w:val="nil"/>
              <w:right w:val="nil"/>
            </w:tcBorders>
          </w:tcPr>
          <w:p w14:paraId="24A745E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(2)</w:t>
            </w:r>
          </w:p>
        </w:tc>
        <w:tc>
          <w:tcPr>
            <w:tcW w:w="1335" w:type="dxa"/>
            <w:tcBorders>
              <w:top w:val="single" w:sz="6" w:space="0" w:color="auto"/>
              <w:left w:val="nil"/>
              <w:bottom w:val="nil"/>
              <w:right w:val="nil"/>
            </w:tcBorders>
          </w:tcPr>
          <w:p w14:paraId="4030C11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p>
        </w:tc>
        <w:tc>
          <w:tcPr>
            <w:tcW w:w="1561" w:type="dxa"/>
            <w:tcBorders>
              <w:top w:val="single" w:sz="6" w:space="0" w:color="auto"/>
              <w:left w:val="nil"/>
              <w:bottom w:val="nil"/>
              <w:right w:val="nil"/>
            </w:tcBorders>
          </w:tcPr>
          <w:p w14:paraId="296BC4C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w:t>
            </w:r>
          </w:p>
        </w:tc>
        <w:tc>
          <w:tcPr>
            <w:tcW w:w="1335" w:type="dxa"/>
            <w:tcBorders>
              <w:top w:val="single" w:sz="6" w:space="0" w:color="auto"/>
              <w:left w:val="nil"/>
              <w:bottom w:val="nil"/>
              <w:right w:val="nil"/>
            </w:tcBorders>
          </w:tcPr>
          <w:p w14:paraId="2669D09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(5)</w:t>
            </w:r>
          </w:p>
        </w:tc>
      </w:tr>
      <w:tr w:rsidR="006258B4" w:rsidRPr="00676BB7" w14:paraId="0170B6CA" w14:textId="77777777" w:rsidTr="008463F8">
        <w:trPr>
          <w:trHeight w:val="264"/>
          <w:jc w:val="center"/>
        </w:trPr>
        <w:tc>
          <w:tcPr>
            <w:tcW w:w="2347" w:type="dxa"/>
            <w:tcBorders>
              <w:top w:val="nil"/>
              <w:left w:val="nil"/>
              <w:bottom w:val="single" w:sz="6" w:space="0" w:color="auto"/>
              <w:right w:val="nil"/>
            </w:tcBorders>
          </w:tcPr>
          <w:p w14:paraId="1FA8FCB6"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VARIABLES</w:t>
            </w:r>
          </w:p>
        </w:tc>
        <w:tc>
          <w:tcPr>
            <w:tcW w:w="890" w:type="dxa"/>
            <w:tcBorders>
              <w:top w:val="nil"/>
              <w:left w:val="nil"/>
              <w:bottom w:val="single" w:sz="6" w:space="0" w:color="auto"/>
              <w:right w:val="nil"/>
            </w:tcBorders>
          </w:tcPr>
          <w:p w14:paraId="30F386F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N</w:t>
            </w:r>
          </w:p>
        </w:tc>
        <w:tc>
          <w:tcPr>
            <w:tcW w:w="1335" w:type="dxa"/>
            <w:tcBorders>
              <w:top w:val="nil"/>
              <w:left w:val="nil"/>
              <w:bottom w:val="single" w:sz="6" w:space="0" w:color="auto"/>
              <w:right w:val="nil"/>
            </w:tcBorders>
          </w:tcPr>
          <w:p w14:paraId="098CA79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ean</w:t>
            </w:r>
          </w:p>
        </w:tc>
        <w:tc>
          <w:tcPr>
            <w:tcW w:w="1335" w:type="dxa"/>
            <w:tcBorders>
              <w:top w:val="nil"/>
              <w:left w:val="nil"/>
              <w:bottom w:val="single" w:sz="6" w:space="0" w:color="auto"/>
              <w:right w:val="nil"/>
            </w:tcBorders>
          </w:tcPr>
          <w:p w14:paraId="74051B3F"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SD</w:t>
            </w:r>
          </w:p>
        </w:tc>
        <w:tc>
          <w:tcPr>
            <w:tcW w:w="1561" w:type="dxa"/>
            <w:tcBorders>
              <w:top w:val="nil"/>
              <w:left w:val="nil"/>
              <w:bottom w:val="single" w:sz="6" w:space="0" w:color="auto"/>
              <w:right w:val="nil"/>
            </w:tcBorders>
          </w:tcPr>
          <w:p w14:paraId="02F33B3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in</w:t>
            </w:r>
          </w:p>
        </w:tc>
        <w:tc>
          <w:tcPr>
            <w:tcW w:w="1335" w:type="dxa"/>
            <w:tcBorders>
              <w:top w:val="nil"/>
              <w:left w:val="nil"/>
              <w:bottom w:val="single" w:sz="6" w:space="0" w:color="auto"/>
              <w:right w:val="nil"/>
            </w:tcBorders>
          </w:tcPr>
          <w:p w14:paraId="4833AC9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M</w:t>
            </w:r>
            <w:r w:rsidRPr="00676BB7">
              <w:rPr>
                <w:rFonts w:ascii="Times New Roman" w:hAnsi="Times New Roman" w:cs="Times New Roman"/>
                <w:sz w:val="20"/>
              </w:rPr>
              <w:t>ax</w:t>
            </w:r>
          </w:p>
        </w:tc>
      </w:tr>
      <w:tr w:rsidR="006258B4" w:rsidRPr="00676BB7" w14:paraId="2769AE11" w14:textId="77777777" w:rsidTr="008463F8">
        <w:trPr>
          <w:trHeight w:val="130"/>
          <w:jc w:val="center"/>
        </w:trPr>
        <w:tc>
          <w:tcPr>
            <w:tcW w:w="2347" w:type="dxa"/>
            <w:tcBorders>
              <w:top w:val="nil"/>
              <w:left w:val="nil"/>
              <w:bottom w:val="nil"/>
              <w:right w:val="nil"/>
            </w:tcBorders>
          </w:tcPr>
          <w:p w14:paraId="5C2101A7"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p>
        </w:tc>
        <w:tc>
          <w:tcPr>
            <w:tcW w:w="890" w:type="dxa"/>
            <w:tcBorders>
              <w:top w:val="nil"/>
              <w:left w:val="nil"/>
              <w:bottom w:val="nil"/>
              <w:right w:val="nil"/>
            </w:tcBorders>
          </w:tcPr>
          <w:p w14:paraId="79494C3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35" w:type="dxa"/>
            <w:tcBorders>
              <w:top w:val="nil"/>
              <w:left w:val="nil"/>
              <w:bottom w:val="nil"/>
              <w:right w:val="nil"/>
            </w:tcBorders>
          </w:tcPr>
          <w:p w14:paraId="0BFCE80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35" w:type="dxa"/>
            <w:tcBorders>
              <w:top w:val="nil"/>
              <w:left w:val="nil"/>
              <w:bottom w:val="nil"/>
              <w:right w:val="nil"/>
            </w:tcBorders>
          </w:tcPr>
          <w:p w14:paraId="005DB0C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561" w:type="dxa"/>
            <w:tcBorders>
              <w:top w:val="nil"/>
              <w:left w:val="nil"/>
              <w:bottom w:val="nil"/>
              <w:right w:val="nil"/>
            </w:tcBorders>
          </w:tcPr>
          <w:p w14:paraId="2554900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c>
          <w:tcPr>
            <w:tcW w:w="1335" w:type="dxa"/>
            <w:tcBorders>
              <w:top w:val="nil"/>
              <w:left w:val="nil"/>
              <w:bottom w:val="nil"/>
              <w:right w:val="nil"/>
            </w:tcBorders>
          </w:tcPr>
          <w:p w14:paraId="3826111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p>
        </w:tc>
      </w:tr>
      <w:tr w:rsidR="006258B4" w:rsidRPr="00676BB7" w14:paraId="2C5EA241" w14:textId="77777777" w:rsidTr="008463F8">
        <w:trPr>
          <w:trHeight w:val="264"/>
          <w:jc w:val="center"/>
        </w:trPr>
        <w:tc>
          <w:tcPr>
            <w:tcW w:w="2347" w:type="dxa"/>
            <w:tcBorders>
              <w:top w:val="nil"/>
              <w:left w:val="nil"/>
              <w:bottom w:val="nil"/>
              <w:right w:val="nil"/>
            </w:tcBorders>
          </w:tcPr>
          <w:p w14:paraId="1C478371"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DPR</w:t>
            </w:r>
          </w:p>
        </w:tc>
        <w:tc>
          <w:tcPr>
            <w:tcW w:w="890" w:type="dxa"/>
            <w:tcBorders>
              <w:top w:val="nil"/>
              <w:left w:val="nil"/>
              <w:bottom w:val="nil"/>
              <w:right w:val="nil"/>
            </w:tcBorders>
          </w:tcPr>
          <w:p w14:paraId="7E8A418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190153E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r>
              <w:rPr>
                <w:rFonts w:ascii="Times New Roman" w:hAnsi="Times New Roman" w:cs="Times New Roman"/>
                <w:sz w:val="20"/>
              </w:rPr>
              <w:t>414</w:t>
            </w:r>
          </w:p>
        </w:tc>
        <w:tc>
          <w:tcPr>
            <w:tcW w:w="1335" w:type="dxa"/>
            <w:tcBorders>
              <w:top w:val="nil"/>
              <w:left w:val="nil"/>
              <w:bottom w:val="nil"/>
              <w:right w:val="nil"/>
            </w:tcBorders>
          </w:tcPr>
          <w:p w14:paraId="62FBA53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r>
              <w:rPr>
                <w:rFonts w:ascii="Times New Roman" w:hAnsi="Times New Roman" w:cs="Times New Roman"/>
                <w:sz w:val="20"/>
              </w:rPr>
              <w:t>270</w:t>
            </w:r>
          </w:p>
        </w:tc>
        <w:tc>
          <w:tcPr>
            <w:tcW w:w="1561" w:type="dxa"/>
            <w:tcBorders>
              <w:top w:val="nil"/>
              <w:left w:val="nil"/>
              <w:bottom w:val="nil"/>
              <w:right w:val="nil"/>
            </w:tcBorders>
          </w:tcPr>
          <w:p w14:paraId="6AFF38C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p>
        </w:tc>
        <w:tc>
          <w:tcPr>
            <w:tcW w:w="1335" w:type="dxa"/>
            <w:tcBorders>
              <w:top w:val="nil"/>
              <w:left w:val="nil"/>
              <w:bottom w:val="nil"/>
              <w:right w:val="nil"/>
            </w:tcBorders>
          </w:tcPr>
          <w:p w14:paraId="5C33054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1.0</w:t>
            </w:r>
            <w:r>
              <w:rPr>
                <w:rFonts w:ascii="Times New Roman" w:hAnsi="Times New Roman" w:cs="Times New Roman"/>
                <w:sz w:val="20"/>
              </w:rPr>
              <w:t>04</w:t>
            </w:r>
          </w:p>
        </w:tc>
      </w:tr>
      <w:tr w:rsidR="006258B4" w:rsidRPr="00676BB7" w14:paraId="134674E2" w14:textId="77777777" w:rsidTr="008463F8">
        <w:trPr>
          <w:trHeight w:val="264"/>
          <w:jc w:val="center"/>
        </w:trPr>
        <w:tc>
          <w:tcPr>
            <w:tcW w:w="2347" w:type="dxa"/>
            <w:tcBorders>
              <w:top w:val="nil"/>
              <w:left w:val="nil"/>
              <w:bottom w:val="nil"/>
              <w:right w:val="nil"/>
            </w:tcBorders>
          </w:tcPr>
          <w:p w14:paraId="45835E32"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Deal</w:t>
            </w:r>
          </w:p>
        </w:tc>
        <w:tc>
          <w:tcPr>
            <w:tcW w:w="890" w:type="dxa"/>
            <w:tcBorders>
              <w:top w:val="nil"/>
              <w:left w:val="nil"/>
              <w:bottom w:val="nil"/>
              <w:right w:val="nil"/>
            </w:tcBorders>
          </w:tcPr>
          <w:p w14:paraId="5BC1820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29A6F70E" w14:textId="77777777" w:rsidR="006258B4" w:rsidRPr="00676BB7" w:rsidRDefault="009950DC"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335" w:type="dxa"/>
            <w:tcBorders>
              <w:top w:val="nil"/>
              <w:left w:val="nil"/>
              <w:bottom w:val="nil"/>
              <w:right w:val="nil"/>
            </w:tcBorders>
          </w:tcPr>
          <w:p w14:paraId="05608EC2" w14:textId="77777777" w:rsidR="006258B4" w:rsidRPr="00676BB7" w:rsidRDefault="009950DC"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w:t>
            </w:r>
          </w:p>
        </w:tc>
        <w:tc>
          <w:tcPr>
            <w:tcW w:w="1561" w:type="dxa"/>
            <w:tcBorders>
              <w:top w:val="nil"/>
              <w:left w:val="nil"/>
              <w:bottom w:val="nil"/>
              <w:right w:val="nil"/>
            </w:tcBorders>
          </w:tcPr>
          <w:p w14:paraId="6451649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w:t>
            </w:r>
          </w:p>
        </w:tc>
        <w:tc>
          <w:tcPr>
            <w:tcW w:w="1335" w:type="dxa"/>
            <w:tcBorders>
              <w:top w:val="nil"/>
              <w:left w:val="nil"/>
              <w:bottom w:val="nil"/>
              <w:right w:val="nil"/>
            </w:tcBorders>
          </w:tcPr>
          <w:p w14:paraId="218C027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p>
        </w:tc>
      </w:tr>
      <w:tr w:rsidR="006258B4" w:rsidRPr="00676BB7" w14:paraId="52A9F5A3" w14:textId="77777777" w:rsidTr="008463F8">
        <w:trPr>
          <w:trHeight w:val="264"/>
          <w:jc w:val="center"/>
        </w:trPr>
        <w:tc>
          <w:tcPr>
            <w:tcW w:w="2347" w:type="dxa"/>
            <w:tcBorders>
              <w:top w:val="nil"/>
              <w:left w:val="nil"/>
              <w:bottom w:val="nil"/>
              <w:right w:val="nil"/>
            </w:tcBorders>
          </w:tcPr>
          <w:p w14:paraId="10FEAEB0"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Size</w:t>
            </w:r>
          </w:p>
        </w:tc>
        <w:tc>
          <w:tcPr>
            <w:tcW w:w="890" w:type="dxa"/>
            <w:tcBorders>
              <w:top w:val="nil"/>
              <w:left w:val="nil"/>
              <w:bottom w:val="nil"/>
              <w:right w:val="nil"/>
            </w:tcBorders>
          </w:tcPr>
          <w:p w14:paraId="15804C5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75FD5422" w14:textId="77777777" w:rsidR="006258B4" w:rsidRPr="00676BB7" w:rsidRDefault="006258B4" w:rsidP="00536234">
            <w:pPr>
              <w:widowControl w:val="0"/>
              <w:tabs>
                <w:tab w:val="left" w:pos="420"/>
                <w:tab w:val="center" w:pos="679"/>
              </w:tabs>
              <w:autoSpaceDE w:val="0"/>
              <w:autoSpaceDN w:val="0"/>
              <w:adjustRightInd w:val="0"/>
              <w:spacing w:after="0" w:line="240" w:lineRule="auto"/>
              <w:ind w:left="0"/>
              <w:jc w:val="left"/>
              <w:rPr>
                <w:rFonts w:ascii="Times New Roman" w:hAnsi="Times New Roman" w:cs="Times New Roman"/>
                <w:sz w:val="20"/>
              </w:rPr>
            </w:pPr>
            <w:r>
              <w:rPr>
                <w:rFonts w:ascii="Times New Roman" w:hAnsi="Times New Roman" w:cs="Times New Roman"/>
                <w:sz w:val="20"/>
              </w:rPr>
              <w:tab/>
            </w:r>
            <w:r>
              <w:rPr>
                <w:rFonts w:ascii="Times New Roman" w:hAnsi="Times New Roman" w:cs="Times New Roman"/>
                <w:sz w:val="20"/>
              </w:rPr>
              <w:tab/>
            </w:r>
            <w:r w:rsidRPr="00676BB7">
              <w:rPr>
                <w:rFonts w:ascii="Times New Roman" w:hAnsi="Times New Roman" w:cs="Times New Roman"/>
                <w:sz w:val="20"/>
              </w:rPr>
              <w:t>1</w:t>
            </w:r>
            <w:r>
              <w:rPr>
                <w:rFonts w:ascii="Times New Roman" w:hAnsi="Times New Roman" w:cs="Times New Roman"/>
                <w:sz w:val="20"/>
              </w:rPr>
              <w:t>6.640</w:t>
            </w:r>
          </w:p>
        </w:tc>
        <w:tc>
          <w:tcPr>
            <w:tcW w:w="1335" w:type="dxa"/>
            <w:tcBorders>
              <w:top w:val="nil"/>
              <w:left w:val="nil"/>
              <w:bottom w:val="nil"/>
              <w:right w:val="nil"/>
            </w:tcBorders>
          </w:tcPr>
          <w:p w14:paraId="129194D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1.57</w:t>
            </w:r>
            <w:r>
              <w:rPr>
                <w:rFonts w:ascii="Times New Roman" w:hAnsi="Times New Roman" w:cs="Times New Roman"/>
                <w:sz w:val="20"/>
              </w:rPr>
              <w:t>6</w:t>
            </w:r>
          </w:p>
        </w:tc>
        <w:tc>
          <w:tcPr>
            <w:tcW w:w="1561" w:type="dxa"/>
            <w:tcBorders>
              <w:top w:val="nil"/>
              <w:left w:val="nil"/>
              <w:bottom w:val="nil"/>
              <w:right w:val="nil"/>
            </w:tcBorders>
          </w:tcPr>
          <w:p w14:paraId="7607B29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r>
              <w:rPr>
                <w:rFonts w:ascii="Times New Roman" w:hAnsi="Times New Roman" w:cs="Times New Roman"/>
                <w:sz w:val="20"/>
              </w:rPr>
              <w:t>3.783</w:t>
            </w:r>
          </w:p>
        </w:tc>
        <w:tc>
          <w:tcPr>
            <w:tcW w:w="1335" w:type="dxa"/>
            <w:tcBorders>
              <w:top w:val="nil"/>
              <w:left w:val="nil"/>
              <w:bottom w:val="nil"/>
              <w:right w:val="nil"/>
            </w:tcBorders>
          </w:tcPr>
          <w:p w14:paraId="205AB3A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19.63</w:t>
            </w:r>
            <w:r>
              <w:rPr>
                <w:rFonts w:ascii="Times New Roman" w:hAnsi="Times New Roman" w:cs="Times New Roman"/>
                <w:sz w:val="20"/>
              </w:rPr>
              <w:t>1</w:t>
            </w:r>
          </w:p>
        </w:tc>
      </w:tr>
      <w:tr w:rsidR="006258B4" w:rsidRPr="00676BB7" w14:paraId="78BDD54A" w14:textId="77777777" w:rsidTr="008463F8">
        <w:trPr>
          <w:trHeight w:val="264"/>
          <w:jc w:val="center"/>
        </w:trPr>
        <w:tc>
          <w:tcPr>
            <w:tcW w:w="2347" w:type="dxa"/>
            <w:tcBorders>
              <w:top w:val="nil"/>
              <w:left w:val="nil"/>
              <w:bottom w:val="nil"/>
              <w:right w:val="nil"/>
            </w:tcBorders>
          </w:tcPr>
          <w:p w14:paraId="5D41595C"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CS</w:t>
            </w:r>
          </w:p>
        </w:tc>
        <w:tc>
          <w:tcPr>
            <w:tcW w:w="890" w:type="dxa"/>
            <w:tcBorders>
              <w:top w:val="nil"/>
              <w:left w:val="nil"/>
              <w:bottom w:val="nil"/>
              <w:right w:val="nil"/>
            </w:tcBorders>
          </w:tcPr>
          <w:p w14:paraId="2F0E14E3"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4A44029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2.</w:t>
            </w:r>
            <w:r>
              <w:rPr>
                <w:rFonts w:ascii="Times New Roman" w:hAnsi="Times New Roman" w:cs="Times New Roman"/>
                <w:sz w:val="20"/>
              </w:rPr>
              <w:t>895</w:t>
            </w:r>
          </w:p>
        </w:tc>
        <w:tc>
          <w:tcPr>
            <w:tcW w:w="1335" w:type="dxa"/>
            <w:tcBorders>
              <w:top w:val="nil"/>
              <w:left w:val="nil"/>
              <w:bottom w:val="nil"/>
              <w:right w:val="nil"/>
            </w:tcBorders>
          </w:tcPr>
          <w:p w14:paraId="2E24F2B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4.612</w:t>
            </w:r>
          </w:p>
        </w:tc>
        <w:tc>
          <w:tcPr>
            <w:tcW w:w="1561" w:type="dxa"/>
            <w:tcBorders>
              <w:top w:val="nil"/>
              <w:left w:val="nil"/>
              <w:bottom w:val="nil"/>
              <w:right w:val="nil"/>
            </w:tcBorders>
          </w:tcPr>
          <w:p w14:paraId="5A801A5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0.0548</w:t>
            </w:r>
          </w:p>
        </w:tc>
        <w:tc>
          <w:tcPr>
            <w:tcW w:w="1335" w:type="dxa"/>
            <w:tcBorders>
              <w:top w:val="nil"/>
              <w:left w:val="nil"/>
              <w:bottom w:val="nil"/>
              <w:right w:val="nil"/>
            </w:tcBorders>
          </w:tcPr>
          <w:p w14:paraId="7F80515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15.4</w:t>
            </w:r>
            <w:r>
              <w:rPr>
                <w:rFonts w:ascii="Times New Roman" w:hAnsi="Times New Roman" w:cs="Times New Roman"/>
                <w:sz w:val="20"/>
              </w:rPr>
              <w:t>07</w:t>
            </w:r>
          </w:p>
        </w:tc>
      </w:tr>
      <w:tr w:rsidR="006258B4" w:rsidRPr="00676BB7" w14:paraId="4C41D853" w14:textId="77777777" w:rsidTr="008463F8">
        <w:trPr>
          <w:trHeight w:val="264"/>
          <w:jc w:val="center"/>
        </w:trPr>
        <w:tc>
          <w:tcPr>
            <w:tcW w:w="2347" w:type="dxa"/>
            <w:tcBorders>
              <w:top w:val="nil"/>
              <w:left w:val="nil"/>
              <w:bottom w:val="nil"/>
              <w:right w:val="nil"/>
            </w:tcBorders>
          </w:tcPr>
          <w:p w14:paraId="25AC71CB"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Growth</w:t>
            </w:r>
          </w:p>
        </w:tc>
        <w:tc>
          <w:tcPr>
            <w:tcW w:w="890" w:type="dxa"/>
            <w:tcBorders>
              <w:top w:val="nil"/>
              <w:left w:val="nil"/>
              <w:bottom w:val="nil"/>
              <w:right w:val="nil"/>
            </w:tcBorders>
          </w:tcPr>
          <w:p w14:paraId="6396409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16393535"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4.050</w:t>
            </w:r>
          </w:p>
        </w:tc>
        <w:tc>
          <w:tcPr>
            <w:tcW w:w="1335" w:type="dxa"/>
            <w:tcBorders>
              <w:top w:val="nil"/>
              <w:left w:val="nil"/>
              <w:bottom w:val="nil"/>
              <w:right w:val="nil"/>
            </w:tcBorders>
          </w:tcPr>
          <w:p w14:paraId="2BBADCE4"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w:t>
            </w:r>
            <w:r>
              <w:rPr>
                <w:rFonts w:ascii="Times New Roman" w:hAnsi="Times New Roman" w:cs="Times New Roman"/>
                <w:sz w:val="20"/>
              </w:rPr>
              <w:t>691</w:t>
            </w:r>
          </w:p>
        </w:tc>
        <w:tc>
          <w:tcPr>
            <w:tcW w:w="1561" w:type="dxa"/>
            <w:tcBorders>
              <w:top w:val="nil"/>
              <w:left w:val="nil"/>
              <w:bottom w:val="nil"/>
              <w:right w:val="nil"/>
            </w:tcBorders>
          </w:tcPr>
          <w:p w14:paraId="3AB8D7DE"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r>
              <w:rPr>
                <w:rFonts w:ascii="Times New Roman" w:hAnsi="Times New Roman" w:cs="Times New Roman"/>
                <w:sz w:val="20"/>
              </w:rPr>
              <w:t>676</w:t>
            </w:r>
          </w:p>
        </w:tc>
        <w:tc>
          <w:tcPr>
            <w:tcW w:w="1335" w:type="dxa"/>
            <w:tcBorders>
              <w:top w:val="nil"/>
              <w:left w:val="nil"/>
              <w:bottom w:val="nil"/>
              <w:right w:val="nil"/>
            </w:tcBorders>
          </w:tcPr>
          <w:p w14:paraId="603E2C9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16.810</w:t>
            </w:r>
          </w:p>
        </w:tc>
      </w:tr>
      <w:tr w:rsidR="006258B4" w:rsidRPr="00676BB7" w14:paraId="1345D298" w14:textId="77777777" w:rsidTr="008463F8">
        <w:trPr>
          <w:trHeight w:val="264"/>
          <w:jc w:val="center"/>
        </w:trPr>
        <w:tc>
          <w:tcPr>
            <w:tcW w:w="2347" w:type="dxa"/>
            <w:tcBorders>
              <w:top w:val="nil"/>
              <w:left w:val="nil"/>
              <w:bottom w:val="nil"/>
              <w:right w:val="nil"/>
            </w:tcBorders>
          </w:tcPr>
          <w:p w14:paraId="1514D3D4"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Liquidity</w:t>
            </w:r>
          </w:p>
        </w:tc>
        <w:tc>
          <w:tcPr>
            <w:tcW w:w="890" w:type="dxa"/>
            <w:tcBorders>
              <w:top w:val="nil"/>
              <w:left w:val="nil"/>
              <w:bottom w:val="nil"/>
              <w:right w:val="nil"/>
            </w:tcBorders>
          </w:tcPr>
          <w:p w14:paraId="5B0F202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6E51D54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1.4</w:t>
            </w:r>
            <w:r>
              <w:rPr>
                <w:rFonts w:ascii="Times New Roman" w:hAnsi="Times New Roman" w:cs="Times New Roman"/>
                <w:sz w:val="20"/>
              </w:rPr>
              <w:t>54</w:t>
            </w:r>
          </w:p>
        </w:tc>
        <w:tc>
          <w:tcPr>
            <w:tcW w:w="1335" w:type="dxa"/>
            <w:tcBorders>
              <w:top w:val="nil"/>
              <w:left w:val="nil"/>
              <w:bottom w:val="nil"/>
              <w:right w:val="nil"/>
            </w:tcBorders>
          </w:tcPr>
          <w:p w14:paraId="547005D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w:t>
            </w:r>
            <w:r>
              <w:rPr>
                <w:rFonts w:ascii="Times New Roman" w:hAnsi="Times New Roman" w:cs="Times New Roman"/>
                <w:sz w:val="20"/>
              </w:rPr>
              <w:t>904</w:t>
            </w:r>
          </w:p>
        </w:tc>
        <w:tc>
          <w:tcPr>
            <w:tcW w:w="1561" w:type="dxa"/>
            <w:tcBorders>
              <w:top w:val="nil"/>
              <w:left w:val="nil"/>
              <w:bottom w:val="nil"/>
              <w:right w:val="nil"/>
            </w:tcBorders>
          </w:tcPr>
          <w:p w14:paraId="689C1B0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0.205</w:t>
            </w:r>
          </w:p>
        </w:tc>
        <w:tc>
          <w:tcPr>
            <w:tcW w:w="1335" w:type="dxa"/>
            <w:tcBorders>
              <w:top w:val="nil"/>
              <w:left w:val="nil"/>
              <w:bottom w:val="nil"/>
              <w:right w:val="nil"/>
            </w:tcBorders>
          </w:tcPr>
          <w:p w14:paraId="47C608A1"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4.237</w:t>
            </w:r>
          </w:p>
        </w:tc>
      </w:tr>
      <w:tr w:rsidR="006258B4" w:rsidRPr="00676BB7" w14:paraId="1148A7D1" w14:textId="77777777" w:rsidTr="008463F8">
        <w:trPr>
          <w:trHeight w:val="264"/>
          <w:jc w:val="center"/>
        </w:trPr>
        <w:tc>
          <w:tcPr>
            <w:tcW w:w="2347" w:type="dxa"/>
            <w:tcBorders>
              <w:top w:val="nil"/>
              <w:left w:val="nil"/>
              <w:bottom w:val="nil"/>
              <w:right w:val="nil"/>
            </w:tcBorders>
          </w:tcPr>
          <w:p w14:paraId="78ACDD58"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0"/>
              </w:rPr>
            </w:pPr>
            <w:r w:rsidRPr="00676BB7">
              <w:rPr>
                <w:rFonts w:ascii="Times New Roman" w:hAnsi="Times New Roman" w:cs="Times New Roman"/>
                <w:sz w:val="20"/>
              </w:rPr>
              <w:t>Profit</w:t>
            </w:r>
          </w:p>
        </w:tc>
        <w:tc>
          <w:tcPr>
            <w:tcW w:w="890" w:type="dxa"/>
            <w:tcBorders>
              <w:top w:val="nil"/>
              <w:left w:val="nil"/>
              <w:bottom w:val="nil"/>
              <w:right w:val="nil"/>
            </w:tcBorders>
          </w:tcPr>
          <w:p w14:paraId="1AB467CA"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Pr>
                <w:rFonts w:ascii="Times New Roman" w:hAnsi="Times New Roman" w:cs="Times New Roman"/>
                <w:sz w:val="20"/>
              </w:rPr>
              <w:t>139</w:t>
            </w:r>
          </w:p>
        </w:tc>
        <w:tc>
          <w:tcPr>
            <w:tcW w:w="1335" w:type="dxa"/>
            <w:tcBorders>
              <w:top w:val="nil"/>
              <w:left w:val="nil"/>
              <w:bottom w:val="nil"/>
              <w:right w:val="nil"/>
            </w:tcBorders>
          </w:tcPr>
          <w:p w14:paraId="15FE7CB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12.</w:t>
            </w:r>
            <w:r>
              <w:rPr>
                <w:rFonts w:ascii="Times New Roman" w:hAnsi="Times New Roman" w:cs="Times New Roman"/>
                <w:sz w:val="20"/>
              </w:rPr>
              <w:t>637</w:t>
            </w:r>
          </w:p>
        </w:tc>
        <w:tc>
          <w:tcPr>
            <w:tcW w:w="1335" w:type="dxa"/>
            <w:tcBorders>
              <w:top w:val="nil"/>
              <w:left w:val="nil"/>
              <w:bottom w:val="nil"/>
              <w:right w:val="nil"/>
            </w:tcBorders>
          </w:tcPr>
          <w:p w14:paraId="5F0415A8"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1</w:t>
            </w:r>
            <w:r>
              <w:rPr>
                <w:rFonts w:ascii="Times New Roman" w:hAnsi="Times New Roman" w:cs="Times New Roman"/>
                <w:sz w:val="20"/>
              </w:rPr>
              <w:t>1.324</w:t>
            </w:r>
          </w:p>
        </w:tc>
        <w:tc>
          <w:tcPr>
            <w:tcW w:w="1561" w:type="dxa"/>
            <w:tcBorders>
              <w:top w:val="nil"/>
              <w:left w:val="nil"/>
              <w:bottom w:val="nil"/>
              <w:right w:val="nil"/>
            </w:tcBorders>
          </w:tcPr>
          <w:p w14:paraId="3ABFB44F"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-4.</w:t>
            </w:r>
            <w:r>
              <w:rPr>
                <w:rFonts w:ascii="Times New Roman" w:hAnsi="Times New Roman" w:cs="Times New Roman"/>
                <w:sz w:val="20"/>
              </w:rPr>
              <w:t>311</w:t>
            </w:r>
          </w:p>
        </w:tc>
        <w:tc>
          <w:tcPr>
            <w:tcW w:w="1335" w:type="dxa"/>
            <w:tcBorders>
              <w:top w:val="nil"/>
              <w:left w:val="nil"/>
              <w:bottom w:val="nil"/>
              <w:right w:val="nil"/>
            </w:tcBorders>
          </w:tcPr>
          <w:p w14:paraId="67751237"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0"/>
              </w:rPr>
            </w:pPr>
            <w:r w:rsidRPr="00676BB7">
              <w:rPr>
                <w:rFonts w:ascii="Times New Roman" w:hAnsi="Times New Roman" w:cs="Times New Roman"/>
                <w:sz w:val="20"/>
              </w:rPr>
              <w:t>37.25</w:t>
            </w:r>
            <w:r>
              <w:rPr>
                <w:rFonts w:ascii="Times New Roman" w:hAnsi="Times New Roman" w:cs="Times New Roman"/>
                <w:sz w:val="20"/>
              </w:rPr>
              <w:t>1</w:t>
            </w:r>
          </w:p>
        </w:tc>
      </w:tr>
      <w:tr w:rsidR="006258B4" w:rsidRPr="00676BB7" w14:paraId="2EBB4B7B" w14:textId="77777777" w:rsidTr="008463F8">
        <w:tblPrEx>
          <w:tblBorders>
            <w:bottom w:val="single" w:sz="6" w:space="0" w:color="auto"/>
          </w:tblBorders>
        </w:tblPrEx>
        <w:trPr>
          <w:trHeight w:val="136"/>
          <w:jc w:val="center"/>
        </w:trPr>
        <w:tc>
          <w:tcPr>
            <w:tcW w:w="2347" w:type="dxa"/>
            <w:tcBorders>
              <w:top w:val="nil"/>
              <w:left w:val="nil"/>
              <w:bottom w:val="single" w:sz="6" w:space="0" w:color="auto"/>
              <w:right w:val="nil"/>
            </w:tcBorders>
          </w:tcPr>
          <w:p w14:paraId="2B5ABC9E" w14:textId="77777777" w:rsidR="006258B4" w:rsidRPr="00676BB7" w:rsidRDefault="006258B4" w:rsidP="00536234">
            <w:pPr>
              <w:widowControl w:val="0"/>
              <w:autoSpaceDE w:val="0"/>
              <w:autoSpaceDN w:val="0"/>
              <w:adjustRightInd w:val="0"/>
              <w:spacing w:after="0" w:line="240" w:lineRule="auto"/>
              <w:ind w:left="0"/>
              <w:rPr>
                <w:rFonts w:ascii="Times New Roman" w:hAnsi="Times New Roman" w:cs="Times New Roman"/>
                <w:sz w:val="22"/>
                <w:szCs w:val="24"/>
              </w:rPr>
            </w:pPr>
          </w:p>
        </w:tc>
        <w:tc>
          <w:tcPr>
            <w:tcW w:w="890" w:type="dxa"/>
            <w:tcBorders>
              <w:top w:val="nil"/>
              <w:left w:val="nil"/>
              <w:bottom w:val="single" w:sz="6" w:space="0" w:color="auto"/>
              <w:right w:val="nil"/>
            </w:tcBorders>
          </w:tcPr>
          <w:p w14:paraId="5302BC02"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2"/>
                <w:szCs w:val="24"/>
              </w:rPr>
            </w:pPr>
          </w:p>
        </w:tc>
        <w:tc>
          <w:tcPr>
            <w:tcW w:w="1335" w:type="dxa"/>
            <w:tcBorders>
              <w:top w:val="nil"/>
              <w:left w:val="nil"/>
              <w:bottom w:val="single" w:sz="6" w:space="0" w:color="auto"/>
              <w:right w:val="nil"/>
            </w:tcBorders>
          </w:tcPr>
          <w:p w14:paraId="2AF384ED"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2"/>
                <w:szCs w:val="24"/>
              </w:rPr>
            </w:pPr>
          </w:p>
        </w:tc>
        <w:tc>
          <w:tcPr>
            <w:tcW w:w="1335" w:type="dxa"/>
            <w:tcBorders>
              <w:top w:val="nil"/>
              <w:left w:val="nil"/>
              <w:bottom w:val="single" w:sz="6" w:space="0" w:color="auto"/>
              <w:right w:val="nil"/>
            </w:tcBorders>
          </w:tcPr>
          <w:p w14:paraId="5B3F36A9"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2"/>
                <w:szCs w:val="24"/>
              </w:rPr>
            </w:pPr>
          </w:p>
        </w:tc>
        <w:tc>
          <w:tcPr>
            <w:tcW w:w="1561" w:type="dxa"/>
            <w:tcBorders>
              <w:top w:val="nil"/>
              <w:left w:val="nil"/>
              <w:bottom w:val="single" w:sz="6" w:space="0" w:color="auto"/>
              <w:right w:val="nil"/>
            </w:tcBorders>
          </w:tcPr>
          <w:p w14:paraId="2320E4F0"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2"/>
                <w:szCs w:val="24"/>
              </w:rPr>
            </w:pPr>
          </w:p>
        </w:tc>
        <w:tc>
          <w:tcPr>
            <w:tcW w:w="1335" w:type="dxa"/>
            <w:tcBorders>
              <w:top w:val="nil"/>
              <w:left w:val="nil"/>
              <w:bottom w:val="single" w:sz="6" w:space="0" w:color="auto"/>
              <w:right w:val="nil"/>
            </w:tcBorders>
          </w:tcPr>
          <w:p w14:paraId="3FFB821C" w14:textId="77777777" w:rsidR="006258B4" w:rsidRPr="00676BB7" w:rsidRDefault="006258B4" w:rsidP="00536234">
            <w:pPr>
              <w:widowControl w:val="0"/>
              <w:autoSpaceDE w:val="0"/>
              <w:autoSpaceDN w:val="0"/>
              <w:adjustRightInd w:val="0"/>
              <w:spacing w:after="0" w:line="240" w:lineRule="auto"/>
              <w:ind w:left="0"/>
              <w:jc w:val="center"/>
              <w:rPr>
                <w:rFonts w:ascii="Times New Roman" w:hAnsi="Times New Roman" w:cs="Times New Roman"/>
                <w:sz w:val="22"/>
                <w:szCs w:val="24"/>
              </w:rPr>
            </w:pPr>
          </w:p>
        </w:tc>
      </w:tr>
    </w:tbl>
    <w:p w14:paraId="624B8952" w14:textId="77777777" w:rsidR="006258B4" w:rsidRDefault="006258B4" w:rsidP="00536234">
      <w:pPr>
        <w:spacing w:line="480" w:lineRule="auto"/>
        <w:ind w:left="0"/>
        <w:jc w:val="right"/>
        <w:rPr>
          <w:rFonts w:ascii="Times New Roman" w:hAnsi="Times New Roman" w:cs="Times New Roman"/>
          <w:sz w:val="22"/>
          <w:szCs w:val="26"/>
        </w:rPr>
      </w:pPr>
      <w:r>
        <w:rPr>
          <w:rFonts w:ascii="Times New Roman" w:hAnsi="Times New Roman" w:cs="Times New Roman"/>
          <w:sz w:val="22"/>
          <w:szCs w:val="26"/>
        </w:rPr>
        <w:t>(Source: Stata)</w:t>
      </w:r>
    </w:p>
    <w:p w14:paraId="06DFEE40" w14:textId="4378EF96"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average dividend pay-out ratio of companies designated as part of the treatment group is</w:t>
      </w:r>
      <w:r w:rsidR="008B5812">
        <w:rPr>
          <w:rFonts w:ascii="Times New Roman" w:hAnsi="Times New Roman" w:cs="Times New Roman"/>
          <w:sz w:val="22"/>
          <w:szCs w:val="26"/>
        </w:rPr>
        <w:t xml:space="preserve"> on</w:t>
      </w:r>
      <w:r>
        <w:rPr>
          <w:rFonts w:ascii="Times New Roman" w:hAnsi="Times New Roman" w:cs="Times New Roman"/>
          <w:sz w:val="22"/>
          <w:szCs w:val="26"/>
        </w:rPr>
        <w:t xml:space="preserve"> average higher than that for companies designated to the control group. The difference in dividend pay-out ratio between these two groups is an amount of 4.9 percent. This is a significant difference and supports the possibility of it potentially arising as a result of companies having BBBEE deals in a given year of study. Therefore, this is in line with expectations, together with that of the findings documented in the literature review.</w:t>
      </w:r>
    </w:p>
    <w:p w14:paraId="57C3D076" w14:textId="497A31CA"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It can also be seen that companies that form part of the treatment group vary on other metrics as </w:t>
      </w:r>
      <w:r w:rsidR="00E1097B">
        <w:rPr>
          <w:rFonts w:ascii="Times New Roman" w:hAnsi="Times New Roman" w:cs="Times New Roman"/>
          <w:sz w:val="22"/>
          <w:szCs w:val="26"/>
        </w:rPr>
        <w:t>compared to those</w:t>
      </w:r>
      <w:r>
        <w:rPr>
          <w:rFonts w:ascii="Times New Roman" w:hAnsi="Times New Roman" w:cs="Times New Roman"/>
          <w:sz w:val="22"/>
          <w:szCs w:val="26"/>
        </w:rPr>
        <w:t xml:space="preserve"> companies form</w:t>
      </w:r>
      <w:r w:rsidR="00E1097B">
        <w:rPr>
          <w:rFonts w:ascii="Times New Roman" w:hAnsi="Times New Roman" w:cs="Times New Roman"/>
          <w:sz w:val="22"/>
          <w:szCs w:val="26"/>
        </w:rPr>
        <w:t>ing</w:t>
      </w:r>
      <w:r>
        <w:rPr>
          <w:rFonts w:ascii="Times New Roman" w:hAnsi="Times New Roman" w:cs="Times New Roman"/>
          <w:sz w:val="22"/>
          <w:szCs w:val="26"/>
        </w:rPr>
        <w:t xml:space="preserve"> part of the control group. Treatment group companies seem to </w:t>
      </w:r>
      <w:r>
        <w:rPr>
          <w:rFonts w:ascii="Times New Roman" w:hAnsi="Times New Roman" w:cs="Times New Roman"/>
          <w:sz w:val="22"/>
          <w:szCs w:val="26"/>
        </w:rPr>
        <w:lastRenderedPageBreak/>
        <w:t xml:space="preserve">be larger in size. This is consistent with large companies having the need and the additional resources required to enter into BBBEE deals. </w:t>
      </w:r>
    </w:p>
    <w:p w14:paraId="0E211616" w14:textId="77777777" w:rsidR="006258B4" w:rsidRDefault="006258B4" w:rsidP="00536234">
      <w:pPr>
        <w:spacing w:line="480" w:lineRule="auto"/>
        <w:ind w:left="0"/>
        <w:rPr>
          <w:rStyle w:val="CommentReference"/>
        </w:rPr>
      </w:pPr>
      <w:r>
        <w:rPr>
          <w:rFonts w:ascii="Times New Roman" w:hAnsi="Times New Roman" w:cs="Times New Roman"/>
          <w:sz w:val="22"/>
          <w:szCs w:val="26"/>
        </w:rPr>
        <w:t>With regards to capital structure, it can be seen that companies forming part of the treatment group tend, on average, to be more highly leveraged as compared to those companies in the control group. This could potentially be as a result of the increased level of dividends that will need to be paid out of their existing reserves. This will leave these companies with less internal reserves to be used for the purpose of funding their operations and expansion opportunities. As such, they will need to obtain external sources of funding so as to be able to expand their operations and grow (</w:t>
      </w:r>
      <w:r w:rsidRPr="00714DCB">
        <w:rPr>
          <w:rFonts w:ascii="Times New Roman" w:hAnsi="Times New Roman" w:cs="Times New Roman"/>
          <w:sz w:val="22"/>
          <w:szCs w:val="26"/>
        </w:rPr>
        <w:t>Harris</w:t>
      </w:r>
      <w:r>
        <w:rPr>
          <w:rFonts w:ascii="Times New Roman" w:hAnsi="Times New Roman" w:cs="Times New Roman"/>
          <w:sz w:val="22"/>
          <w:szCs w:val="26"/>
        </w:rPr>
        <w:t xml:space="preserve"> &amp;</w:t>
      </w:r>
      <w:r w:rsidRPr="00714DCB">
        <w:rPr>
          <w:rFonts w:ascii="Times New Roman" w:hAnsi="Times New Roman" w:cs="Times New Roman"/>
          <w:sz w:val="22"/>
          <w:szCs w:val="26"/>
        </w:rPr>
        <w:t xml:space="preserve"> Raviv</w:t>
      </w:r>
      <w:r>
        <w:rPr>
          <w:rFonts w:ascii="Times New Roman" w:hAnsi="Times New Roman" w:cs="Times New Roman"/>
          <w:sz w:val="22"/>
          <w:szCs w:val="26"/>
        </w:rPr>
        <w:t>, 1991)</w:t>
      </w:r>
      <w:r>
        <w:rPr>
          <w:rStyle w:val="CommentReference"/>
        </w:rPr>
        <w:t xml:space="preserve">. </w:t>
      </w:r>
    </w:p>
    <w:p w14:paraId="26590DF4" w14:textId="3A7FB76C"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Furthermore, companies with BEE deals seem to exhibit more growth opportunities. This may also be the reason for their higher debt levels, as they need greater levels of financing to invest in these future projects</w:t>
      </w:r>
      <w:r w:rsidR="00E1097B">
        <w:rPr>
          <w:rFonts w:ascii="Times New Roman" w:hAnsi="Times New Roman" w:cs="Times New Roman"/>
          <w:sz w:val="22"/>
          <w:szCs w:val="26"/>
        </w:rPr>
        <w:t>,</w:t>
      </w:r>
      <w:r>
        <w:rPr>
          <w:rFonts w:ascii="Times New Roman" w:hAnsi="Times New Roman" w:cs="Times New Roman"/>
          <w:sz w:val="22"/>
          <w:szCs w:val="26"/>
        </w:rPr>
        <w:t xml:space="preserve"> and to be able to sustain their growth. The increased growth opportunities of those companies forming part of the treatment group could also be as a result of the benefits provided from the increased BBBEE credentials </w:t>
      </w:r>
      <w:r w:rsidRPr="00B60EBD">
        <w:rPr>
          <w:rFonts w:ascii="Times New Roman" w:hAnsi="Times New Roman" w:cs="Times New Roman"/>
          <w:sz w:val="22"/>
          <w:szCs w:val="26"/>
        </w:rPr>
        <w:t>(Siegel</w:t>
      </w:r>
      <w:r>
        <w:rPr>
          <w:rFonts w:ascii="Times New Roman" w:hAnsi="Times New Roman" w:cs="Times New Roman"/>
          <w:sz w:val="22"/>
          <w:szCs w:val="26"/>
        </w:rPr>
        <w:t xml:space="preserve"> &amp;</w:t>
      </w:r>
      <w:r w:rsidRPr="00B60EBD">
        <w:rPr>
          <w:rFonts w:ascii="Times New Roman" w:hAnsi="Times New Roman" w:cs="Times New Roman"/>
          <w:sz w:val="22"/>
          <w:szCs w:val="26"/>
        </w:rPr>
        <w:t xml:space="preserve"> Vitaliano, 2007</w:t>
      </w:r>
      <w:r>
        <w:rPr>
          <w:rFonts w:ascii="Times New Roman" w:hAnsi="Times New Roman" w:cs="Times New Roman"/>
          <w:sz w:val="22"/>
          <w:szCs w:val="26"/>
        </w:rPr>
        <w:t>; Woolley, 2005</w:t>
      </w:r>
      <w:r w:rsidRPr="00B60EBD">
        <w:rPr>
          <w:rFonts w:ascii="Times New Roman" w:hAnsi="Times New Roman" w:cs="Times New Roman"/>
          <w:sz w:val="22"/>
          <w:szCs w:val="26"/>
        </w:rPr>
        <w:t>)</w:t>
      </w:r>
      <w:r>
        <w:rPr>
          <w:rFonts w:ascii="Times New Roman" w:hAnsi="Times New Roman" w:cs="Times New Roman"/>
          <w:sz w:val="22"/>
          <w:szCs w:val="26"/>
        </w:rPr>
        <w:t>.</w:t>
      </w:r>
    </w:p>
    <w:p w14:paraId="417919D0" w14:textId="69C4E981"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 Looking at the differences in liquidity between those companies designated as being part of the treatment and control group, it can be seen that companies with BBBEE deals tend to, on average, be more liquid than those companies without such a deal in place. The effect of this is that they will be better able to pay dividends as compared to those companies in the control group. This will further support the fact that </w:t>
      </w:r>
      <w:r w:rsidR="00E1097B">
        <w:rPr>
          <w:rFonts w:ascii="Times New Roman" w:hAnsi="Times New Roman" w:cs="Times New Roman"/>
          <w:sz w:val="22"/>
          <w:szCs w:val="26"/>
        </w:rPr>
        <w:t>of</w:t>
      </w:r>
      <w:r>
        <w:rPr>
          <w:rFonts w:ascii="Times New Roman" w:hAnsi="Times New Roman" w:cs="Times New Roman"/>
          <w:sz w:val="22"/>
          <w:szCs w:val="26"/>
        </w:rPr>
        <w:t xml:space="preserve"> dividend pay-out ratio of companies in the treatment group </w:t>
      </w:r>
      <w:r w:rsidR="00E1097B">
        <w:rPr>
          <w:rFonts w:ascii="Times New Roman" w:hAnsi="Times New Roman" w:cs="Times New Roman"/>
          <w:sz w:val="22"/>
          <w:szCs w:val="26"/>
        </w:rPr>
        <w:t>being</w:t>
      </w:r>
      <w:r>
        <w:rPr>
          <w:rFonts w:ascii="Times New Roman" w:hAnsi="Times New Roman" w:cs="Times New Roman"/>
          <w:sz w:val="22"/>
          <w:szCs w:val="26"/>
        </w:rPr>
        <w:t xml:space="preserve"> higher than those of the control group </w:t>
      </w:r>
      <w:r w:rsidRPr="00044006">
        <w:rPr>
          <w:rFonts w:ascii="Times New Roman" w:hAnsi="Times New Roman" w:cs="Times New Roman"/>
          <w:sz w:val="22"/>
          <w:szCs w:val="26"/>
        </w:rPr>
        <w:t>(Intellidex, 2015)</w:t>
      </w:r>
      <w:r>
        <w:rPr>
          <w:rFonts w:ascii="Times New Roman" w:hAnsi="Times New Roman" w:cs="Times New Roman"/>
          <w:sz w:val="22"/>
          <w:szCs w:val="26"/>
        </w:rPr>
        <w:t xml:space="preserve">. </w:t>
      </w:r>
    </w:p>
    <w:p w14:paraId="5DE02809" w14:textId="6E77B0FF"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Moreover, this higher level of liquidity may also be associated with higher levels of profitability for companies designated to the treatment group. This is seen in comparing the return on assets ratio of 12.63 percent for the treatment group to the 12.217 percent seen for the control group. This higher profitability in turn could be linked higher levels of growth opportunities and size which is seen amongst companies in the treatment group (Siegel &amp;</w:t>
      </w:r>
      <w:r w:rsidRPr="00714DCB">
        <w:rPr>
          <w:rFonts w:ascii="Times New Roman" w:hAnsi="Times New Roman" w:cs="Times New Roman"/>
          <w:sz w:val="22"/>
          <w:szCs w:val="26"/>
        </w:rPr>
        <w:t xml:space="preserve"> </w:t>
      </w:r>
      <w:r>
        <w:rPr>
          <w:rFonts w:ascii="Times New Roman" w:hAnsi="Times New Roman" w:cs="Times New Roman"/>
          <w:sz w:val="22"/>
          <w:szCs w:val="26"/>
        </w:rPr>
        <w:t xml:space="preserve">Vitaliano, 2007; Woolley, 2005). This can also, once again, be associated with the more favourable BBBEE credentials possessed by companies in the treatment group. </w:t>
      </w:r>
    </w:p>
    <w:p w14:paraId="7B6CDB8D" w14:textId="53F8DEA8" w:rsidR="006258B4" w:rsidRDefault="006258B4" w:rsidP="00536234">
      <w:pPr>
        <w:spacing w:line="480" w:lineRule="auto"/>
        <w:ind w:left="0"/>
        <w:rPr>
          <w:rFonts w:ascii="Times New Roman" w:hAnsi="Times New Roman" w:cs="Times New Roman"/>
          <w:sz w:val="22"/>
          <w:szCs w:val="26"/>
        </w:rPr>
      </w:pPr>
      <w:r w:rsidRPr="00A36919">
        <w:rPr>
          <w:rFonts w:ascii="Times New Roman" w:hAnsi="Times New Roman" w:cs="Times New Roman"/>
          <w:sz w:val="22"/>
          <w:szCs w:val="26"/>
        </w:rPr>
        <w:lastRenderedPageBreak/>
        <w:t xml:space="preserve">In terms of the JSE sector, better interpretation of this variable can be provided by comparing the percentage number of companies falling </w:t>
      </w:r>
      <w:r w:rsidR="005F30CC">
        <w:rPr>
          <w:rFonts w:ascii="Times New Roman" w:hAnsi="Times New Roman" w:cs="Times New Roman"/>
          <w:sz w:val="22"/>
          <w:szCs w:val="26"/>
        </w:rPr>
        <w:t>into</w:t>
      </w:r>
      <w:r w:rsidRPr="00A36919">
        <w:rPr>
          <w:rFonts w:ascii="Times New Roman" w:hAnsi="Times New Roman" w:cs="Times New Roman"/>
          <w:sz w:val="22"/>
          <w:szCs w:val="26"/>
        </w:rPr>
        <w:t xml:space="preserve"> each particular sector</w:t>
      </w:r>
      <w:r>
        <w:rPr>
          <w:rFonts w:ascii="Times New Roman" w:hAnsi="Times New Roman" w:cs="Times New Roman"/>
          <w:sz w:val="22"/>
          <w:szCs w:val="26"/>
        </w:rPr>
        <w:t xml:space="preserve"> and</w:t>
      </w:r>
      <w:r w:rsidRPr="00A36919">
        <w:rPr>
          <w:rFonts w:ascii="Times New Roman" w:hAnsi="Times New Roman" w:cs="Times New Roman"/>
          <w:sz w:val="22"/>
          <w:szCs w:val="26"/>
        </w:rPr>
        <w:t xml:space="preserve"> </w:t>
      </w:r>
      <w:r w:rsidR="005F30CC">
        <w:rPr>
          <w:rFonts w:ascii="Times New Roman" w:hAnsi="Times New Roman" w:cs="Times New Roman"/>
          <w:sz w:val="22"/>
          <w:szCs w:val="26"/>
        </w:rPr>
        <w:t>forming part of</w:t>
      </w:r>
      <w:r w:rsidRPr="00A36919">
        <w:rPr>
          <w:rFonts w:ascii="Times New Roman" w:hAnsi="Times New Roman" w:cs="Times New Roman"/>
          <w:sz w:val="22"/>
          <w:szCs w:val="26"/>
        </w:rPr>
        <w:t xml:space="preserve"> either the treatment </w:t>
      </w:r>
      <w:r w:rsidR="005F30CC">
        <w:rPr>
          <w:rFonts w:ascii="Times New Roman" w:hAnsi="Times New Roman" w:cs="Times New Roman"/>
          <w:sz w:val="22"/>
          <w:szCs w:val="26"/>
        </w:rPr>
        <w:t>or</w:t>
      </w:r>
      <w:r w:rsidRPr="00A36919">
        <w:rPr>
          <w:rFonts w:ascii="Times New Roman" w:hAnsi="Times New Roman" w:cs="Times New Roman"/>
          <w:sz w:val="22"/>
          <w:szCs w:val="26"/>
        </w:rPr>
        <w:t xml:space="preserve"> control group. Table </w:t>
      </w:r>
      <w:r w:rsidR="00CD3783">
        <w:rPr>
          <w:rFonts w:ascii="Times New Roman" w:hAnsi="Times New Roman" w:cs="Times New Roman"/>
          <w:sz w:val="22"/>
          <w:szCs w:val="26"/>
        </w:rPr>
        <w:t xml:space="preserve">6 </w:t>
      </w:r>
      <w:r w:rsidRPr="00A36919">
        <w:rPr>
          <w:rFonts w:ascii="Times New Roman" w:hAnsi="Times New Roman" w:cs="Times New Roman"/>
          <w:sz w:val="22"/>
          <w:szCs w:val="26"/>
        </w:rPr>
        <w:t>presented below show</w:t>
      </w:r>
      <w:r w:rsidR="005F30CC">
        <w:rPr>
          <w:rFonts w:ascii="Times New Roman" w:hAnsi="Times New Roman" w:cs="Times New Roman"/>
          <w:sz w:val="22"/>
          <w:szCs w:val="26"/>
        </w:rPr>
        <w:t>s</w:t>
      </w:r>
      <w:r w:rsidRPr="00A36919">
        <w:rPr>
          <w:rFonts w:ascii="Times New Roman" w:hAnsi="Times New Roman" w:cs="Times New Roman"/>
          <w:sz w:val="22"/>
          <w:szCs w:val="26"/>
        </w:rPr>
        <w:t xml:space="preserve"> the percentage number of companies in the data set </w:t>
      </w:r>
      <w:r>
        <w:rPr>
          <w:rFonts w:ascii="Times New Roman" w:hAnsi="Times New Roman" w:cs="Times New Roman"/>
          <w:sz w:val="22"/>
          <w:szCs w:val="26"/>
        </w:rPr>
        <w:t>that</w:t>
      </w:r>
      <w:r w:rsidRPr="00A36919">
        <w:rPr>
          <w:rFonts w:ascii="Times New Roman" w:hAnsi="Times New Roman" w:cs="Times New Roman"/>
          <w:sz w:val="22"/>
          <w:szCs w:val="26"/>
        </w:rPr>
        <w:t xml:space="preserve"> fall </w:t>
      </w:r>
      <w:r w:rsidR="005F30CC">
        <w:rPr>
          <w:rFonts w:ascii="Times New Roman" w:hAnsi="Times New Roman" w:cs="Times New Roman"/>
          <w:sz w:val="22"/>
          <w:szCs w:val="26"/>
        </w:rPr>
        <w:t>into</w:t>
      </w:r>
      <w:r w:rsidRPr="00A36919">
        <w:rPr>
          <w:rFonts w:ascii="Times New Roman" w:hAnsi="Times New Roman" w:cs="Times New Roman"/>
          <w:sz w:val="22"/>
          <w:szCs w:val="26"/>
        </w:rPr>
        <w:t xml:space="preserve"> a particular JSE sector</w:t>
      </w:r>
      <w:r>
        <w:rPr>
          <w:rFonts w:ascii="Times New Roman" w:hAnsi="Times New Roman" w:cs="Times New Roman"/>
          <w:sz w:val="22"/>
          <w:szCs w:val="26"/>
        </w:rPr>
        <w:t xml:space="preserve"> and</w:t>
      </w:r>
      <w:r w:rsidRPr="00A36919">
        <w:rPr>
          <w:rFonts w:ascii="Times New Roman" w:hAnsi="Times New Roman" w:cs="Times New Roman"/>
          <w:sz w:val="22"/>
          <w:szCs w:val="26"/>
        </w:rPr>
        <w:t xml:space="preserve"> that have been allocated to the </w:t>
      </w:r>
      <w:r>
        <w:rPr>
          <w:rFonts w:ascii="Times New Roman" w:hAnsi="Times New Roman" w:cs="Times New Roman"/>
          <w:sz w:val="22"/>
          <w:szCs w:val="26"/>
        </w:rPr>
        <w:t>control</w:t>
      </w:r>
      <w:r w:rsidRPr="00A36919">
        <w:rPr>
          <w:rFonts w:ascii="Times New Roman" w:hAnsi="Times New Roman" w:cs="Times New Roman"/>
          <w:sz w:val="22"/>
          <w:szCs w:val="26"/>
        </w:rPr>
        <w:t xml:space="preserve"> group, while table </w:t>
      </w:r>
      <w:r w:rsidR="00CD3783">
        <w:rPr>
          <w:rFonts w:ascii="Times New Roman" w:hAnsi="Times New Roman" w:cs="Times New Roman"/>
          <w:sz w:val="22"/>
          <w:szCs w:val="26"/>
        </w:rPr>
        <w:t>7</w:t>
      </w:r>
      <w:r w:rsidRPr="00A36919">
        <w:rPr>
          <w:rFonts w:ascii="Times New Roman" w:hAnsi="Times New Roman" w:cs="Times New Roman"/>
          <w:sz w:val="22"/>
          <w:szCs w:val="26"/>
        </w:rPr>
        <w:t xml:space="preserve"> will do the same for</w:t>
      </w:r>
      <w:r>
        <w:rPr>
          <w:rFonts w:ascii="Times New Roman" w:hAnsi="Times New Roman" w:cs="Times New Roman"/>
          <w:sz w:val="22"/>
          <w:szCs w:val="26"/>
        </w:rPr>
        <w:t xml:space="preserve"> JSE sector companies</w:t>
      </w:r>
      <w:r w:rsidRPr="00A36919">
        <w:rPr>
          <w:rFonts w:ascii="Times New Roman" w:hAnsi="Times New Roman" w:cs="Times New Roman"/>
          <w:sz w:val="22"/>
          <w:szCs w:val="26"/>
        </w:rPr>
        <w:t xml:space="preserve"> forming part of the </w:t>
      </w:r>
      <w:r>
        <w:rPr>
          <w:rFonts w:ascii="Times New Roman" w:hAnsi="Times New Roman" w:cs="Times New Roman"/>
          <w:sz w:val="22"/>
          <w:szCs w:val="26"/>
        </w:rPr>
        <w:t>treatment</w:t>
      </w:r>
      <w:r w:rsidRPr="00A36919">
        <w:rPr>
          <w:rFonts w:ascii="Times New Roman" w:hAnsi="Times New Roman" w:cs="Times New Roman"/>
          <w:sz w:val="22"/>
          <w:szCs w:val="26"/>
        </w:rPr>
        <w:t xml:space="preserve"> group:</w:t>
      </w:r>
    </w:p>
    <w:p w14:paraId="1A2F9AD9" w14:textId="0D82A6E1" w:rsidR="006258B4" w:rsidRDefault="006258B4" w:rsidP="00536234">
      <w:pPr>
        <w:spacing w:line="480" w:lineRule="auto"/>
        <w:ind w:left="0"/>
        <w:rPr>
          <w:rFonts w:ascii="Times New Roman" w:hAnsi="Times New Roman" w:cs="Times New Roman"/>
          <w:sz w:val="22"/>
          <w:szCs w:val="26"/>
        </w:rPr>
      </w:pPr>
      <w:r w:rsidRPr="00B60EBD">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6</w:t>
      </w:r>
      <w:r w:rsidRPr="00B60EBD">
        <w:rPr>
          <w:rFonts w:ascii="Times New Roman" w:hAnsi="Times New Roman" w:cs="Times New Roman"/>
          <w:b/>
          <w:sz w:val="22"/>
          <w:szCs w:val="26"/>
          <w:u w:val="single"/>
        </w:rPr>
        <w:t>-</w:t>
      </w:r>
      <w:r>
        <w:rPr>
          <w:rFonts w:ascii="Times New Roman" w:hAnsi="Times New Roman" w:cs="Times New Roman"/>
          <w:b/>
          <w:sz w:val="22"/>
          <w:szCs w:val="26"/>
          <w:u w:val="single"/>
        </w:rPr>
        <w:t>P</w:t>
      </w:r>
      <w:r w:rsidR="00D62DF2">
        <w:rPr>
          <w:rFonts w:ascii="Times New Roman" w:hAnsi="Times New Roman" w:cs="Times New Roman"/>
          <w:b/>
          <w:sz w:val="22"/>
          <w:szCs w:val="26"/>
          <w:u w:val="single"/>
        </w:rPr>
        <w:t>ercentage JSE Sector Companies F</w:t>
      </w:r>
      <w:r>
        <w:rPr>
          <w:rFonts w:ascii="Times New Roman" w:hAnsi="Times New Roman" w:cs="Times New Roman"/>
          <w:b/>
          <w:sz w:val="22"/>
          <w:szCs w:val="26"/>
          <w:u w:val="single"/>
        </w:rPr>
        <w:t xml:space="preserve">orming </w:t>
      </w:r>
      <w:r w:rsidR="00D62DF2">
        <w:rPr>
          <w:rFonts w:ascii="Times New Roman" w:hAnsi="Times New Roman" w:cs="Times New Roman"/>
          <w:b/>
          <w:sz w:val="22"/>
          <w:szCs w:val="26"/>
          <w:u w:val="single"/>
        </w:rPr>
        <w:t>P</w:t>
      </w:r>
      <w:r>
        <w:rPr>
          <w:rFonts w:ascii="Times New Roman" w:hAnsi="Times New Roman" w:cs="Times New Roman"/>
          <w:b/>
          <w:sz w:val="22"/>
          <w:szCs w:val="26"/>
          <w:u w:val="single"/>
        </w:rPr>
        <w:t>art of the Control Group:</w:t>
      </w:r>
      <w:r w:rsidRPr="00AC4DE7">
        <w:rPr>
          <w:rFonts w:ascii="Times New Roman" w:hAnsi="Times New Roman" w:cs="Times New Roman"/>
          <w:b/>
          <w:sz w:val="22"/>
          <w:szCs w:val="26"/>
          <w:u w:val="single"/>
        </w:rPr>
        <w:t>-</w:t>
      </w:r>
    </w:p>
    <w:tbl>
      <w:tblPr>
        <w:tblW w:w="9098" w:type="dxa"/>
        <w:jc w:val="center"/>
        <w:tblLayout w:type="fixed"/>
        <w:tblLook w:val="04A0" w:firstRow="1" w:lastRow="0" w:firstColumn="1" w:lastColumn="0" w:noHBand="0" w:noVBand="1"/>
      </w:tblPr>
      <w:tblGrid>
        <w:gridCol w:w="2145"/>
        <w:gridCol w:w="822"/>
        <w:gridCol w:w="860"/>
        <w:gridCol w:w="860"/>
        <w:gridCol w:w="860"/>
        <w:gridCol w:w="860"/>
        <w:gridCol w:w="860"/>
        <w:gridCol w:w="964"/>
        <w:gridCol w:w="860"/>
        <w:gridCol w:w="7"/>
      </w:tblGrid>
      <w:tr w:rsidR="006258B4" w:rsidRPr="004B4C1C" w14:paraId="59340539" w14:textId="77777777" w:rsidTr="008463F8">
        <w:trPr>
          <w:trHeight w:val="117"/>
          <w:jc w:val="center"/>
        </w:trPr>
        <w:tc>
          <w:tcPr>
            <w:tcW w:w="2145" w:type="dxa"/>
            <w:tcBorders>
              <w:top w:val="nil"/>
              <w:left w:val="nil"/>
              <w:bottom w:val="nil"/>
              <w:right w:val="nil"/>
            </w:tcBorders>
            <w:shd w:val="clear" w:color="auto" w:fill="auto"/>
            <w:noWrap/>
            <w:vAlign w:val="bottom"/>
            <w:hideMark/>
          </w:tcPr>
          <w:p w14:paraId="2F543C97" w14:textId="77777777" w:rsidR="006258B4" w:rsidRPr="004B4C1C" w:rsidRDefault="006258B4" w:rsidP="00536234">
            <w:pPr>
              <w:spacing w:after="160" w:line="259" w:lineRule="auto"/>
              <w:ind w:left="0" w:firstLine="0"/>
              <w:jc w:val="left"/>
              <w:rPr>
                <w:rFonts w:ascii="Times New Roman" w:eastAsia="Times New Roman" w:hAnsi="Times New Roman" w:cs="Times New Roman"/>
                <w:color w:val="auto"/>
                <w:sz w:val="20"/>
                <w:szCs w:val="20"/>
              </w:rPr>
            </w:pPr>
          </w:p>
        </w:tc>
        <w:tc>
          <w:tcPr>
            <w:tcW w:w="6953" w:type="dxa"/>
            <w:gridSpan w:val="9"/>
            <w:tcBorders>
              <w:top w:val="single" w:sz="8" w:space="0" w:color="auto"/>
              <w:left w:val="single" w:sz="8" w:space="0" w:color="auto"/>
              <w:bottom w:val="single" w:sz="8" w:space="0" w:color="auto"/>
              <w:right w:val="single" w:sz="8" w:space="0" w:color="000000"/>
            </w:tcBorders>
            <w:shd w:val="clear" w:color="000000" w:fill="BDD6EE"/>
            <w:vAlign w:val="center"/>
            <w:hideMark/>
          </w:tcPr>
          <w:p w14:paraId="4DA54AD1"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JSE Sector</w:t>
            </w:r>
          </w:p>
        </w:tc>
      </w:tr>
      <w:tr w:rsidR="006258B4" w:rsidRPr="004B4C1C" w14:paraId="2F905987" w14:textId="77777777" w:rsidTr="008463F8">
        <w:trPr>
          <w:gridAfter w:val="1"/>
          <w:wAfter w:w="7" w:type="dxa"/>
          <w:trHeight w:val="117"/>
          <w:jc w:val="center"/>
        </w:trPr>
        <w:tc>
          <w:tcPr>
            <w:tcW w:w="2145" w:type="dxa"/>
            <w:tcBorders>
              <w:top w:val="nil"/>
              <w:left w:val="nil"/>
              <w:bottom w:val="nil"/>
              <w:right w:val="nil"/>
            </w:tcBorders>
            <w:shd w:val="clear" w:color="auto" w:fill="auto"/>
            <w:vAlign w:val="center"/>
            <w:hideMark/>
          </w:tcPr>
          <w:p w14:paraId="3BB9389E"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p>
        </w:tc>
        <w:tc>
          <w:tcPr>
            <w:tcW w:w="822" w:type="dxa"/>
            <w:tcBorders>
              <w:top w:val="nil"/>
              <w:left w:val="single" w:sz="8" w:space="0" w:color="auto"/>
              <w:bottom w:val="single" w:sz="8" w:space="0" w:color="auto"/>
              <w:right w:val="single" w:sz="8" w:space="0" w:color="auto"/>
            </w:tcBorders>
            <w:shd w:val="clear" w:color="auto" w:fill="auto"/>
            <w:vAlign w:val="center"/>
            <w:hideMark/>
          </w:tcPr>
          <w:p w14:paraId="4BBDE83A"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w:t>
            </w:r>
          </w:p>
        </w:tc>
        <w:tc>
          <w:tcPr>
            <w:tcW w:w="860" w:type="dxa"/>
            <w:tcBorders>
              <w:top w:val="nil"/>
              <w:left w:val="nil"/>
              <w:bottom w:val="single" w:sz="8" w:space="0" w:color="auto"/>
              <w:right w:val="single" w:sz="8" w:space="0" w:color="auto"/>
            </w:tcBorders>
            <w:shd w:val="clear" w:color="auto" w:fill="auto"/>
            <w:vAlign w:val="center"/>
            <w:hideMark/>
          </w:tcPr>
          <w:p w14:paraId="4F82E950"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w:t>
            </w:r>
          </w:p>
        </w:tc>
        <w:tc>
          <w:tcPr>
            <w:tcW w:w="860" w:type="dxa"/>
            <w:tcBorders>
              <w:top w:val="nil"/>
              <w:left w:val="nil"/>
              <w:bottom w:val="single" w:sz="8" w:space="0" w:color="auto"/>
              <w:right w:val="single" w:sz="8" w:space="0" w:color="auto"/>
            </w:tcBorders>
            <w:shd w:val="clear" w:color="auto" w:fill="auto"/>
            <w:vAlign w:val="center"/>
            <w:hideMark/>
          </w:tcPr>
          <w:p w14:paraId="6C3D7FA5"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w:t>
            </w:r>
          </w:p>
        </w:tc>
        <w:tc>
          <w:tcPr>
            <w:tcW w:w="860" w:type="dxa"/>
            <w:tcBorders>
              <w:top w:val="nil"/>
              <w:left w:val="nil"/>
              <w:bottom w:val="single" w:sz="8" w:space="0" w:color="auto"/>
              <w:right w:val="single" w:sz="8" w:space="0" w:color="auto"/>
            </w:tcBorders>
            <w:shd w:val="clear" w:color="auto" w:fill="auto"/>
            <w:vAlign w:val="center"/>
            <w:hideMark/>
          </w:tcPr>
          <w:p w14:paraId="0E56D820"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4</w:t>
            </w:r>
          </w:p>
        </w:tc>
        <w:tc>
          <w:tcPr>
            <w:tcW w:w="860" w:type="dxa"/>
            <w:tcBorders>
              <w:top w:val="nil"/>
              <w:left w:val="nil"/>
              <w:bottom w:val="single" w:sz="8" w:space="0" w:color="auto"/>
              <w:right w:val="single" w:sz="8" w:space="0" w:color="auto"/>
            </w:tcBorders>
            <w:shd w:val="clear" w:color="auto" w:fill="auto"/>
            <w:vAlign w:val="center"/>
            <w:hideMark/>
          </w:tcPr>
          <w:p w14:paraId="34AE0EC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5</w:t>
            </w:r>
          </w:p>
        </w:tc>
        <w:tc>
          <w:tcPr>
            <w:tcW w:w="860" w:type="dxa"/>
            <w:tcBorders>
              <w:top w:val="nil"/>
              <w:left w:val="nil"/>
              <w:bottom w:val="single" w:sz="8" w:space="0" w:color="auto"/>
              <w:right w:val="single" w:sz="8" w:space="0" w:color="auto"/>
            </w:tcBorders>
            <w:shd w:val="clear" w:color="auto" w:fill="auto"/>
            <w:vAlign w:val="center"/>
            <w:hideMark/>
          </w:tcPr>
          <w:p w14:paraId="1479C941"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6</w:t>
            </w:r>
          </w:p>
        </w:tc>
        <w:tc>
          <w:tcPr>
            <w:tcW w:w="964" w:type="dxa"/>
            <w:tcBorders>
              <w:top w:val="nil"/>
              <w:left w:val="nil"/>
              <w:bottom w:val="single" w:sz="8" w:space="0" w:color="auto"/>
              <w:right w:val="single" w:sz="8" w:space="0" w:color="auto"/>
            </w:tcBorders>
            <w:shd w:val="clear" w:color="auto" w:fill="auto"/>
            <w:vAlign w:val="center"/>
            <w:hideMark/>
          </w:tcPr>
          <w:p w14:paraId="1F2A77BD"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7</w:t>
            </w:r>
          </w:p>
        </w:tc>
        <w:tc>
          <w:tcPr>
            <w:tcW w:w="860" w:type="dxa"/>
            <w:tcBorders>
              <w:top w:val="nil"/>
              <w:left w:val="nil"/>
              <w:bottom w:val="single" w:sz="8" w:space="0" w:color="auto"/>
              <w:right w:val="single" w:sz="8" w:space="0" w:color="auto"/>
            </w:tcBorders>
            <w:shd w:val="clear" w:color="auto" w:fill="auto"/>
            <w:vAlign w:val="center"/>
            <w:hideMark/>
          </w:tcPr>
          <w:p w14:paraId="3B405F2F"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8</w:t>
            </w:r>
          </w:p>
        </w:tc>
      </w:tr>
      <w:tr w:rsidR="006258B4" w:rsidRPr="004B4C1C" w14:paraId="1132D53F" w14:textId="77777777" w:rsidTr="008463F8">
        <w:trPr>
          <w:gridAfter w:val="1"/>
          <w:wAfter w:w="7" w:type="dxa"/>
          <w:trHeight w:val="443"/>
          <w:jc w:val="center"/>
        </w:trPr>
        <w:tc>
          <w:tcPr>
            <w:tcW w:w="214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FC76682"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Percentage Companies with</w:t>
            </w:r>
            <w:r w:rsidR="00CA0B89">
              <w:rPr>
                <w:rFonts w:ascii="Times New Roman" w:eastAsia="Times New Roman" w:hAnsi="Times New Roman" w:cs="Times New Roman"/>
                <w:sz w:val="22"/>
              </w:rPr>
              <w:t>out a</w:t>
            </w:r>
            <w:r w:rsidRPr="004B4C1C">
              <w:rPr>
                <w:rFonts w:ascii="Times New Roman" w:eastAsia="Times New Roman" w:hAnsi="Times New Roman" w:cs="Times New Roman"/>
                <w:sz w:val="22"/>
              </w:rPr>
              <w:t xml:space="preserve"> BBBEE Deal in Place</w:t>
            </w:r>
          </w:p>
        </w:tc>
        <w:tc>
          <w:tcPr>
            <w:tcW w:w="822" w:type="dxa"/>
            <w:tcBorders>
              <w:top w:val="nil"/>
              <w:left w:val="nil"/>
              <w:bottom w:val="single" w:sz="8" w:space="0" w:color="auto"/>
              <w:right w:val="single" w:sz="8" w:space="0" w:color="auto"/>
            </w:tcBorders>
            <w:shd w:val="clear" w:color="auto" w:fill="auto"/>
            <w:vAlign w:val="center"/>
            <w:hideMark/>
          </w:tcPr>
          <w:p w14:paraId="2FB47A98"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53.85%</w:t>
            </w:r>
          </w:p>
        </w:tc>
        <w:tc>
          <w:tcPr>
            <w:tcW w:w="860" w:type="dxa"/>
            <w:tcBorders>
              <w:top w:val="nil"/>
              <w:left w:val="nil"/>
              <w:bottom w:val="single" w:sz="8" w:space="0" w:color="auto"/>
              <w:right w:val="single" w:sz="8" w:space="0" w:color="auto"/>
            </w:tcBorders>
            <w:shd w:val="clear" w:color="auto" w:fill="auto"/>
            <w:vAlign w:val="center"/>
            <w:hideMark/>
          </w:tcPr>
          <w:p w14:paraId="39CFEC3D"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65.00%</w:t>
            </w:r>
          </w:p>
        </w:tc>
        <w:tc>
          <w:tcPr>
            <w:tcW w:w="860" w:type="dxa"/>
            <w:tcBorders>
              <w:top w:val="nil"/>
              <w:left w:val="nil"/>
              <w:bottom w:val="single" w:sz="8" w:space="0" w:color="auto"/>
              <w:right w:val="single" w:sz="8" w:space="0" w:color="auto"/>
            </w:tcBorders>
            <w:shd w:val="clear" w:color="auto" w:fill="auto"/>
            <w:vAlign w:val="center"/>
            <w:hideMark/>
          </w:tcPr>
          <w:p w14:paraId="78A6C3E3"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87.23%</w:t>
            </w:r>
          </w:p>
        </w:tc>
        <w:tc>
          <w:tcPr>
            <w:tcW w:w="860" w:type="dxa"/>
            <w:tcBorders>
              <w:top w:val="nil"/>
              <w:left w:val="nil"/>
              <w:bottom w:val="single" w:sz="8" w:space="0" w:color="auto"/>
              <w:right w:val="single" w:sz="8" w:space="0" w:color="auto"/>
            </w:tcBorders>
            <w:shd w:val="clear" w:color="auto" w:fill="auto"/>
            <w:vAlign w:val="center"/>
            <w:hideMark/>
          </w:tcPr>
          <w:p w14:paraId="30B5D29A"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90.00%</w:t>
            </w:r>
          </w:p>
        </w:tc>
        <w:tc>
          <w:tcPr>
            <w:tcW w:w="860" w:type="dxa"/>
            <w:tcBorders>
              <w:top w:val="nil"/>
              <w:left w:val="nil"/>
              <w:bottom w:val="single" w:sz="8" w:space="0" w:color="auto"/>
              <w:right w:val="single" w:sz="8" w:space="0" w:color="auto"/>
            </w:tcBorders>
            <w:shd w:val="clear" w:color="auto" w:fill="auto"/>
            <w:vAlign w:val="center"/>
            <w:hideMark/>
          </w:tcPr>
          <w:p w14:paraId="4A5D309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64.00%</w:t>
            </w:r>
          </w:p>
        </w:tc>
        <w:tc>
          <w:tcPr>
            <w:tcW w:w="860" w:type="dxa"/>
            <w:tcBorders>
              <w:top w:val="nil"/>
              <w:left w:val="nil"/>
              <w:bottom w:val="single" w:sz="8" w:space="0" w:color="auto"/>
              <w:right w:val="single" w:sz="8" w:space="0" w:color="auto"/>
            </w:tcBorders>
            <w:shd w:val="clear" w:color="auto" w:fill="auto"/>
            <w:vAlign w:val="center"/>
            <w:hideMark/>
          </w:tcPr>
          <w:p w14:paraId="741DF81B"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89.43%</w:t>
            </w:r>
          </w:p>
        </w:tc>
        <w:tc>
          <w:tcPr>
            <w:tcW w:w="964" w:type="dxa"/>
            <w:tcBorders>
              <w:top w:val="nil"/>
              <w:left w:val="nil"/>
              <w:bottom w:val="single" w:sz="8" w:space="0" w:color="auto"/>
              <w:right w:val="single" w:sz="8" w:space="0" w:color="auto"/>
            </w:tcBorders>
            <w:shd w:val="clear" w:color="auto" w:fill="auto"/>
            <w:vAlign w:val="center"/>
            <w:hideMark/>
          </w:tcPr>
          <w:p w14:paraId="3CC40930"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100.00%</w:t>
            </w:r>
          </w:p>
        </w:tc>
        <w:tc>
          <w:tcPr>
            <w:tcW w:w="860" w:type="dxa"/>
            <w:tcBorders>
              <w:top w:val="nil"/>
              <w:left w:val="nil"/>
              <w:bottom w:val="single" w:sz="8" w:space="0" w:color="auto"/>
              <w:right w:val="single" w:sz="8" w:space="0" w:color="auto"/>
            </w:tcBorders>
            <w:shd w:val="clear" w:color="auto" w:fill="auto"/>
            <w:vAlign w:val="center"/>
            <w:hideMark/>
          </w:tcPr>
          <w:p w14:paraId="47A14723"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71.43%</w:t>
            </w:r>
          </w:p>
        </w:tc>
      </w:tr>
    </w:tbl>
    <w:p w14:paraId="662B88F5" w14:textId="77777777" w:rsidR="006258B4" w:rsidRDefault="004949C3" w:rsidP="00536234">
      <w:pPr>
        <w:spacing w:line="480" w:lineRule="auto"/>
        <w:ind w:left="0"/>
        <w:jc w:val="right"/>
        <w:rPr>
          <w:rFonts w:ascii="Times New Roman" w:hAnsi="Times New Roman" w:cs="Times New Roman"/>
          <w:sz w:val="22"/>
          <w:szCs w:val="26"/>
        </w:rPr>
      </w:pPr>
      <w:r w:rsidRPr="004949C3">
        <w:rPr>
          <w:rFonts w:ascii="Times New Roman" w:hAnsi="Times New Roman" w:cs="Times New Roman"/>
          <w:sz w:val="22"/>
          <w:szCs w:val="26"/>
        </w:rPr>
        <w:t>(Source: Stata)</w:t>
      </w:r>
    </w:p>
    <w:p w14:paraId="2F320C40" w14:textId="6848C307" w:rsidR="006258B4" w:rsidRDefault="006E1FC1" w:rsidP="00536234">
      <w:pPr>
        <w:spacing w:line="480" w:lineRule="auto"/>
        <w:ind w:left="0"/>
        <w:rPr>
          <w:rFonts w:ascii="Times New Roman" w:hAnsi="Times New Roman" w:cs="Times New Roman"/>
          <w:sz w:val="22"/>
          <w:szCs w:val="26"/>
        </w:rPr>
      </w:pPr>
      <w:r>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7</w:t>
      </w:r>
      <w:r w:rsidR="006258B4" w:rsidRPr="00B60EBD">
        <w:rPr>
          <w:rFonts w:ascii="Times New Roman" w:hAnsi="Times New Roman" w:cs="Times New Roman"/>
          <w:b/>
          <w:sz w:val="22"/>
          <w:szCs w:val="26"/>
          <w:u w:val="single"/>
        </w:rPr>
        <w:t>-</w:t>
      </w:r>
      <w:r w:rsidR="006258B4">
        <w:rPr>
          <w:rFonts w:ascii="Times New Roman" w:hAnsi="Times New Roman" w:cs="Times New Roman"/>
          <w:b/>
          <w:sz w:val="22"/>
          <w:szCs w:val="26"/>
          <w:u w:val="single"/>
        </w:rPr>
        <w:t xml:space="preserve">Percentage JSE Sector Companies </w:t>
      </w:r>
      <w:r w:rsidR="00D62DF2">
        <w:rPr>
          <w:rFonts w:ascii="Times New Roman" w:hAnsi="Times New Roman" w:cs="Times New Roman"/>
          <w:b/>
          <w:sz w:val="22"/>
          <w:szCs w:val="26"/>
          <w:u w:val="single"/>
        </w:rPr>
        <w:t>Forming P</w:t>
      </w:r>
      <w:r w:rsidR="006258B4">
        <w:rPr>
          <w:rFonts w:ascii="Times New Roman" w:hAnsi="Times New Roman" w:cs="Times New Roman"/>
          <w:b/>
          <w:sz w:val="22"/>
          <w:szCs w:val="26"/>
          <w:u w:val="single"/>
        </w:rPr>
        <w:t>art of the Treatment Group:</w:t>
      </w:r>
      <w:r w:rsidR="006258B4" w:rsidRPr="00AC4DE7">
        <w:rPr>
          <w:rFonts w:ascii="Times New Roman" w:hAnsi="Times New Roman" w:cs="Times New Roman"/>
          <w:b/>
          <w:sz w:val="22"/>
          <w:szCs w:val="26"/>
          <w:u w:val="single"/>
        </w:rPr>
        <w:t>-</w:t>
      </w:r>
    </w:p>
    <w:tbl>
      <w:tblPr>
        <w:tblW w:w="9098" w:type="dxa"/>
        <w:jc w:val="center"/>
        <w:tblLayout w:type="fixed"/>
        <w:tblLook w:val="04A0" w:firstRow="1" w:lastRow="0" w:firstColumn="1" w:lastColumn="0" w:noHBand="0" w:noVBand="1"/>
      </w:tblPr>
      <w:tblGrid>
        <w:gridCol w:w="2145"/>
        <w:gridCol w:w="822"/>
        <w:gridCol w:w="860"/>
        <w:gridCol w:w="860"/>
        <w:gridCol w:w="860"/>
        <w:gridCol w:w="860"/>
        <w:gridCol w:w="860"/>
        <w:gridCol w:w="964"/>
        <w:gridCol w:w="860"/>
        <w:gridCol w:w="7"/>
      </w:tblGrid>
      <w:tr w:rsidR="006258B4" w:rsidRPr="004B4C1C" w14:paraId="5CCCFC55" w14:textId="77777777" w:rsidTr="008463F8">
        <w:trPr>
          <w:trHeight w:val="117"/>
          <w:jc w:val="center"/>
        </w:trPr>
        <w:tc>
          <w:tcPr>
            <w:tcW w:w="2145" w:type="dxa"/>
            <w:tcBorders>
              <w:top w:val="nil"/>
              <w:left w:val="nil"/>
              <w:bottom w:val="nil"/>
              <w:right w:val="nil"/>
            </w:tcBorders>
            <w:shd w:val="clear" w:color="auto" w:fill="auto"/>
            <w:noWrap/>
            <w:vAlign w:val="bottom"/>
            <w:hideMark/>
          </w:tcPr>
          <w:p w14:paraId="2E0CC6A6" w14:textId="77777777" w:rsidR="006258B4" w:rsidRPr="004B4C1C" w:rsidRDefault="006258B4" w:rsidP="00536234">
            <w:pPr>
              <w:spacing w:after="0" w:line="240" w:lineRule="auto"/>
              <w:ind w:left="0" w:firstLine="0"/>
              <w:jc w:val="left"/>
              <w:rPr>
                <w:rFonts w:ascii="Times New Roman" w:eastAsia="Times New Roman" w:hAnsi="Times New Roman" w:cs="Times New Roman"/>
                <w:color w:val="auto"/>
                <w:sz w:val="20"/>
                <w:szCs w:val="24"/>
              </w:rPr>
            </w:pPr>
            <w:r>
              <w:rPr>
                <w:rFonts w:ascii="Times New Roman" w:eastAsia="Times New Roman" w:hAnsi="Times New Roman" w:cs="Times New Roman"/>
                <w:color w:val="auto"/>
                <w:sz w:val="20"/>
                <w:szCs w:val="24"/>
              </w:rPr>
              <w:t xml:space="preserve">  </w:t>
            </w:r>
          </w:p>
        </w:tc>
        <w:tc>
          <w:tcPr>
            <w:tcW w:w="6953" w:type="dxa"/>
            <w:gridSpan w:val="9"/>
            <w:tcBorders>
              <w:top w:val="single" w:sz="8" w:space="0" w:color="auto"/>
              <w:left w:val="single" w:sz="8" w:space="0" w:color="auto"/>
              <w:bottom w:val="single" w:sz="8" w:space="0" w:color="auto"/>
              <w:right w:val="single" w:sz="8" w:space="0" w:color="000000"/>
            </w:tcBorders>
            <w:shd w:val="clear" w:color="000000" w:fill="BDD6EE"/>
            <w:vAlign w:val="center"/>
            <w:hideMark/>
          </w:tcPr>
          <w:p w14:paraId="3B2D8826"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JSE Sector</w:t>
            </w:r>
          </w:p>
        </w:tc>
      </w:tr>
      <w:tr w:rsidR="006258B4" w:rsidRPr="004B4C1C" w14:paraId="58380D2B" w14:textId="77777777" w:rsidTr="008463F8">
        <w:trPr>
          <w:gridAfter w:val="1"/>
          <w:wAfter w:w="7" w:type="dxa"/>
          <w:trHeight w:val="117"/>
          <w:jc w:val="center"/>
        </w:trPr>
        <w:tc>
          <w:tcPr>
            <w:tcW w:w="2145" w:type="dxa"/>
            <w:tcBorders>
              <w:top w:val="nil"/>
              <w:left w:val="nil"/>
              <w:bottom w:val="nil"/>
              <w:right w:val="nil"/>
            </w:tcBorders>
            <w:shd w:val="clear" w:color="auto" w:fill="auto"/>
            <w:vAlign w:val="center"/>
            <w:hideMark/>
          </w:tcPr>
          <w:p w14:paraId="3EF9439D"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p>
        </w:tc>
        <w:tc>
          <w:tcPr>
            <w:tcW w:w="822" w:type="dxa"/>
            <w:tcBorders>
              <w:top w:val="nil"/>
              <w:left w:val="single" w:sz="8" w:space="0" w:color="auto"/>
              <w:bottom w:val="single" w:sz="8" w:space="0" w:color="auto"/>
              <w:right w:val="single" w:sz="8" w:space="0" w:color="auto"/>
            </w:tcBorders>
            <w:shd w:val="clear" w:color="auto" w:fill="auto"/>
            <w:vAlign w:val="center"/>
            <w:hideMark/>
          </w:tcPr>
          <w:p w14:paraId="7BA3A5BD"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w:t>
            </w:r>
          </w:p>
        </w:tc>
        <w:tc>
          <w:tcPr>
            <w:tcW w:w="860" w:type="dxa"/>
            <w:tcBorders>
              <w:top w:val="nil"/>
              <w:left w:val="nil"/>
              <w:bottom w:val="single" w:sz="8" w:space="0" w:color="auto"/>
              <w:right w:val="single" w:sz="8" w:space="0" w:color="auto"/>
            </w:tcBorders>
            <w:shd w:val="clear" w:color="auto" w:fill="auto"/>
            <w:vAlign w:val="center"/>
            <w:hideMark/>
          </w:tcPr>
          <w:p w14:paraId="501A3D58"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w:t>
            </w:r>
          </w:p>
        </w:tc>
        <w:tc>
          <w:tcPr>
            <w:tcW w:w="860" w:type="dxa"/>
            <w:tcBorders>
              <w:top w:val="nil"/>
              <w:left w:val="nil"/>
              <w:bottom w:val="single" w:sz="8" w:space="0" w:color="auto"/>
              <w:right w:val="single" w:sz="8" w:space="0" w:color="auto"/>
            </w:tcBorders>
            <w:shd w:val="clear" w:color="auto" w:fill="auto"/>
            <w:vAlign w:val="center"/>
            <w:hideMark/>
          </w:tcPr>
          <w:p w14:paraId="19B03236"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w:t>
            </w:r>
          </w:p>
        </w:tc>
        <w:tc>
          <w:tcPr>
            <w:tcW w:w="860" w:type="dxa"/>
            <w:tcBorders>
              <w:top w:val="nil"/>
              <w:left w:val="nil"/>
              <w:bottom w:val="single" w:sz="8" w:space="0" w:color="auto"/>
              <w:right w:val="single" w:sz="8" w:space="0" w:color="auto"/>
            </w:tcBorders>
            <w:shd w:val="clear" w:color="auto" w:fill="auto"/>
            <w:vAlign w:val="center"/>
            <w:hideMark/>
          </w:tcPr>
          <w:p w14:paraId="178301E9"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4</w:t>
            </w:r>
          </w:p>
        </w:tc>
        <w:tc>
          <w:tcPr>
            <w:tcW w:w="860" w:type="dxa"/>
            <w:tcBorders>
              <w:top w:val="nil"/>
              <w:left w:val="nil"/>
              <w:bottom w:val="single" w:sz="8" w:space="0" w:color="auto"/>
              <w:right w:val="single" w:sz="8" w:space="0" w:color="auto"/>
            </w:tcBorders>
            <w:shd w:val="clear" w:color="auto" w:fill="auto"/>
            <w:vAlign w:val="center"/>
            <w:hideMark/>
          </w:tcPr>
          <w:p w14:paraId="17ECF54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5</w:t>
            </w:r>
          </w:p>
        </w:tc>
        <w:tc>
          <w:tcPr>
            <w:tcW w:w="860" w:type="dxa"/>
            <w:tcBorders>
              <w:top w:val="nil"/>
              <w:left w:val="nil"/>
              <w:bottom w:val="single" w:sz="8" w:space="0" w:color="auto"/>
              <w:right w:val="single" w:sz="8" w:space="0" w:color="auto"/>
            </w:tcBorders>
            <w:shd w:val="clear" w:color="auto" w:fill="auto"/>
            <w:vAlign w:val="center"/>
            <w:hideMark/>
          </w:tcPr>
          <w:p w14:paraId="788A7005"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6</w:t>
            </w:r>
          </w:p>
        </w:tc>
        <w:tc>
          <w:tcPr>
            <w:tcW w:w="964" w:type="dxa"/>
            <w:tcBorders>
              <w:top w:val="nil"/>
              <w:left w:val="nil"/>
              <w:bottom w:val="single" w:sz="8" w:space="0" w:color="auto"/>
              <w:right w:val="single" w:sz="8" w:space="0" w:color="auto"/>
            </w:tcBorders>
            <w:shd w:val="clear" w:color="auto" w:fill="auto"/>
            <w:vAlign w:val="center"/>
            <w:hideMark/>
          </w:tcPr>
          <w:p w14:paraId="71F857BD"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7</w:t>
            </w:r>
          </w:p>
        </w:tc>
        <w:tc>
          <w:tcPr>
            <w:tcW w:w="860" w:type="dxa"/>
            <w:tcBorders>
              <w:top w:val="nil"/>
              <w:left w:val="nil"/>
              <w:bottom w:val="single" w:sz="8" w:space="0" w:color="auto"/>
              <w:right w:val="single" w:sz="8" w:space="0" w:color="auto"/>
            </w:tcBorders>
            <w:shd w:val="clear" w:color="auto" w:fill="auto"/>
            <w:vAlign w:val="center"/>
            <w:hideMark/>
          </w:tcPr>
          <w:p w14:paraId="5F4AEB7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8</w:t>
            </w:r>
          </w:p>
        </w:tc>
      </w:tr>
      <w:tr w:rsidR="006258B4" w:rsidRPr="004B4C1C" w14:paraId="6E53A724" w14:textId="77777777" w:rsidTr="008463F8">
        <w:trPr>
          <w:gridAfter w:val="1"/>
          <w:wAfter w:w="7" w:type="dxa"/>
          <w:trHeight w:val="443"/>
          <w:jc w:val="center"/>
        </w:trPr>
        <w:tc>
          <w:tcPr>
            <w:tcW w:w="214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95E1BC2"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Percentage Companies with BBBEE Deal in Place</w:t>
            </w:r>
          </w:p>
        </w:tc>
        <w:tc>
          <w:tcPr>
            <w:tcW w:w="822" w:type="dxa"/>
            <w:tcBorders>
              <w:top w:val="nil"/>
              <w:left w:val="nil"/>
              <w:bottom w:val="single" w:sz="8" w:space="0" w:color="auto"/>
              <w:right w:val="single" w:sz="8" w:space="0" w:color="auto"/>
            </w:tcBorders>
            <w:shd w:val="clear" w:color="auto" w:fill="auto"/>
            <w:vAlign w:val="center"/>
            <w:hideMark/>
          </w:tcPr>
          <w:p w14:paraId="2A5BEC52"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46.15%</w:t>
            </w:r>
          </w:p>
        </w:tc>
        <w:tc>
          <w:tcPr>
            <w:tcW w:w="860" w:type="dxa"/>
            <w:tcBorders>
              <w:top w:val="nil"/>
              <w:left w:val="nil"/>
              <w:bottom w:val="single" w:sz="8" w:space="0" w:color="auto"/>
              <w:right w:val="single" w:sz="8" w:space="0" w:color="auto"/>
            </w:tcBorders>
            <w:shd w:val="clear" w:color="auto" w:fill="auto"/>
            <w:vAlign w:val="center"/>
            <w:hideMark/>
          </w:tcPr>
          <w:p w14:paraId="2385CF98"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35.00%</w:t>
            </w:r>
          </w:p>
        </w:tc>
        <w:tc>
          <w:tcPr>
            <w:tcW w:w="860" w:type="dxa"/>
            <w:tcBorders>
              <w:top w:val="nil"/>
              <w:left w:val="nil"/>
              <w:bottom w:val="single" w:sz="8" w:space="0" w:color="auto"/>
              <w:right w:val="single" w:sz="8" w:space="0" w:color="auto"/>
            </w:tcBorders>
            <w:shd w:val="clear" w:color="auto" w:fill="auto"/>
            <w:vAlign w:val="center"/>
            <w:hideMark/>
          </w:tcPr>
          <w:p w14:paraId="5F79D0D6"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12.77%</w:t>
            </w:r>
          </w:p>
        </w:tc>
        <w:tc>
          <w:tcPr>
            <w:tcW w:w="860" w:type="dxa"/>
            <w:tcBorders>
              <w:top w:val="nil"/>
              <w:left w:val="nil"/>
              <w:bottom w:val="single" w:sz="8" w:space="0" w:color="auto"/>
              <w:right w:val="single" w:sz="8" w:space="0" w:color="auto"/>
            </w:tcBorders>
            <w:shd w:val="clear" w:color="auto" w:fill="auto"/>
            <w:vAlign w:val="center"/>
            <w:hideMark/>
          </w:tcPr>
          <w:p w14:paraId="5F4D7AAE"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10.00%</w:t>
            </w:r>
          </w:p>
        </w:tc>
        <w:tc>
          <w:tcPr>
            <w:tcW w:w="860" w:type="dxa"/>
            <w:tcBorders>
              <w:top w:val="nil"/>
              <w:left w:val="nil"/>
              <w:bottom w:val="single" w:sz="8" w:space="0" w:color="auto"/>
              <w:right w:val="single" w:sz="8" w:space="0" w:color="auto"/>
            </w:tcBorders>
            <w:shd w:val="clear" w:color="auto" w:fill="auto"/>
            <w:vAlign w:val="center"/>
            <w:hideMark/>
          </w:tcPr>
          <w:p w14:paraId="3A68565A"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36.00%</w:t>
            </w:r>
          </w:p>
        </w:tc>
        <w:tc>
          <w:tcPr>
            <w:tcW w:w="860" w:type="dxa"/>
            <w:tcBorders>
              <w:top w:val="nil"/>
              <w:left w:val="nil"/>
              <w:bottom w:val="single" w:sz="8" w:space="0" w:color="auto"/>
              <w:right w:val="single" w:sz="8" w:space="0" w:color="auto"/>
            </w:tcBorders>
            <w:shd w:val="clear" w:color="auto" w:fill="auto"/>
            <w:vAlign w:val="center"/>
            <w:hideMark/>
          </w:tcPr>
          <w:p w14:paraId="4FC59F2C"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10.57%</w:t>
            </w:r>
          </w:p>
        </w:tc>
        <w:tc>
          <w:tcPr>
            <w:tcW w:w="964" w:type="dxa"/>
            <w:tcBorders>
              <w:top w:val="nil"/>
              <w:left w:val="nil"/>
              <w:bottom w:val="single" w:sz="8" w:space="0" w:color="auto"/>
              <w:right w:val="single" w:sz="8" w:space="0" w:color="auto"/>
            </w:tcBorders>
            <w:shd w:val="clear" w:color="auto" w:fill="auto"/>
            <w:vAlign w:val="center"/>
            <w:hideMark/>
          </w:tcPr>
          <w:p w14:paraId="6B784B13"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rPr>
              <w:t>N/A</w:t>
            </w:r>
          </w:p>
        </w:tc>
        <w:tc>
          <w:tcPr>
            <w:tcW w:w="860" w:type="dxa"/>
            <w:tcBorders>
              <w:top w:val="nil"/>
              <w:left w:val="nil"/>
              <w:bottom w:val="single" w:sz="8" w:space="0" w:color="auto"/>
              <w:right w:val="single" w:sz="8" w:space="0" w:color="auto"/>
            </w:tcBorders>
            <w:shd w:val="clear" w:color="auto" w:fill="auto"/>
            <w:vAlign w:val="center"/>
            <w:hideMark/>
          </w:tcPr>
          <w:p w14:paraId="00E50DEB"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28.57%</w:t>
            </w:r>
          </w:p>
        </w:tc>
      </w:tr>
    </w:tbl>
    <w:p w14:paraId="1A4007D1" w14:textId="77777777" w:rsidR="006258B4" w:rsidRDefault="004949C3" w:rsidP="00536234">
      <w:pPr>
        <w:spacing w:line="480" w:lineRule="auto"/>
        <w:ind w:left="0"/>
        <w:jc w:val="right"/>
        <w:rPr>
          <w:rFonts w:ascii="Times New Roman" w:hAnsi="Times New Roman" w:cs="Times New Roman"/>
          <w:sz w:val="22"/>
          <w:szCs w:val="26"/>
        </w:rPr>
      </w:pPr>
      <w:r w:rsidRPr="004949C3">
        <w:rPr>
          <w:rFonts w:ascii="Times New Roman" w:hAnsi="Times New Roman" w:cs="Times New Roman"/>
          <w:sz w:val="22"/>
          <w:szCs w:val="26"/>
        </w:rPr>
        <w:t>(Source: Stata)</w:t>
      </w:r>
    </w:p>
    <w:p w14:paraId="2578A5FC" w14:textId="54E6DAF0" w:rsidR="006258B4" w:rsidRPr="004A5478" w:rsidRDefault="006258B4" w:rsidP="00536234">
      <w:pPr>
        <w:spacing w:line="480" w:lineRule="auto"/>
        <w:ind w:left="0" w:firstLine="0"/>
        <w:rPr>
          <w:rFonts w:ascii="Times New Roman" w:hAnsi="Times New Roman" w:cs="Times New Roman"/>
          <w:sz w:val="22"/>
          <w:szCs w:val="26"/>
        </w:rPr>
      </w:pPr>
      <w:r>
        <w:rPr>
          <w:rFonts w:ascii="Times New Roman" w:hAnsi="Times New Roman" w:cs="Times New Roman"/>
          <w:sz w:val="22"/>
          <w:szCs w:val="26"/>
        </w:rPr>
        <w:t xml:space="preserve">Looking at the tables above it is found that companies falling in the Oil and Gas sector, shown as sector </w:t>
      </w:r>
      <w:r w:rsidR="005F30CC">
        <w:rPr>
          <w:rFonts w:ascii="Times New Roman" w:hAnsi="Times New Roman" w:cs="Times New Roman"/>
          <w:sz w:val="22"/>
          <w:szCs w:val="26"/>
        </w:rPr>
        <w:t>(</w:t>
      </w:r>
      <w:r>
        <w:rPr>
          <w:rFonts w:ascii="Times New Roman" w:hAnsi="Times New Roman" w:cs="Times New Roman"/>
          <w:sz w:val="22"/>
          <w:szCs w:val="26"/>
        </w:rPr>
        <w:t>1</w:t>
      </w:r>
      <w:r w:rsidR="005F30CC">
        <w:rPr>
          <w:rFonts w:ascii="Times New Roman" w:hAnsi="Times New Roman" w:cs="Times New Roman"/>
          <w:sz w:val="22"/>
          <w:szCs w:val="26"/>
        </w:rPr>
        <w:t>)</w:t>
      </w:r>
      <w:r>
        <w:rPr>
          <w:rFonts w:ascii="Times New Roman" w:hAnsi="Times New Roman" w:cs="Times New Roman"/>
          <w:sz w:val="22"/>
          <w:szCs w:val="26"/>
        </w:rPr>
        <w:t xml:space="preserve">, Basic materials, shown as sector </w:t>
      </w:r>
      <w:r w:rsidR="005F30CC">
        <w:rPr>
          <w:rFonts w:ascii="Times New Roman" w:hAnsi="Times New Roman" w:cs="Times New Roman"/>
          <w:sz w:val="22"/>
          <w:szCs w:val="26"/>
        </w:rPr>
        <w:t>(</w:t>
      </w:r>
      <w:r>
        <w:rPr>
          <w:rFonts w:ascii="Times New Roman" w:hAnsi="Times New Roman" w:cs="Times New Roman"/>
          <w:sz w:val="22"/>
          <w:szCs w:val="26"/>
        </w:rPr>
        <w:t>2</w:t>
      </w:r>
      <w:r w:rsidR="005F30CC">
        <w:rPr>
          <w:rFonts w:ascii="Times New Roman" w:hAnsi="Times New Roman" w:cs="Times New Roman"/>
          <w:sz w:val="22"/>
          <w:szCs w:val="26"/>
        </w:rPr>
        <w:t>)</w:t>
      </w:r>
      <w:r>
        <w:rPr>
          <w:rFonts w:ascii="Times New Roman" w:hAnsi="Times New Roman" w:cs="Times New Roman"/>
          <w:sz w:val="22"/>
          <w:szCs w:val="26"/>
        </w:rPr>
        <w:t xml:space="preserve">, and Healthcare, shown as sector </w:t>
      </w:r>
      <w:r w:rsidR="005F30CC">
        <w:rPr>
          <w:rFonts w:ascii="Times New Roman" w:hAnsi="Times New Roman" w:cs="Times New Roman"/>
          <w:sz w:val="22"/>
          <w:szCs w:val="26"/>
        </w:rPr>
        <w:t>(</w:t>
      </w:r>
      <w:r>
        <w:rPr>
          <w:rFonts w:ascii="Times New Roman" w:hAnsi="Times New Roman" w:cs="Times New Roman"/>
          <w:sz w:val="22"/>
          <w:szCs w:val="26"/>
        </w:rPr>
        <w:t>5</w:t>
      </w:r>
      <w:r w:rsidR="005F30CC">
        <w:rPr>
          <w:rFonts w:ascii="Times New Roman" w:hAnsi="Times New Roman" w:cs="Times New Roman"/>
          <w:sz w:val="22"/>
          <w:szCs w:val="26"/>
        </w:rPr>
        <w:t>)</w:t>
      </w:r>
      <w:r>
        <w:rPr>
          <w:rFonts w:ascii="Times New Roman" w:hAnsi="Times New Roman" w:cs="Times New Roman"/>
          <w:sz w:val="22"/>
          <w:szCs w:val="26"/>
        </w:rPr>
        <w:t xml:space="preserve">, have the greatest percentage number of observations allocated to the treatment group. In identifying this it is important to note that the Healthcare sector is represented by only 25 observations throughout the entire study period. This is while the Basic Materials sector and the Oil and Gas sector are much better represented in the data set, with significantly larger numbers of total observations </w:t>
      </w:r>
      <w:r w:rsidR="005F30CC">
        <w:rPr>
          <w:rFonts w:ascii="Times New Roman" w:hAnsi="Times New Roman" w:cs="Times New Roman"/>
          <w:sz w:val="22"/>
          <w:szCs w:val="26"/>
        </w:rPr>
        <w:t>in</w:t>
      </w:r>
      <w:r>
        <w:rPr>
          <w:rFonts w:ascii="Times New Roman" w:hAnsi="Times New Roman" w:cs="Times New Roman"/>
          <w:sz w:val="22"/>
          <w:szCs w:val="26"/>
        </w:rPr>
        <w:t xml:space="preserve"> each of these </w:t>
      </w:r>
      <w:r w:rsidR="005F30CC">
        <w:rPr>
          <w:rFonts w:ascii="Times New Roman" w:hAnsi="Times New Roman" w:cs="Times New Roman"/>
          <w:sz w:val="22"/>
          <w:szCs w:val="26"/>
        </w:rPr>
        <w:t>two groups</w:t>
      </w:r>
      <w:r>
        <w:rPr>
          <w:rFonts w:ascii="Times New Roman" w:hAnsi="Times New Roman" w:cs="Times New Roman"/>
          <w:sz w:val="22"/>
          <w:szCs w:val="26"/>
        </w:rPr>
        <w:t xml:space="preserve">. The results for the latter two sectors </w:t>
      </w:r>
      <w:r w:rsidR="005F30CC">
        <w:rPr>
          <w:rFonts w:ascii="Times New Roman" w:hAnsi="Times New Roman" w:cs="Times New Roman"/>
          <w:sz w:val="22"/>
          <w:szCs w:val="26"/>
        </w:rPr>
        <w:t>are understandable</w:t>
      </w:r>
      <w:r>
        <w:rPr>
          <w:rFonts w:ascii="Times New Roman" w:hAnsi="Times New Roman" w:cs="Times New Roman"/>
          <w:sz w:val="22"/>
          <w:szCs w:val="26"/>
        </w:rPr>
        <w:t xml:space="preserve"> as it is these two sectors that have stricter regulations regarding transformation. This means that it is these two sectors which are most likely to contain a significant</w:t>
      </w:r>
      <w:r w:rsidR="005F30CC">
        <w:rPr>
          <w:rFonts w:ascii="Times New Roman" w:hAnsi="Times New Roman" w:cs="Times New Roman"/>
          <w:sz w:val="22"/>
          <w:szCs w:val="26"/>
        </w:rPr>
        <w:t>ly higher</w:t>
      </w:r>
      <w:r>
        <w:rPr>
          <w:rFonts w:ascii="Times New Roman" w:hAnsi="Times New Roman" w:cs="Times New Roman"/>
          <w:sz w:val="22"/>
          <w:szCs w:val="26"/>
        </w:rPr>
        <w:t xml:space="preserve"> number of BBBEE deals as a result of being under greater pressure to achieve transformation through ownership. </w:t>
      </w:r>
    </w:p>
    <w:p w14:paraId="20846BD9" w14:textId="77777777" w:rsidR="006258B4" w:rsidRPr="00A14BA6" w:rsidRDefault="00766427" w:rsidP="00536234">
      <w:pPr>
        <w:pStyle w:val="Heading3"/>
        <w:ind w:left="0"/>
        <w:rPr>
          <w:rFonts w:ascii="Times New Roman" w:hAnsi="Times New Roman" w:cs="Times New Roman"/>
          <w:i/>
          <w:color w:val="auto"/>
          <w:sz w:val="22"/>
        </w:rPr>
      </w:pPr>
      <w:bookmarkStart w:id="52" w:name="_Toc506717798"/>
      <w:r>
        <w:rPr>
          <w:rFonts w:ascii="Times New Roman" w:hAnsi="Times New Roman" w:cs="Times New Roman"/>
          <w:i/>
          <w:color w:val="auto"/>
          <w:sz w:val="22"/>
        </w:rPr>
        <w:lastRenderedPageBreak/>
        <w:t>4.1.3</w:t>
      </w:r>
      <w:r>
        <w:rPr>
          <w:rFonts w:ascii="Times New Roman" w:hAnsi="Times New Roman" w:cs="Times New Roman"/>
          <w:i/>
          <w:color w:val="auto"/>
          <w:sz w:val="22"/>
        </w:rPr>
        <w:tab/>
      </w:r>
      <w:r w:rsidR="006258B4" w:rsidRPr="00A14BA6">
        <w:rPr>
          <w:rFonts w:ascii="Times New Roman" w:hAnsi="Times New Roman" w:cs="Times New Roman"/>
          <w:i/>
          <w:color w:val="auto"/>
          <w:sz w:val="22"/>
        </w:rPr>
        <w:t>Deals and Dividends across Time</w:t>
      </w:r>
      <w:bookmarkEnd w:id="52"/>
    </w:p>
    <w:p w14:paraId="132A1942" w14:textId="0EB13995"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next section of the descriptive statistics review will look at the average dividend pay-out ratio across time </w:t>
      </w:r>
      <w:r w:rsidR="005F30CC">
        <w:rPr>
          <w:rFonts w:ascii="Times New Roman" w:hAnsi="Times New Roman" w:cs="Times New Roman"/>
          <w:sz w:val="22"/>
          <w:szCs w:val="26"/>
        </w:rPr>
        <w:t>by looking at</w:t>
      </w:r>
      <w:r>
        <w:rPr>
          <w:rFonts w:ascii="Times New Roman" w:hAnsi="Times New Roman" w:cs="Times New Roman"/>
          <w:sz w:val="22"/>
          <w:szCs w:val="26"/>
        </w:rPr>
        <w:t xml:space="preserve"> companies hav</w:t>
      </w:r>
      <w:r w:rsidR="005F30CC">
        <w:rPr>
          <w:rFonts w:ascii="Times New Roman" w:hAnsi="Times New Roman" w:cs="Times New Roman"/>
          <w:sz w:val="22"/>
          <w:szCs w:val="26"/>
        </w:rPr>
        <w:t>ing</w:t>
      </w:r>
      <w:r>
        <w:rPr>
          <w:rFonts w:ascii="Times New Roman" w:hAnsi="Times New Roman" w:cs="Times New Roman"/>
          <w:sz w:val="22"/>
          <w:szCs w:val="26"/>
        </w:rPr>
        <w:t xml:space="preserve"> entered into BBBEE deals as a percentage of all companies for a p</w:t>
      </w:r>
      <w:r w:rsidR="006E1FC1">
        <w:rPr>
          <w:rFonts w:ascii="Times New Roman" w:hAnsi="Times New Roman" w:cs="Times New Roman"/>
          <w:sz w:val="22"/>
          <w:szCs w:val="26"/>
        </w:rPr>
        <w:t xml:space="preserve">articular year of study. Table </w:t>
      </w:r>
      <w:r w:rsidR="00CD3783">
        <w:rPr>
          <w:rFonts w:ascii="Times New Roman" w:hAnsi="Times New Roman" w:cs="Times New Roman"/>
          <w:sz w:val="22"/>
          <w:szCs w:val="26"/>
        </w:rPr>
        <w:t>8</w:t>
      </w:r>
      <w:r>
        <w:rPr>
          <w:rFonts w:ascii="Times New Roman" w:hAnsi="Times New Roman" w:cs="Times New Roman"/>
          <w:sz w:val="22"/>
          <w:szCs w:val="26"/>
        </w:rPr>
        <w:t xml:space="preserve"> below shows the percentage of companies with a BBBEE deal in place for a given year of study and Table </w:t>
      </w:r>
      <w:r w:rsidR="00CD3783">
        <w:rPr>
          <w:rFonts w:ascii="Times New Roman" w:hAnsi="Times New Roman" w:cs="Times New Roman"/>
          <w:sz w:val="22"/>
          <w:szCs w:val="26"/>
        </w:rPr>
        <w:t>9</w:t>
      </w:r>
      <w:r>
        <w:rPr>
          <w:rFonts w:ascii="Times New Roman" w:hAnsi="Times New Roman" w:cs="Times New Roman"/>
          <w:sz w:val="22"/>
          <w:szCs w:val="26"/>
        </w:rPr>
        <w:t xml:space="preserve"> shows the average dividend pay-out ratio for each year of study:</w:t>
      </w:r>
    </w:p>
    <w:p w14:paraId="5117C002" w14:textId="3FFAB916" w:rsidR="00B5127E" w:rsidRDefault="006258B4" w:rsidP="00536234">
      <w:pPr>
        <w:spacing w:line="480" w:lineRule="auto"/>
        <w:ind w:left="0"/>
        <w:rPr>
          <w:rFonts w:ascii="Times New Roman" w:hAnsi="Times New Roman" w:cs="Times New Roman"/>
          <w:b/>
          <w:u w:val="single"/>
        </w:rPr>
      </w:pPr>
      <w:r w:rsidRPr="00B60EBD">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8</w:t>
      </w:r>
      <w:r w:rsidRPr="00B60EBD">
        <w:rPr>
          <w:rFonts w:ascii="Times New Roman" w:hAnsi="Times New Roman" w:cs="Times New Roman"/>
          <w:b/>
          <w:sz w:val="22"/>
          <w:szCs w:val="26"/>
          <w:u w:val="single"/>
        </w:rPr>
        <w:t>-</w:t>
      </w:r>
      <w:r w:rsidRPr="00B60EBD">
        <w:rPr>
          <w:u w:val="single"/>
        </w:rPr>
        <w:t xml:space="preserve"> </w:t>
      </w:r>
      <w:r w:rsidRPr="00B60EBD">
        <w:rPr>
          <w:rFonts w:ascii="Times New Roman" w:hAnsi="Times New Roman" w:cs="Times New Roman"/>
          <w:b/>
          <w:sz w:val="22"/>
          <w:szCs w:val="26"/>
          <w:u w:val="single"/>
        </w:rPr>
        <w:t>Overall Annual</w:t>
      </w:r>
      <w:r>
        <w:rPr>
          <w:rFonts w:ascii="Times New Roman" w:hAnsi="Times New Roman" w:cs="Times New Roman"/>
          <w:b/>
          <w:sz w:val="22"/>
          <w:szCs w:val="26"/>
          <w:u w:val="single"/>
        </w:rPr>
        <w:t xml:space="preserve"> Percentage of Total Companies P</w:t>
      </w:r>
      <w:r w:rsidRPr="00B60EBD">
        <w:rPr>
          <w:rFonts w:ascii="Times New Roman" w:hAnsi="Times New Roman" w:cs="Times New Roman"/>
          <w:b/>
          <w:sz w:val="22"/>
          <w:szCs w:val="26"/>
          <w:u w:val="single"/>
        </w:rPr>
        <w:t>arty to a BBBEE Deal</w:t>
      </w:r>
      <w:r>
        <w:rPr>
          <w:rFonts w:ascii="Times New Roman" w:hAnsi="Times New Roman" w:cs="Times New Roman"/>
          <w:b/>
          <w:sz w:val="22"/>
          <w:szCs w:val="26"/>
          <w:u w:val="single"/>
        </w:rPr>
        <w:t>:</w:t>
      </w:r>
      <w:r w:rsidRPr="00AC4DE7">
        <w:rPr>
          <w:rFonts w:ascii="Times New Roman" w:hAnsi="Times New Roman" w:cs="Times New Roman"/>
          <w:b/>
          <w:u w:val="single"/>
        </w:rPr>
        <w:t xml:space="preserve"> </w:t>
      </w:r>
    </w:p>
    <w:tbl>
      <w:tblPr>
        <w:tblpPr w:leftFromText="180" w:rightFromText="180" w:vertAnchor="text" w:horzAnchor="margin" w:tblpXSpec="center" w:tblpY="57"/>
        <w:tblW w:w="9075" w:type="dxa"/>
        <w:tblLook w:val="04A0" w:firstRow="1" w:lastRow="0" w:firstColumn="1" w:lastColumn="0" w:noHBand="0" w:noVBand="1"/>
      </w:tblPr>
      <w:tblGrid>
        <w:gridCol w:w="1697"/>
        <w:gridCol w:w="922"/>
        <w:gridCol w:w="922"/>
        <w:gridCol w:w="922"/>
        <w:gridCol w:w="922"/>
        <w:gridCol w:w="922"/>
        <w:gridCol w:w="922"/>
        <w:gridCol w:w="922"/>
        <w:gridCol w:w="924"/>
      </w:tblGrid>
      <w:tr w:rsidR="00CA0B89" w:rsidRPr="0069016A" w14:paraId="5AC7FEC9" w14:textId="77777777" w:rsidTr="00095351">
        <w:trPr>
          <w:trHeight w:val="210"/>
        </w:trPr>
        <w:tc>
          <w:tcPr>
            <w:tcW w:w="1697" w:type="dxa"/>
            <w:tcBorders>
              <w:top w:val="nil"/>
              <w:left w:val="nil"/>
              <w:bottom w:val="nil"/>
              <w:right w:val="nil"/>
            </w:tcBorders>
            <w:shd w:val="clear" w:color="auto" w:fill="auto"/>
            <w:noWrap/>
            <w:vAlign w:val="bottom"/>
            <w:hideMark/>
          </w:tcPr>
          <w:p w14:paraId="172DEE10" w14:textId="77777777" w:rsidR="00CA0B89" w:rsidRPr="0069016A" w:rsidRDefault="00CA0B89" w:rsidP="00536234">
            <w:pPr>
              <w:spacing w:after="0" w:line="240" w:lineRule="auto"/>
              <w:ind w:left="0" w:firstLine="0"/>
              <w:jc w:val="center"/>
              <w:rPr>
                <w:rFonts w:ascii="Times New Roman" w:eastAsia="Times New Roman" w:hAnsi="Times New Roman" w:cs="Times New Roman"/>
                <w:color w:val="auto"/>
                <w:sz w:val="20"/>
                <w:szCs w:val="24"/>
              </w:rPr>
            </w:pPr>
          </w:p>
        </w:tc>
        <w:tc>
          <w:tcPr>
            <w:tcW w:w="7378" w:type="dxa"/>
            <w:gridSpan w:val="8"/>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58128D6A"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Time</w:t>
            </w:r>
          </w:p>
        </w:tc>
      </w:tr>
      <w:tr w:rsidR="00CA0B89" w:rsidRPr="0069016A" w14:paraId="5A3509E5" w14:textId="77777777" w:rsidTr="00095351">
        <w:trPr>
          <w:trHeight w:val="210"/>
        </w:trPr>
        <w:tc>
          <w:tcPr>
            <w:tcW w:w="1697" w:type="dxa"/>
            <w:tcBorders>
              <w:top w:val="nil"/>
              <w:left w:val="nil"/>
              <w:bottom w:val="nil"/>
              <w:right w:val="nil"/>
            </w:tcBorders>
            <w:shd w:val="clear" w:color="auto" w:fill="auto"/>
            <w:vAlign w:val="center"/>
            <w:hideMark/>
          </w:tcPr>
          <w:p w14:paraId="458658B5"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p>
        </w:tc>
        <w:tc>
          <w:tcPr>
            <w:tcW w:w="922" w:type="dxa"/>
            <w:tcBorders>
              <w:top w:val="nil"/>
              <w:left w:val="single" w:sz="4" w:space="0" w:color="auto"/>
              <w:bottom w:val="single" w:sz="4" w:space="0" w:color="auto"/>
              <w:right w:val="single" w:sz="4" w:space="0" w:color="auto"/>
            </w:tcBorders>
            <w:shd w:val="clear" w:color="auto" w:fill="auto"/>
            <w:vAlign w:val="center"/>
            <w:hideMark/>
          </w:tcPr>
          <w:p w14:paraId="4E0602FA"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1999</w:t>
            </w:r>
          </w:p>
        </w:tc>
        <w:tc>
          <w:tcPr>
            <w:tcW w:w="922" w:type="dxa"/>
            <w:tcBorders>
              <w:top w:val="nil"/>
              <w:left w:val="nil"/>
              <w:bottom w:val="single" w:sz="4" w:space="0" w:color="auto"/>
              <w:right w:val="single" w:sz="4" w:space="0" w:color="auto"/>
            </w:tcBorders>
            <w:shd w:val="clear" w:color="auto" w:fill="auto"/>
            <w:vAlign w:val="center"/>
            <w:hideMark/>
          </w:tcPr>
          <w:p w14:paraId="57AD07E3"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2000</w:t>
            </w:r>
          </w:p>
        </w:tc>
        <w:tc>
          <w:tcPr>
            <w:tcW w:w="922" w:type="dxa"/>
            <w:tcBorders>
              <w:top w:val="nil"/>
              <w:left w:val="nil"/>
              <w:bottom w:val="single" w:sz="4" w:space="0" w:color="auto"/>
              <w:right w:val="single" w:sz="4" w:space="0" w:color="auto"/>
            </w:tcBorders>
            <w:shd w:val="clear" w:color="auto" w:fill="auto"/>
            <w:vAlign w:val="center"/>
            <w:hideMark/>
          </w:tcPr>
          <w:p w14:paraId="24146BDA"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2001</w:t>
            </w:r>
          </w:p>
        </w:tc>
        <w:tc>
          <w:tcPr>
            <w:tcW w:w="922" w:type="dxa"/>
            <w:tcBorders>
              <w:top w:val="nil"/>
              <w:left w:val="nil"/>
              <w:bottom w:val="single" w:sz="4" w:space="0" w:color="auto"/>
              <w:right w:val="single" w:sz="4" w:space="0" w:color="auto"/>
            </w:tcBorders>
            <w:shd w:val="clear" w:color="auto" w:fill="auto"/>
            <w:vAlign w:val="center"/>
            <w:hideMark/>
          </w:tcPr>
          <w:p w14:paraId="3E7A629C"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2002</w:t>
            </w:r>
          </w:p>
        </w:tc>
        <w:tc>
          <w:tcPr>
            <w:tcW w:w="922" w:type="dxa"/>
            <w:tcBorders>
              <w:top w:val="nil"/>
              <w:left w:val="nil"/>
              <w:bottom w:val="single" w:sz="4" w:space="0" w:color="auto"/>
              <w:right w:val="single" w:sz="4" w:space="0" w:color="auto"/>
            </w:tcBorders>
            <w:shd w:val="clear" w:color="auto" w:fill="auto"/>
            <w:vAlign w:val="center"/>
            <w:hideMark/>
          </w:tcPr>
          <w:p w14:paraId="7825E165"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2003</w:t>
            </w:r>
          </w:p>
        </w:tc>
        <w:tc>
          <w:tcPr>
            <w:tcW w:w="922" w:type="dxa"/>
            <w:tcBorders>
              <w:top w:val="nil"/>
              <w:left w:val="nil"/>
              <w:bottom w:val="single" w:sz="4" w:space="0" w:color="auto"/>
              <w:right w:val="single" w:sz="4" w:space="0" w:color="auto"/>
            </w:tcBorders>
            <w:shd w:val="clear" w:color="auto" w:fill="auto"/>
            <w:vAlign w:val="center"/>
            <w:hideMark/>
          </w:tcPr>
          <w:p w14:paraId="6044E104"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2004</w:t>
            </w:r>
          </w:p>
        </w:tc>
        <w:tc>
          <w:tcPr>
            <w:tcW w:w="922" w:type="dxa"/>
            <w:tcBorders>
              <w:top w:val="nil"/>
              <w:left w:val="nil"/>
              <w:bottom w:val="single" w:sz="4" w:space="0" w:color="auto"/>
              <w:right w:val="single" w:sz="4" w:space="0" w:color="auto"/>
            </w:tcBorders>
            <w:shd w:val="clear" w:color="auto" w:fill="auto"/>
            <w:vAlign w:val="center"/>
            <w:hideMark/>
          </w:tcPr>
          <w:p w14:paraId="4D794413"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2005</w:t>
            </w:r>
          </w:p>
        </w:tc>
        <w:tc>
          <w:tcPr>
            <w:tcW w:w="922" w:type="dxa"/>
            <w:tcBorders>
              <w:top w:val="nil"/>
              <w:left w:val="nil"/>
              <w:bottom w:val="single" w:sz="4" w:space="0" w:color="auto"/>
              <w:right w:val="single" w:sz="4" w:space="0" w:color="auto"/>
            </w:tcBorders>
            <w:shd w:val="clear" w:color="auto" w:fill="auto"/>
            <w:vAlign w:val="center"/>
            <w:hideMark/>
          </w:tcPr>
          <w:p w14:paraId="40355CC7"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2006</w:t>
            </w:r>
          </w:p>
        </w:tc>
      </w:tr>
      <w:tr w:rsidR="00CA0B89" w:rsidRPr="0069016A" w14:paraId="4C69477C" w14:textId="77777777" w:rsidTr="00095351">
        <w:trPr>
          <w:trHeight w:val="808"/>
        </w:trPr>
        <w:tc>
          <w:tcPr>
            <w:tcW w:w="16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97A98"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Percentage Companies with BBBEE Deal in Place</w:t>
            </w:r>
          </w:p>
        </w:tc>
        <w:tc>
          <w:tcPr>
            <w:tcW w:w="922" w:type="dxa"/>
            <w:tcBorders>
              <w:top w:val="nil"/>
              <w:left w:val="nil"/>
              <w:bottom w:val="single" w:sz="4" w:space="0" w:color="auto"/>
              <w:right w:val="single" w:sz="4" w:space="0" w:color="auto"/>
            </w:tcBorders>
            <w:shd w:val="clear" w:color="auto" w:fill="auto"/>
            <w:vAlign w:val="center"/>
            <w:hideMark/>
          </w:tcPr>
          <w:p w14:paraId="2F710258" w14:textId="77777777" w:rsidR="00CA0B89" w:rsidRPr="0069016A" w:rsidRDefault="00D5048C"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rPr>
              <w:t>1.00%</w:t>
            </w:r>
          </w:p>
        </w:tc>
        <w:tc>
          <w:tcPr>
            <w:tcW w:w="922" w:type="dxa"/>
            <w:tcBorders>
              <w:top w:val="nil"/>
              <w:left w:val="nil"/>
              <w:bottom w:val="single" w:sz="4" w:space="0" w:color="auto"/>
              <w:right w:val="single" w:sz="4" w:space="0" w:color="auto"/>
            </w:tcBorders>
            <w:shd w:val="clear" w:color="auto" w:fill="auto"/>
            <w:vAlign w:val="center"/>
            <w:hideMark/>
          </w:tcPr>
          <w:p w14:paraId="1D73BDBE"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4.23</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7C42D858"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6.67</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2B729C42"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8.97</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66E16638"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13.41</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701B4ECD"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23.17</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62AB1438"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47.67</w:t>
            </w:r>
            <w:r w:rsidRPr="0069016A">
              <w:rPr>
                <w:rFonts w:ascii="Times New Roman" w:eastAsia="Times New Roman" w:hAnsi="Times New Roman" w:cs="Times New Roman"/>
                <w:sz w:val="22"/>
                <w:szCs w:val="26"/>
              </w:rPr>
              <w:t>%</w:t>
            </w:r>
          </w:p>
        </w:tc>
        <w:tc>
          <w:tcPr>
            <w:tcW w:w="922" w:type="dxa"/>
            <w:tcBorders>
              <w:top w:val="nil"/>
              <w:left w:val="nil"/>
              <w:bottom w:val="single" w:sz="4" w:space="0" w:color="auto"/>
              <w:right w:val="single" w:sz="4" w:space="0" w:color="auto"/>
            </w:tcBorders>
            <w:shd w:val="clear" w:color="auto" w:fill="auto"/>
            <w:vAlign w:val="center"/>
            <w:hideMark/>
          </w:tcPr>
          <w:p w14:paraId="58338B06" w14:textId="77777777" w:rsidR="00CA0B89" w:rsidRPr="0069016A" w:rsidRDefault="00CA0B89"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szCs w:val="26"/>
              </w:rPr>
              <w:t>60.92</w:t>
            </w:r>
            <w:r w:rsidRPr="0069016A">
              <w:rPr>
                <w:rFonts w:ascii="Times New Roman" w:eastAsia="Times New Roman" w:hAnsi="Times New Roman" w:cs="Times New Roman"/>
                <w:sz w:val="22"/>
                <w:szCs w:val="26"/>
              </w:rPr>
              <w:t>%</w:t>
            </w:r>
          </w:p>
        </w:tc>
      </w:tr>
    </w:tbl>
    <w:p w14:paraId="7DE845DF" w14:textId="77777777" w:rsidR="006258B4" w:rsidRPr="00CF75DF" w:rsidRDefault="00B5127E" w:rsidP="00536234">
      <w:pPr>
        <w:spacing w:line="480" w:lineRule="auto"/>
        <w:ind w:left="0"/>
        <w:jc w:val="right"/>
        <w:rPr>
          <w:rFonts w:ascii="Times New Roman" w:hAnsi="Times New Roman" w:cs="Times New Roman"/>
          <w:sz w:val="22"/>
          <w:szCs w:val="26"/>
        </w:rPr>
      </w:pPr>
      <w:r w:rsidRPr="00CF75DF">
        <w:rPr>
          <w:rFonts w:ascii="Times New Roman" w:hAnsi="Times New Roman" w:cs="Times New Roman"/>
          <w:sz w:val="22"/>
          <w:szCs w:val="26"/>
        </w:rPr>
        <w:t xml:space="preserve"> </w:t>
      </w:r>
      <w:r w:rsidR="006258B4" w:rsidRPr="00CF75DF">
        <w:rPr>
          <w:rFonts w:ascii="Times New Roman" w:hAnsi="Times New Roman" w:cs="Times New Roman"/>
          <w:sz w:val="22"/>
          <w:szCs w:val="26"/>
        </w:rPr>
        <w:t>(Source: Stata)</w:t>
      </w:r>
    </w:p>
    <w:p w14:paraId="52CD7672" w14:textId="109B5511" w:rsidR="006258B4" w:rsidRPr="00AA259C" w:rsidRDefault="006258B4" w:rsidP="00536234">
      <w:pPr>
        <w:spacing w:line="480" w:lineRule="auto"/>
        <w:ind w:left="0"/>
        <w:rPr>
          <w:rFonts w:ascii="Times New Roman" w:hAnsi="Times New Roman" w:cs="Times New Roman"/>
          <w:b/>
          <w:sz w:val="22"/>
          <w:szCs w:val="26"/>
          <w:u w:val="single"/>
        </w:rPr>
      </w:pPr>
      <w:r w:rsidRPr="00AA259C">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9</w:t>
      </w:r>
      <w:r w:rsidRPr="00B60EBD">
        <w:rPr>
          <w:rFonts w:ascii="Times New Roman" w:hAnsi="Times New Roman" w:cs="Times New Roman"/>
          <w:b/>
          <w:sz w:val="22"/>
          <w:szCs w:val="26"/>
          <w:u w:val="single"/>
        </w:rPr>
        <w:t>- Overa</w:t>
      </w:r>
      <w:r w:rsidR="00D431C5">
        <w:rPr>
          <w:rFonts w:ascii="Times New Roman" w:hAnsi="Times New Roman" w:cs="Times New Roman"/>
          <w:b/>
          <w:sz w:val="22"/>
          <w:szCs w:val="26"/>
          <w:u w:val="single"/>
        </w:rPr>
        <w:t>ll Average Annual Dividend Pay-Out Ratio Throughout the E</w:t>
      </w:r>
      <w:r w:rsidRPr="00B60EBD">
        <w:rPr>
          <w:rFonts w:ascii="Times New Roman" w:hAnsi="Times New Roman" w:cs="Times New Roman"/>
          <w:b/>
          <w:sz w:val="22"/>
          <w:szCs w:val="26"/>
          <w:u w:val="single"/>
        </w:rPr>
        <w:t>ntire Study Period</w:t>
      </w:r>
      <w:r w:rsidRPr="00AA259C">
        <w:rPr>
          <w:rFonts w:ascii="Times New Roman" w:hAnsi="Times New Roman" w:cs="Times New Roman"/>
          <w:b/>
          <w:sz w:val="22"/>
          <w:szCs w:val="26"/>
          <w:u w:val="single"/>
        </w:rPr>
        <w:t>:</w:t>
      </w:r>
    </w:p>
    <w:tbl>
      <w:tblPr>
        <w:tblpPr w:leftFromText="180" w:rightFromText="180" w:vertAnchor="text" w:horzAnchor="margin" w:tblpXSpec="center" w:tblpY="57"/>
        <w:tblW w:w="9075" w:type="dxa"/>
        <w:tblLook w:val="04A0" w:firstRow="1" w:lastRow="0" w:firstColumn="1" w:lastColumn="0" w:noHBand="0" w:noVBand="1"/>
      </w:tblPr>
      <w:tblGrid>
        <w:gridCol w:w="1697"/>
        <w:gridCol w:w="922"/>
        <w:gridCol w:w="922"/>
        <w:gridCol w:w="922"/>
        <w:gridCol w:w="922"/>
        <w:gridCol w:w="922"/>
        <w:gridCol w:w="922"/>
        <w:gridCol w:w="922"/>
        <w:gridCol w:w="924"/>
      </w:tblGrid>
      <w:tr w:rsidR="006258B4" w:rsidRPr="0069016A" w14:paraId="512954D8" w14:textId="77777777" w:rsidTr="008463F8">
        <w:trPr>
          <w:trHeight w:val="210"/>
        </w:trPr>
        <w:tc>
          <w:tcPr>
            <w:tcW w:w="1697" w:type="dxa"/>
            <w:tcBorders>
              <w:top w:val="nil"/>
              <w:left w:val="nil"/>
              <w:bottom w:val="nil"/>
              <w:right w:val="nil"/>
            </w:tcBorders>
            <w:shd w:val="clear" w:color="auto" w:fill="auto"/>
            <w:noWrap/>
            <w:vAlign w:val="bottom"/>
            <w:hideMark/>
          </w:tcPr>
          <w:p w14:paraId="2F45C5C3" w14:textId="77777777" w:rsidR="006258B4" w:rsidRPr="0069016A" w:rsidRDefault="006258B4" w:rsidP="00536234">
            <w:pPr>
              <w:spacing w:after="0" w:line="240" w:lineRule="auto"/>
              <w:ind w:left="0" w:firstLine="0"/>
              <w:jc w:val="center"/>
              <w:rPr>
                <w:rFonts w:ascii="Times New Roman" w:eastAsia="Times New Roman" w:hAnsi="Times New Roman" w:cs="Times New Roman"/>
                <w:color w:val="auto"/>
                <w:sz w:val="20"/>
                <w:szCs w:val="24"/>
              </w:rPr>
            </w:pPr>
          </w:p>
        </w:tc>
        <w:tc>
          <w:tcPr>
            <w:tcW w:w="7378" w:type="dxa"/>
            <w:gridSpan w:val="8"/>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2C09538"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Time</w:t>
            </w:r>
          </w:p>
        </w:tc>
      </w:tr>
      <w:tr w:rsidR="006258B4" w:rsidRPr="0069016A" w14:paraId="6A810735" w14:textId="77777777" w:rsidTr="008463F8">
        <w:trPr>
          <w:trHeight w:val="210"/>
        </w:trPr>
        <w:tc>
          <w:tcPr>
            <w:tcW w:w="1697" w:type="dxa"/>
            <w:tcBorders>
              <w:top w:val="nil"/>
              <w:left w:val="nil"/>
              <w:bottom w:val="nil"/>
              <w:right w:val="nil"/>
            </w:tcBorders>
            <w:shd w:val="clear" w:color="auto" w:fill="auto"/>
            <w:vAlign w:val="center"/>
            <w:hideMark/>
          </w:tcPr>
          <w:p w14:paraId="39A8B198"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p>
        </w:tc>
        <w:tc>
          <w:tcPr>
            <w:tcW w:w="922" w:type="dxa"/>
            <w:tcBorders>
              <w:top w:val="nil"/>
              <w:left w:val="single" w:sz="4" w:space="0" w:color="auto"/>
              <w:bottom w:val="single" w:sz="4" w:space="0" w:color="auto"/>
              <w:right w:val="single" w:sz="4" w:space="0" w:color="auto"/>
            </w:tcBorders>
            <w:shd w:val="clear" w:color="auto" w:fill="auto"/>
            <w:vAlign w:val="center"/>
            <w:hideMark/>
          </w:tcPr>
          <w:p w14:paraId="17B1E6DE"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1999</w:t>
            </w:r>
          </w:p>
        </w:tc>
        <w:tc>
          <w:tcPr>
            <w:tcW w:w="922" w:type="dxa"/>
            <w:tcBorders>
              <w:top w:val="nil"/>
              <w:left w:val="nil"/>
              <w:bottom w:val="single" w:sz="4" w:space="0" w:color="auto"/>
              <w:right w:val="single" w:sz="4" w:space="0" w:color="auto"/>
            </w:tcBorders>
            <w:shd w:val="clear" w:color="auto" w:fill="auto"/>
            <w:vAlign w:val="center"/>
            <w:hideMark/>
          </w:tcPr>
          <w:p w14:paraId="1EF2938A"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2000</w:t>
            </w:r>
          </w:p>
        </w:tc>
        <w:tc>
          <w:tcPr>
            <w:tcW w:w="922" w:type="dxa"/>
            <w:tcBorders>
              <w:top w:val="nil"/>
              <w:left w:val="nil"/>
              <w:bottom w:val="single" w:sz="4" w:space="0" w:color="auto"/>
              <w:right w:val="single" w:sz="4" w:space="0" w:color="auto"/>
            </w:tcBorders>
            <w:shd w:val="clear" w:color="auto" w:fill="auto"/>
            <w:vAlign w:val="center"/>
            <w:hideMark/>
          </w:tcPr>
          <w:p w14:paraId="5B12D425"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2001</w:t>
            </w:r>
          </w:p>
        </w:tc>
        <w:tc>
          <w:tcPr>
            <w:tcW w:w="922" w:type="dxa"/>
            <w:tcBorders>
              <w:top w:val="nil"/>
              <w:left w:val="nil"/>
              <w:bottom w:val="single" w:sz="4" w:space="0" w:color="auto"/>
              <w:right w:val="single" w:sz="4" w:space="0" w:color="auto"/>
            </w:tcBorders>
            <w:shd w:val="clear" w:color="auto" w:fill="auto"/>
            <w:vAlign w:val="center"/>
            <w:hideMark/>
          </w:tcPr>
          <w:p w14:paraId="7C61866D"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2002</w:t>
            </w:r>
          </w:p>
        </w:tc>
        <w:tc>
          <w:tcPr>
            <w:tcW w:w="922" w:type="dxa"/>
            <w:tcBorders>
              <w:top w:val="nil"/>
              <w:left w:val="nil"/>
              <w:bottom w:val="single" w:sz="4" w:space="0" w:color="auto"/>
              <w:right w:val="single" w:sz="4" w:space="0" w:color="auto"/>
            </w:tcBorders>
            <w:shd w:val="clear" w:color="auto" w:fill="auto"/>
            <w:vAlign w:val="center"/>
            <w:hideMark/>
          </w:tcPr>
          <w:p w14:paraId="446EEE85"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2003</w:t>
            </w:r>
          </w:p>
        </w:tc>
        <w:tc>
          <w:tcPr>
            <w:tcW w:w="922" w:type="dxa"/>
            <w:tcBorders>
              <w:top w:val="nil"/>
              <w:left w:val="nil"/>
              <w:bottom w:val="single" w:sz="4" w:space="0" w:color="auto"/>
              <w:right w:val="single" w:sz="4" w:space="0" w:color="auto"/>
            </w:tcBorders>
            <w:shd w:val="clear" w:color="auto" w:fill="auto"/>
            <w:vAlign w:val="center"/>
            <w:hideMark/>
          </w:tcPr>
          <w:p w14:paraId="6EC145F2"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2004</w:t>
            </w:r>
          </w:p>
        </w:tc>
        <w:tc>
          <w:tcPr>
            <w:tcW w:w="922" w:type="dxa"/>
            <w:tcBorders>
              <w:top w:val="nil"/>
              <w:left w:val="nil"/>
              <w:bottom w:val="single" w:sz="4" w:space="0" w:color="auto"/>
              <w:right w:val="single" w:sz="4" w:space="0" w:color="auto"/>
            </w:tcBorders>
            <w:shd w:val="clear" w:color="auto" w:fill="auto"/>
            <w:vAlign w:val="center"/>
            <w:hideMark/>
          </w:tcPr>
          <w:p w14:paraId="07A548C2"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2005</w:t>
            </w:r>
          </w:p>
        </w:tc>
        <w:tc>
          <w:tcPr>
            <w:tcW w:w="922" w:type="dxa"/>
            <w:tcBorders>
              <w:top w:val="nil"/>
              <w:left w:val="nil"/>
              <w:bottom w:val="single" w:sz="4" w:space="0" w:color="auto"/>
              <w:right w:val="single" w:sz="4" w:space="0" w:color="auto"/>
            </w:tcBorders>
            <w:shd w:val="clear" w:color="auto" w:fill="auto"/>
            <w:vAlign w:val="center"/>
            <w:hideMark/>
          </w:tcPr>
          <w:p w14:paraId="6AE4E70E"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2006</w:t>
            </w:r>
          </w:p>
        </w:tc>
      </w:tr>
      <w:tr w:rsidR="006258B4" w:rsidRPr="0069016A" w14:paraId="3980371E" w14:textId="77777777" w:rsidTr="008463F8">
        <w:trPr>
          <w:trHeight w:val="808"/>
        </w:trPr>
        <w:tc>
          <w:tcPr>
            <w:tcW w:w="16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FE77A8"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Average Dividend Pay-out Ratio</w:t>
            </w:r>
          </w:p>
        </w:tc>
        <w:tc>
          <w:tcPr>
            <w:tcW w:w="922" w:type="dxa"/>
            <w:tcBorders>
              <w:top w:val="nil"/>
              <w:left w:val="nil"/>
              <w:bottom w:val="single" w:sz="4" w:space="0" w:color="auto"/>
              <w:right w:val="single" w:sz="4" w:space="0" w:color="auto"/>
            </w:tcBorders>
            <w:shd w:val="clear" w:color="auto" w:fill="auto"/>
            <w:vAlign w:val="center"/>
            <w:hideMark/>
          </w:tcPr>
          <w:p w14:paraId="27416E74"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36.39%</w:t>
            </w:r>
          </w:p>
        </w:tc>
        <w:tc>
          <w:tcPr>
            <w:tcW w:w="922" w:type="dxa"/>
            <w:tcBorders>
              <w:top w:val="nil"/>
              <w:left w:val="nil"/>
              <w:bottom w:val="single" w:sz="4" w:space="0" w:color="auto"/>
              <w:right w:val="single" w:sz="4" w:space="0" w:color="auto"/>
            </w:tcBorders>
            <w:shd w:val="clear" w:color="auto" w:fill="auto"/>
            <w:vAlign w:val="center"/>
            <w:hideMark/>
          </w:tcPr>
          <w:p w14:paraId="14372CE3"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34.13%</w:t>
            </w:r>
          </w:p>
        </w:tc>
        <w:tc>
          <w:tcPr>
            <w:tcW w:w="922" w:type="dxa"/>
            <w:tcBorders>
              <w:top w:val="nil"/>
              <w:left w:val="nil"/>
              <w:bottom w:val="single" w:sz="4" w:space="0" w:color="auto"/>
              <w:right w:val="single" w:sz="4" w:space="0" w:color="auto"/>
            </w:tcBorders>
            <w:shd w:val="clear" w:color="auto" w:fill="auto"/>
            <w:vAlign w:val="center"/>
            <w:hideMark/>
          </w:tcPr>
          <w:p w14:paraId="23C1C4A7"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35.49%</w:t>
            </w:r>
          </w:p>
        </w:tc>
        <w:tc>
          <w:tcPr>
            <w:tcW w:w="922" w:type="dxa"/>
            <w:tcBorders>
              <w:top w:val="nil"/>
              <w:left w:val="nil"/>
              <w:bottom w:val="single" w:sz="4" w:space="0" w:color="auto"/>
              <w:right w:val="single" w:sz="4" w:space="0" w:color="auto"/>
            </w:tcBorders>
            <w:shd w:val="clear" w:color="auto" w:fill="auto"/>
            <w:vAlign w:val="center"/>
            <w:hideMark/>
          </w:tcPr>
          <w:p w14:paraId="5BA1F962"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36.56%</w:t>
            </w:r>
          </w:p>
        </w:tc>
        <w:tc>
          <w:tcPr>
            <w:tcW w:w="922" w:type="dxa"/>
            <w:tcBorders>
              <w:top w:val="nil"/>
              <w:left w:val="nil"/>
              <w:bottom w:val="single" w:sz="4" w:space="0" w:color="auto"/>
              <w:right w:val="single" w:sz="4" w:space="0" w:color="auto"/>
            </w:tcBorders>
            <w:shd w:val="clear" w:color="auto" w:fill="auto"/>
            <w:vAlign w:val="center"/>
            <w:hideMark/>
          </w:tcPr>
          <w:p w14:paraId="6FE8FFB6"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36.54%</w:t>
            </w:r>
          </w:p>
        </w:tc>
        <w:tc>
          <w:tcPr>
            <w:tcW w:w="922" w:type="dxa"/>
            <w:tcBorders>
              <w:top w:val="nil"/>
              <w:left w:val="nil"/>
              <w:bottom w:val="single" w:sz="4" w:space="0" w:color="auto"/>
              <w:right w:val="single" w:sz="4" w:space="0" w:color="auto"/>
            </w:tcBorders>
            <w:shd w:val="clear" w:color="auto" w:fill="auto"/>
            <w:vAlign w:val="center"/>
            <w:hideMark/>
          </w:tcPr>
          <w:p w14:paraId="58A6E486"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40.94%</w:t>
            </w:r>
          </w:p>
        </w:tc>
        <w:tc>
          <w:tcPr>
            <w:tcW w:w="922" w:type="dxa"/>
            <w:tcBorders>
              <w:top w:val="nil"/>
              <w:left w:val="nil"/>
              <w:bottom w:val="single" w:sz="4" w:space="0" w:color="auto"/>
              <w:right w:val="single" w:sz="4" w:space="0" w:color="auto"/>
            </w:tcBorders>
            <w:shd w:val="clear" w:color="auto" w:fill="auto"/>
            <w:vAlign w:val="center"/>
            <w:hideMark/>
          </w:tcPr>
          <w:p w14:paraId="1599C8D1"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39.56%</w:t>
            </w:r>
          </w:p>
        </w:tc>
        <w:tc>
          <w:tcPr>
            <w:tcW w:w="922" w:type="dxa"/>
            <w:tcBorders>
              <w:top w:val="nil"/>
              <w:left w:val="nil"/>
              <w:bottom w:val="single" w:sz="4" w:space="0" w:color="auto"/>
              <w:right w:val="single" w:sz="4" w:space="0" w:color="auto"/>
            </w:tcBorders>
            <w:shd w:val="clear" w:color="auto" w:fill="auto"/>
            <w:vAlign w:val="center"/>
            <w:hideMark/>
          </w:tcPr>
          <w:p w14:paraId="47B9AF20" w14:textId="77777777" w:rsidR="006258B4" w:rsidRPr="0069016A" w:rsidRDefault="006258B4" w:rsidP="00536234">
            <w:pPr>
              <w:spacing w:after="0" w:line="240" w:lineRule="auto"/>
              <w:ind w:left="0" w:firstLine="0"/>
              <w:jc w:val="center"/>
              <w:rPr>
                <w:rFonts w:ascii="Times New Roman" w:eastAsia="Times New Roman" w:hAnsi="Times New Roman" w:cs="Times New Roman"/>
                <w:sz w:val="22"/>
              </w:rPr>
            </w:pPr>
            <w:r w:rsidRPr="0069016A">
              <w:rPr>
                <w:rFonts w:ascii="Times New Roman" w:eastAsia="Times New Roman" w:hAnsi="Times New Roman" w:cs="Times New Roman"/>
                <w:sz w:val="22"/>
                <w:szCs w:val="26"/>
              </w:rPr>
              <w:t>39.92%</w:t>
            </w:r>
          </w:p>
        </w:tc>
      </w:tr>
    </w:tbl>
    <w:p w14:paraId="06CF413C" w14:textId="77777777" w:rsidR="006258B4" w:rsidRPr="0069016A" w:rsidRDefault="006258B4" w:rsidP="00536234">
      <w:pPr>
        <w:spacing w:line="480" w:lineRule="auto"/>
        <w:ind w:left="0"/>
        <w:jc w:val="right"/>
        <w:rPr>
          <w:rFonts w:ascii="Times New Roman" w:hAnsi="Times New Roman" w:cs="Times New Roman"/>
          <w:sz w:val="22"/>
          <w:szCs w:val="26"/>
        </w:rPr>
      </w:pPr>
      <w:r>
        <w:rPr>
          <w:rFonts w:ascii="Times New Roman" w:hAnsi="Times New Roman" w:cs="Times New Roman"/>
          <w:sz w:val="22"/>
          <w:szCs w:val="26"/>
        </w:rPr>
        <w:t>(Source: Stata)</w:t>
      </w:r>
    </w:p>
    <w:p w14:paraId="58064B46" w14:textId="6F74622D" w:rsidR="006258B4" w:rsidRDefault="006E1FC1"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Table </w:t>
      </w:r>
      <w:r w:rsidR="00CD3783">
        <w:rPr>
          <w:rFonts w:ascii="Times New Roman" w:hAnsi="Times New Roman" w:cs="Times New Roman"/>
          <w:sz w:val="22"/>
          <w:szCs w:val="26"/>
        </w:rPr>
        <w:t>8</w:t>
      </w:r>
      <w:r w:rsidR="006258B4">
        <w:rPr>
          <w:rFonts w:ascii="Times New Roman" w:hAnsi="Times New Roman" w:cs="Times New Roman"/>
          <w:sz w:val="22"/>
          <w:szCs w:val="26"/>
        </w:rPr>
        <w:t xml:space="preserve"> shows that the percentage of companies with BBBEE deals increased throughout the years of study. The introduction of the Broad-Based Black Economic Empowerment Act No.53 in the year 2003 seem</w:t>
      </w:r>
      <w:r w:rsidR="005F30CC">
        <w:rPr>
          <w:rFonts w:ascii="Times New Roman" w:hAnsi="Times New Roman" w:cs="Times New Roman"/>
          <w:sz w:val="22"/>
          <w:szCs w:val="26"/>
        </w:rPr>
        <w:t>s</w:t>
      </w:r>
      <w:r w:rsidR="006258B4">
        <w:rPr>
          <w:rFonts w:ascii="Times New Roman" w:hAnsi="Times New Roman" w:cs="Times New Roman"/>
          <w:sz w:val="22"/>
          <w:szCs w:val="26"/>
        </w:rPr>
        <w:t xml:space="preserve"> to have had a significant </w:t>
      </w:r>
      <w:r w:rsidR="006258B4" w:rsidRPr="00A71948">
        <w:rPr>
          <w:rFonts w:ascii="Times New Roman" w:hAnsi="Times New Roman" w:cs="Times New Roman"/>
          <w:sz w:val="22"/>
          <w:szCs w:val="26"/>
        </w:rPr>
        <w:t>effect</w:t>
      </w:r>
      <w:r w:rsidR="00C655AD" w:rsidRPr="00A71948">
        <w:rPr>
          <w:rFonts w:ascii="Times New Roman" w:hAnsi="Times New Roman" w:cs="Times New Roman"/>
          <w:sz w:val="22"/>
          <w:szCs w:val="26"/>
        </w:rPr>
        <w:t xml:space="preserve"> </w:t>
      </w:r>
      <w:r w:rsidR="00A71948" w:rsidRPr="00A71948">
        <w:rPr>
          <w:rFonts w:ascii="Times New Roman" w:hAnsi="Times New Roman" w:cs="Times New Roman"/>
          <w:sz w:val="22"/>
          <w:szCs w:val="26"/>
        </w:rPr>
        <w:t>(See Chapter 1</w:t>
      </w:r>
      <w:r w:rsidR="00C655AD" w:rsidRPr="00A71948">
        <w:rPr>
          <w:rFonts w:ascii="Times New Roman" w:hAnsi="Times New Roman" w:cs="Times New Roman"/>
          <w:sz w:val="22"/>
          <w:szCs w:val="26"/>
        </w:rPr>
        <w:t xml:space="preserve">- </w:t>
      </w:r>
      <w:r w:rsidR="00A71948" w:rsidRPr="00A71948">
        <w:rPr>
          <w:rFonts w:ascii="Times New Roman" w:hAnsi="Times New Roman" w:cs="Times New Roman"/>
          <w:sz w:val="22"/>
          <w:szCs w:val="26"/>
        </w:rPr>
        <w:t>Introduction</w:t>
      </w:r>
      <w:r w:rsidR="00C655AD" w:rsidRPr="00A71948">
        <w:rPr>
          <w:rFonts w:ascii="Times New Roman" w:hAnsi="Times New Roman" w:cs="Times New Roman"/>
          <w:sz w:val="22"/>
          <w:szCs w:val="26"/>
        </w:rPr>
        <w:t>)</w:t>
      </w:r>
      <w:r w:rsidR="006258B4" w:rsidRPr="00A71948">
        <w:rPr>
          <w:rFonts w:ascii="Times New Roman" w:hAnsi="Times New Roman" w:cs="Times New Roman"/>
          <w:sz w:val="22"/>
          <w:szCs w:val="26"/>
        </w:rPr>
        <w:t>. The percentage n</w:t>
      </w:r>
      <w:r w:rsidR="006258B4">
        <w:rPr>
          <w:rFonts w:ascii="Times New Roman" w:hAnsi="Times New Roman" w:cs="Times New Roman"/>
          <w:sz w:val="22"/>
          <w:szCs w:val="26"/>
        </w:rPr>
        <w:t xml:space="preserve">umber of companies in the data set with BBBEE deals in place almost doubled from 2003 to 2004 after the introduction of the </w:t>
      </w:r>
      <w:r w:rsidR="005F30CC">
        <w:rPr>
          <w:rFonts w:ascii="Times New Roman" w:hAnsi="Times New Roman" w:cs="Times New Roman"/>
          <w:sz w:val="22"/>
          <w:szCs w:val="26"/>
        </w:rPr>
        <w:t>A</w:t>
      </w:r>
      <w:r w:rsidR="006258B4">
        <w:rPr>
          <w:rFonts w:ascii="Times New Roman" w:hAnsi="Times New Roman" w:cs="Times New Roman"/>
          <w:sz w:val="22"/>
          <w:szCs w:val="26"/>
        </w:rPr>
        <w:t>ct. This response led to the big jump</w:t>
      </w:r>
      <w:r w:rsidR="005F30CC">
        <w:rPr>
          <w:rFonts w:ascii="Times New Roman" w:hAnsi="Times New Roman" w:cs="Times New Roman"/>
          <w:sz w:val="22"/>
          <w:szCs w:val="26"/>
        </w:rPr>
        <w:t xml:space="preserve"> in companies’ party to these Deals</w:t>
      </w:r>
      <w:r w:rsidR="006258B4">
        <w:rPr>
          <w:rFonts w:ascii="Times New Roman" w:hAnsi="Times New Roman" w:cs="Times New Roman"/>
          <w:sz w:val="22"/>
          <w:szCs w:val="26"/>
        </w:rPr>
        <w:t xml:space="preserve"> between 2003 and 2004. This number further increased signific</w:t>
      </w:r>
      <w:r>
        <w:rPr>
          <w:rFonts w:ascii="Times New Roman" w:hAnsi="Times New Roman" w:cs="Times New Roman"/>
          <w:sz w:val="22"/>
          <w:szCs w:val="26"/>
        </w:rPr>
        <w:t xml:space="preserve">antly in 2005 and 2006. Table </w:t>
      </w:r>
      <w:r w:rsidR="00CD3783">
        <w:rPr>
          <w:rFonts w:ascii="Times New Roman" w:hAnsi="Times New Roman" w:cs="Times New Roman"/>
          <w:sz w:val="22"/>
          <w:szCs w:val="26"/>
        </w:rPr>
        <w:t>9</w:t>
      </w:r>
      <w:r w:rsidR="006258B4">
        <w:rPr>
          <w:rFonts w:ascii="Times New Roman" w:hAnsi="Times New Roman" w:cs="Times New Roman"/>
          <w:sz w:val="22"/>
          <w:szCs w:val="26"/>
        </w:rPr>
        <w:t xml:space="preserve"> indicates that the average dividend pay-out ratio of the entire sample does vary year on year. Moreover</w:t>
      </w:r>
      <w:r w:rsidR="00CD3783">
        <w:rPr>
          <w:rFonts w:ascii="Times New Roman" w:hAnsi="Times New Roman" w:cs="Times New Roman"/>
          <w:sz w:val="22"/>
          <w:szCs w:val="26"/>
        </w:rPr>
        <w:t>,</w:t>
      </w:r>
      <w:r w:rsidR="006258B4">
        <w:rPr>
          <w:rFonts w:ascii="Times New Roman" w:hAnsi="Times New Roman" w:cs="Times New Roman"/>
          <w:sz w:val="22"/>
          <w:szCs w:val="26"/>
        </w:rPr>
        <w:t xml:space="preserve"> there seems to be an upward trend with later years paying higher dividends then earlier years.</w:t>
      </w:r>
    </w:p>
    <w:p w14:paraId="0482AA47" w14:textId="6DC4E7D6"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This table showing the overall average dividend pay-out ratio throughout the study period can further be broken down based on companies forming part of either the control group or treatment group. These </w:t>
      </w:r>
      <w:r>
        <w:rPr>
          <w:rFonts w:ascii="Times New Roman" w:hAnsi="Times New Roman" w:cs="Times New Roman"/>
          <w:sz w:val="22"/>
          <w:szCs w:val="26"/>
        </w:rPr>
        <w:lastRenderedPageBreak/>
        <w:t xml:space="preserve">tables are presented below with Table </w:t>
      </w:r>
      <w:r w:rsidR="00CD3783">
        <w:rPr>
          <w:rFonts w:ascii="Times New Roman" w:hAnsi="Times New Roman" w:cs="Times New Roman"/>
          <w:sz w:val="22"/>
          <w:szCs w:val="26"/>
        </w:rPr>
        <w:t>10</w:t>
      </w:r>
      <w:r>
        <w:rPr>
          <w:rFonts w:ascii="Times New Roman" w:hAnsi="Times New Roman" w:cs="Times New Roman"/>
          <w:sz w:val="22"/>
          <w:szCs w:val="26"/>
        </w:rPr>
        <w:t xml:space="preserve"> showing the breakdown for companies forming part of the </w:t>
      </w:r>
      <w:r w:rsidR="00CD3783">
        <w:rPr>
          <w:rFonts w:ascii="Times New Roman" w:hAnsi="Times New Roman" w:cs="Times New Roman"/>
          <w:sz w:val="22"/>
          <w:szCs w:val="26"/>
        </w:rPr>
        <w:t>treatment</w:t>
      </w:r>
      <w:r>
        <w:rPr>
          <w:rFonts w:ascii="Times New Roman" w:hAnsi="Times New Roman" w:cs="Times New Roman"/>
          <w:sz w:val="22"/>
          <w:szCs w:val="26"/>
        </w:rPr>
        <w:t xml:space="preserve"> group with Table 1</w:t>
      </w:r>
      <w:r w:rsidR="00CD3783">
        <w:rPr>
          <w:rFonts w:ascii="Times New Roman" w:hAnsi="Times New Roman" w:cs="Times New Roman"/>
          <w:sz w:val="22"/>
          <w:szCs w:val="26"/>
        </w:rPr>
        <w:t>1</w:t>
      </w:r>
      <w:r>
        <w:rPr>
          <w:rFonts w:ascii="Times New Roman" w:hAnsi="Times New Roman" w:cs="Times New Roman"/>
          <w:sz w:val="22"/>
          <w:szCs w:val="26"/>
        </w:rPr>
        <w:t xml:space="preserve"> illustrating that for companies allocated to the </w:t>
      </w:r>
      <w:r w:rsidR="00CD3783">
        <w:rPr>
          <w:rFonts w:ascii="Times New Roman" w:hAnsi="Times New Roman" w:cs="Times New Roman"/>
          <w:sz w:val="22"/>
          <w:szCs w:val="26"/>
        </w:rPr>
        <w:t>control</w:t>
      </w:r>
      <w:r>
        <w:rPr>
          <w:rFonts w:ascii="Times New Roman" w:hAnsi="Times New Roman" w:cs="Times New Roman"/>
          <w:sz w:val="22"/>
          <w:szCs w:val="26"/>
        </w:rPr>
        <w:t xml:space="preserve"> group:</w:t>
      </w:r>
    </w:p>
    <w:p w14:paraId="23CB2436" w14:textId="35FEF647" w:rsidR="00942D0A" w:rsidRPr="00844AB1" w:rsidRDefault="00D431C5"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10</w:t>
      </w:r>
      <w:r>
        <w:rPr>
          <w:rFonts w:ascii="Times New Roman" w:hAnsi="Times New Roman" w:cs="Times New Roman"/>
          <w:b/>
          <w:sz w:val="22"/>
          <w:szCs w:val="26"/>
          <w:u w:val="single"/>
        </w:rPr>
        <w:t>- Average Annual Dividend Pay-O</w:t>
      </w:r>
      <w:r w:rsidR="006258B4" w:rsidRPr="00844AB1">
        <w:rPr>
          <w:rFonts w:ascii="Times New Roman" w:hAnsi="Times New Roman" w:cs="Times New Roman"/>
          <w:b/>
          <w:sz w:val="22"/>
          <w:szCs w:val="26"/>
          <w:u w:val="single"/>
        </w:rPr>
        <w:t xml:space="preserve">ut Ratio for the </w:t>
      </w:r>
      <w:r w:rsidR="006258B4">
        <w:rPr>
          <w:rFonts w:ascii="Times New Roman" w:hAnsi="Times New Roman" w:cs="Times New Roman"/>
          <w:b/>
          <w:sz w:val="22"/>
          <w:szCs w:val="26"/>
          <w:u w:val="single"/>
        </w:rPr>
        <w:t xml:space="preserve">Treatment </w:t>
      </w:r>
      <w:r w:rsidR="006258B4" w:rsidRPr="00844AB1">
        <w:rPr>
          <w:rFonts w:ascii="Times New Roman" w:hAnsi="Times New Roman" w:cs="Times New Roman"/>
          <w:b/>
          <w:sz w:val="22"/>
          <w:szCs w:val="26"/>
          <w:u w:val="single"/>
        </w:rPr>
        <w:t xml:space="preserve">Group </w:t>
      </w:r>
      <w:r>
        <w:rPr>
          <w:rFonts w:ascii="Times New Roman" w:hAnsi="Times New Roman" w:cs="Times New Roman"/>
          <w:b/>
          <w:sz w:val="22"/>
          <w:szCs w:val="26"/>
          <w:u w:val="single"/>
        </w:rPr>
        <w:t>O</w:t>
      </w:r>
      <w:r w:rsidR="006258B4" w:rsidRPr="00844AB1">
        <w:rPr>
          <w:rFonts w:ascii="Times New Roman" w:hAnsi="Times New Roman" w:cs="Times New Roman"/>
          <w:b/>
          <w:sz w:val="22"/>
          <w:szCs w:val="26"/>
          <w:u w:val="single"/>
        </w:rPr>
        <w:t xml:space="preserve">ver the </w:t>
      </w:r>
      <w:r w:rsidR="006258B4">
        <w:rPr>
          <w:rFonts w:ascii="Times New Roman" w:hAnsi="Times New Roman" w:cs="Times New Roman"/>
          <w:b/>
          <w:sz w:val="22"/>
          <w:szCs w:val="26"/>
          <w:u w:val="single"/>
        </w:rPr>
        <w:t>E</w:t>
      </w:r>
      <w:r w:rsidR="006258B4" w:rsidRPr="00844AB1">
        <w:rPr>
          <w:rFonts w:ascii="Times New Roman" w:hAnsi="Times New Roman" w:cs="Times New Roman"/>
          <w:b/>
          <w:sz w:val="22"/>
          <w:szCs w:val="26"/>
          <w:u w:val="single"/>
        </w:rPr>
        <w:t>ntire Study Period:</w:t>
      </w:r>
    </w:p>
    <w:tbl>
      <w:tblPr>
        <w:tblW w:w="9081" w:type="dxa"/>
        <w:jc w:val="center"/>
        <w:tblLook w:val="04A0" w:firstRow="1" w:lastRow="0" w:firstColumn="1" w:lastColumn="0" w:noHBand="0" w:noVBand="1"/>
      </w:tblPr>
      <w:tblGrid>
        <w:gridCol w:w="1843"/>
        <w:gridCol w:w="907"/>
        <w:gridCol w:w="904"/>
        <w:gridCol w:w="904"/>
        <w:gridCol w:w="904"/>
        <w:gridCol w:w="904"/>
        <w:gridCol w:w="904"/>
        <w:gridCol w:w="904"/>
        <w:gridCol w:w="907"/>
      </w:tblGrid>
      <w:tr w:rsidR="006258B4" w:rsidRPr="008D7758" w14:paraId="26475F8E" w14:textId="77777777" w:rsidTr="008463F8">
        <w:trPr>
          <w:trHeight w:val="226"/>
          <w:jc w:val="center"/>
        </w:trPr>
        <w:tc>
          <w:tcPr>
            <w:tcW w:w="1843" w:type="dxa"/>
            <w:tcBorders>
              <w:top w:val="nil"/>
              <w:left w:val="nil"/>
              <w:bottom w:val="nil"/>
              <w:right w:val="nil"/>
            </w:tcBorders>
            <w:shd w:val="clear" w:color="auto" w:fill="auto"/>
            <w:noWrap/>
            <w:vAlign w:val="bottom"/>
            <w:hideMark/>
          </w:tcPr>
          <w:p w14:paraId="4338EADB" w14:textId="77777777" w:rsidR="006258B4" w:rsidRPr="008D7758" w:rsidRDefault="006258B4" w:rsidP="00536234">
            <w:pPr>
              <w:spacing w:after="0" w:line="240" w:lineRule="auto"/>
              <w:ind w:left="0" w:firstLine="0"/>
              <w:jc w:val="center"/>
              <w:rPr>
                <w:rFonts w:ascii="Times New Roman" w:eastAsia="Times New Roman" w:hAnsi="Times New Roman" w:cs="Times New Roman"/>
                <w:color w:val="auto"/>
                <w:sz w:val="20"/>
                <w:szCs w:val="24"/>
              </w:rPr>
            </w:pPr>
          </w:p>
        </w:tc>
        <w:tc>
          <w:tcPr>
            <w:tcW w:w="7238" w:type="dxa"/>
            <w:gridSpan w:val="8"/>
            <w:tcBorders>
              <w:top w:val="single" w:sz="8" w:space="0" w:color="auto"/>
              <w:left w:val="single" w:sz="8" w:space="0" w:color="auto"/>
              <w:bottom w:val="single" w:sz="8" w:space="0" w:color="auto"/>
              <w:right w:val="single" w:sz="8" w:space="0" w:color="000000"/>
            </w:tcBorders>
            <w:shd w:val="clear" w:color="000000" w:fill="BDD6EE"/>
            <w:vAlign w:val="center"/>
            <w:hideMark/>
          </w:tcPr>
          <w:p w14:paraId="7996B915"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Time</w:t>
            </w:r>
          </w:p>
        </w:tc>
      </w:tr>
      <w:tr w:rsidR="006258B4" w:rsidRPr="008D7758" w14:paraId="7095F2C6" w14:textId="77777777" w:rsidTr="008463F8">
        <w:trPr>
          <w:trHeight w:val="226"/>
          <w:jc w:val="center"/>
        </w:trPr>
        <w:tc>
          <w:tcPr>
            <w:tcW w:w="1843" w:type="dxa"/>
            <w:tcBorders>
              <w:top w:val="nil"/>
              <w:left w:val="nil"/>
              <w:bottom w:val="nil"/>
              <w:right w:val="nil"/>
            </w:tcBorders>
            <w:shd w:val="clear" w:color="auto" w:fill="auto"/>
            <w:vAlign w:val="center"/>
            <w:hideMark/>
          </w:tcPr>
          <w:p w14:paraId="1B29870E"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p>
        </w:tc>
        <w:tc>
          <w:tcPr>
            <w:tcW w:w="907" w:type="dxa"/>
            <w:tcBorders>
              <w:top w:val="nil"/>
              <w:left w:val="single" w:sz="8" w:space="0" w:color="auto"/>
              <w:bottom w:val="single" w:sz="8" w:space="0" w:color="auto"/>
              <w:right w:val="single" w:sz="8" w:space="0" w:color="auto"/>
            </w:tcBorders>
            <w:shd w:val="clear" w:color="auto" w:fill="auto"/>
            <w:vAlign w:val="center"/>
            <w:hideMark/>
          </w:tcPr>
          <w:p w14:paraId="232EEDF8"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1999</w:t>
            </w:r>
          </w:p>
        </w:tc>
        <w:tc>
          <w:tcPr>
            <w:tcW w:w="904" w:type="dxa"/>
            <w:tcBorders>
              <w:top w:val="nil"/>
              <w:left w:val="nil"/>
              <w:bottom w:val="single" w:sz="8" w:space="0" w:color="auto"/>
              <w:right w:val="single" w:sz="8" w:space="0" w:color="auto"/>
            </w:tcBorders>
            <w:shd w:val="clear" w:color="auto" w:fill="auto"/>
            <w:vAlign w:val="center"/>
            <w:hideMark/>
          </w:tcPr>
          <w:p w14:paraId="5A6BFA51"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2000</w:t>
            </w:r>
          </w:p>
        </w:tc>
        <w:tc>
          <w:tcPr>
            <w:tcW w:w="904" w:type="dxa"/>
            <w:tcBorders>
              <w:top w:val="nil"/>
              <w:left w:val="nil"/>
              <w:bottom w:val="single" w:sz="8" w:space="0" w:color="auto"/>
              <w:right w:val="single" w:sz="8" w:space="0" w:color="auto"/>
            </w:tcBorders>
            <w:shd w:val="clear" w:color="auto" w:fill="auto"/>
            <w:vAlign w:val="center"/>
            <w:hideMark/>
          </w:tcPr>
          <w:p w14:paraId="7B6ECA3E"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2001</w:t>
            </w:r>
          </w:p>
        </w:tc>
        <w:tc>
          <w:tcPr>
            <w:tcW w:w="904" w:type="dxa"/>
            <w:tcBorders>
              <w:top w:val="nil"/>
              <w:left w:val="nil"/>
              <w:bottom w:val="single" w:sz="8" w:space="0" w:color="auto"/>
              <w:right w:val="single" w:sz="8" w:space="0" w:color="auto"/>
            </w:tcBorders>
            <w:shd w:val="clear" w:color="auto" w:fill="auto"/>
            <w:vAlign w:val="center"/>
            <w:hideMark/>
          </w:tcPr>
          <w:p w14:paraId="64519E0A"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2002</w:t>
            </w:r>
          </w:p>
        </w:tc>
        <w:tc>
          <w:tcPr>
            <w:tcW w:w="904" w:type="dxa"/>
            <w:tcBorders>
              <w:top w:val="nil"/>
              <w:left w:val="nil"/>
              <w:bottom w:val="single" w:sz="8" w:space="0" w:color="auto"/>
              <w:right w:val="single" w:sz="8" w:space="0" w:color="auto"/>
            </w:tcBorders>
            <w:shd w:val="clear" w:color="auto" w:fill="auto"/>
            <w:vAlign w:val="center"/>
            <w:hideMark/>
          </w:tcPr>
          <w:p w14:paraId="2A28C6AB"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2003</w:t>
            </w:r>
          </w:p>
        </w:tc>
        <w:tc>
          <w:tcPr>
            <w:tcW w:w="904" w:type="dxa"/>
            <w:tcBorders>
              <w:top w:val="nil"/>
              <w:left w:val="nil"/>
              <w:bottom w:val="single" w:sz="8" w:space="0" w:color="auto"/>
              <w:right w:val="single" w:sz="8" w:space="0" w:color="auto"/>
            </w:tcBorders>
            <w:shd w:val="clear" w:color="auto" w:fill="auto"/>
            <w:vAlign w:val="center"/>
            <w:hideMark/>
          </w:tcPr>
          <w:p w14:paraId="795A4A36"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2004</w:t>
            </w:r>
          </w:p>
        </w:tc>
        <w:tc>
          <w:tcPr>
            <w:tcW w:w="904" w:type="dxa"/>
            <w:tcBorders>
              <w:top w:val="nil"/>
              <w:left w:val="nil"/>
              <w:bottom w:val="single" w:sz="8" w:space="0" w:color="auto"/>
              <w:right w:val="single" w:sz="8" w:space="0" w:color="auto"/>
            </w:tcBorders>
            <w:shd w:val="clear" w:color="auto" w:fill="auto"/>
            <w:vAlign w:val="center"/>
            <w:hideMark/>
          </w:tcPr>
          <w:p w14:paraId="17DDED62"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2005</w:t>
            </w:r>
          </w:p>
        </w:tc>
        <w:tc>
          <w:tcPr>
            <w:tcW w:w="907" w:type="dxa"/>
            <w:tcBorders>
              <w:top w:val="nil"/>
              <w:left w:val="nil"/>
              <w:bottom w:val="single" w:sz="8" w:space="0" w:color="auto"/>
              <w:right w:val="single" w:sz="8" w:space="0" w:color="auto"/>
            </w:tcBorders>
            <w:shd w:val="clear" w:color="auto" w:fill="auto"/>
            <w:vAlign w:val="center"/>
            <w:hideMark/>
          </w:tcPr>
          <w:p w14:paraId="37E89481"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2006</w:t>
            </w:r>
          </w:p>
        </w:tc>
      </w:tr>
      <w:tr w:rsidR="006258B4" w:rsidRPr="008D7758" w14:paraId="5C1E71C7" w14:textId="77777777" w:rsidTr="008463F8">
        <w:trPr>
          <w:trHeight w:val="843"/>
          <w:jc w:val="center"/>
        </w:trPr>
        <w:tc>
          <w:tcPr>
            <w:tcW w:w="184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38F94EF"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Average Dividend Pay-out Ratio</w:t>
            </w:r>
          </w:p>
        </w:tc>
        <w:tc>
          <w:tcPr>
            <w:tcW w:w="907" w:type="dxa"/>
            <w:tcBorders>
              <w:top w:val="nil"/>
              <w:left w:val="nil"/>
              <w:bottom w:val="single" w:sz="8" w:space="0" w:color="auto"/>
              <w:right w:val="single" w:sz="8" w:space="0" w:color="auto"/>
            </w:tcBorders>
            <w:shd w:val="clear" w:color="auto" w:fill="auto"/>
            <w:vAlign w:val="center"/>
            <w:hideMark/>
          </w:tcPr>
          <w:p w14:paraId="76516A2A" w14:textId="77777777" w:rsidR="006258B4" w:rsidRPr="008D7758" w:rsidRDefault="007244FC" w:rsidP="00536234">
            <w:pPr>
              <w:spacing w:after="0" w:line="240" w:lineRule="auto"/>
              <w:ind w:left="0" w:firstLine="0"/>
              <w:jc w:val="center"/>
              <w:rPr>
                <w:rFonts w:ascii="Times New Roman" w:eastAsia="Times New Roman" w:hAnsi="Times New Roman" w:cs="Times New Roman"/>
                <w:sz w:val="22"/>
              </w:rPr>
            </w:pPr>
            <w:r>
              <w:rPr>
                <w:rFonts w:ascii="Times New Roman" w:eastAsia="Times New Roman" w:hAnsi="Times New Roman" w:cs="Times New Roman"/>
                <w:sz w:val="22"/>
              </w:rPr>
              <w:t>25.28%</w:t>
            </w:r>
          </w:p>
        </w:tc>
        <w:tc>
          <w:tcPr>
            <w:tcW w:w="904" w:type="dxa"/>
            <w:tcBorders>
              <w:top w:val="nil"/>
              <w:left w:val="nil"/>
              <w:bottom w:val="single" w:sz="8" w:space="0" w:color="auto"/>
              <w:right w:val="single" w:sz="8" w:space="0" w:color="auto"/>
            </w:tcBorders>
            <w:shd w:val="clear" w:color="auto" w:fill="auto"/>
            <w:vAlign w:val="center"/>
            <w:hideMark/>
          </w:tcPr>
          <w:p w14:paraId="2C62C931"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58.10%</w:t>
            </w:r>
          </w:p>
        </w:tc>
        <w:tc>
          <w:tcPr>
            <w:tcW w:w="904" w:type="dxa"/>
            <w:tcBorders>
              <w:top w:val="nil"/>
              <w:left w:val="nil"/>
              <w:bottom w:val="single" w:sz="8" w:space="0" w:color="auto"/>
              <w:right w:val="single" w:sz="8" w:space="0" w:color="auto"/>
            </w:tcBorders>
            <w:shd w:val="clear" w:color="auto" w:fill="auto"/>
            <w:vAlign w:val="center"/>
            <w:hideMark/>
          </w:tcPr>
          <w:p w14:paraId="64CD210F"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54.80%</w:t>
            </w:r>
          </w:p>
        </w:tc>
        <w:tc>
          <w:tcPr>
            <w:tcW w:w="904" w:type="dxa"/>
            <w:tcBorders>
              <w:top w:val="nil"/>
              <w:left w:val="nil"/>
              <w:bottom w:val="single" w:sz="8" w:space="0" w:color="auto"/>
              <w:right w:val="single" w:sz="8" w:space="0" w:color="auto"/>
            </w:tcBorders>
            <w:shd w:val="clear" w:color="auto" w:fill="auto"/>
            <w:vAlign w:val="center"/>
            <w:hideMark/>
          </w:tcPr>
          <w:p w14:paraId="2C7A287F"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43.36%</w:t>
            </w:r>
          </w:p>
        </w:tc>
        <w:tc>
          <w:tcPr>
            <w:tcW w:w="904" w:type="dxa"/>
            <w:tcBorders>
              <w:top w:val="nil"/>
              <w:left w:val="nil"/>
              <w:bottom w:val="single" w:sz="8" w:space="0" w:color="auto"/>
              <w:right w:val="single" w:sz="8" w:space="0" w:color="auto"/>
            </w:tcBorders>
            <w:shd w:val="clear" w:color="auto" w:fill="auto"/>
            <w:vAlign w:val="center"/>
            <w:hideMark/>
          </w:tcPr>
          <w:p w14:paraId="65706720"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45.15%</w:t>
            </w:r>
          </w:p>
        </w:tc>
        <w:tc>
          <w:tcPr>
            <w:tcW w:w="904" w:type="dxa"/>
            <w:tcBorders>
              <w:top w:val="nil"/>
              <w:left w:val="nil"/>
              <w:bottom w:val="single" w:sz="8" w:space="0" w:color="auto"/>
              <w:right w:val="single" w:sz="8" w:space="0" w:color="auto"/>
            </w:tcBorders>
            <w:shd w:val="clear" w:color="auto" w:fill="auto"/>
            <w:vAlign w:val="center"/>
            <w:hideMark/>
          </w:tcPr>
          <w:p w14:paraId="24313269"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49.37%</w:t>
            </w:r>
          </w:p>
        </w:tc>
        <w:tc>
          <w:tcPr>
            <w:tcW w:w="904" w:type="dxa"/>
            <w:tcBorders>
              <w:top w:val="nil"/>
              <w:left w:val="nil"/>
              <w:bottom w:val="single" w:sz="8" w:space="0" w:color="auto"/>
              <w:right w:val="single" w:sz="8" w:space="0" w:color="auto"/>
            </w:tcBorders>
            <w:shd w:val="clear" w:color="auto" w:fill="auto"/>
            <w:vAlign w:val="center"/>
            <w:hideMark/>
          </w:tcPr>
          <w:p w14:paraId="0E679C52"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35.89%</w:t>
            </w:r>
          </w:p>
        </w:tc>
        <w:tc>
          <w:tcPr>
            <w:tcW w:w="907" w:type="dxa"/>
            <w:tcBorders>
              <w:top w:val="nil"/>
              <w:left w:val="nil"/>
              <w:bottom w:val="single" w:sz="8" w:space="0" w:color="auto"/>
              <w:right w:val="single" w:sz="8" w:space="0" w:color="auto"/>
            </w:tcBorders>
            <w:shd w:val="clear" w:color="auto" w:fill="auto"/>
            <w:vAlign w:val="center"/>
            <w:hideMark/>
          </w:tcPr>
          <w:p w14:paraId="37E4B5C7" w14:textId="77777777" w:rsidR="006258B4" w:rsidRPr="008D7758" w:rsidRDefault="006258B4" w:rsidP="00536234">
            <w:pPr>
              <w:spacing w:after="0" w:line="240" w:lineRule="auto"/>
              <w:ind w:left="0" w:firstLine="0"/>
              <w:jc w:val="center"/>
              <w:rPr>
                <w:rFonts w:ascii="Times New Roman" w:eastAsia="Times New Roman" w:hAnsi="Times New Roman" w:cs="Times New Roman"/>
                <w:sz w:val="22"/>
              </w:rPr>
            </w:pPr>
            <w:r w:rsidRPr="008D7758">
              <w:rPr>
                <w:rFonts w:ascii="Times New Roman" w:eastAsia="Times New Roman" w:hAnsi="Times New Roman" w:cs="Times New Roman"/>
                <w:sz w:val="22"/>
              </w:rPr>
              <w:t>39.69%</w:t>
            </w:r>
          </w:p>
        </w:tc>
      </w:tr>
    </w:tbl>
    <w:p w14:paraId="16FFBB02" w14:textId="77777777" w:rsidR="006258B4" w:rsidRDefault="004949C3" w:rsidP="00536234">
      <w:pPr>
        <w:spacing w:line="480" w:lineRule="auto"/>
        <w:ind w:left="0"/>
        <w:jc w:val="right"/>
        <w:rPr>
          <w:rFonts w:ascii="Times New Roman" w:hAnsi="Times New Roman" w:cs="Times New Roman"/>
          <w:sz w:val="22"/>
          <w:szCs w:val="26"/>
        </w:rPr>
      </w:pPr>
      <w:r w:rsidRPr="004949C3">
        <w:rPr>
          <w:rFonts w:ascii="Times New Roman" w:hAnsi="Times New Roman" w:cs="Times New Roman"/>
          <w:sz w:val="22"/>
          <w:szCs w:val="26"/>
        </w:rPr>
        <w:t>(Source: Stata)</w:t>
      </w:r>
    </w:p>
    <w:p w14:paraId="6BB5FBCA" w14:textId="17E0C05B" w:rsidR="006258B4" w:rsidRPr="00844AB1" w:rsidRDefault="006258B4" w:rsidP="00536234">
      <w:pPr>
        <w:spacing w:line="480" w:lineRule="auto"/>
        <w:ind w:left="0"/>
        <w:rPr>
          <w:rFonts w:ascii="Times New Roman" w:hAnsi="Times New Roman" w:cs="Times New Roman"/>
          <w:b/>
          <w:sz w:val="22"/>
          <w:szCs w:val="26"/>
          <w:u w:val="single"/>
        </w:rPr>
      </w:pPr>
      <w:r w:rsidRPr="00844AB1">
        <w:rPr>
          <w:rFonts w:ascii="Times New Roman" w:hAnsi="Times New Roman" w:cs="Times New Roman"/>
          <w:b/>
          <w:sz w:val="22"/>
          <w:szCs w:val="26"/>
          <w:u w:val="single"/>
        </w:rPr>
        <w:t xml:space="preserve">Table </w:t>
      </w:r>
      <w:r w:rsidR="008F2EC9">
        <w:rPr>
          <w:rFonts w:ascii="Times New Roman" w:hAnsi="Times New Roman" w:cs="Times New Roman"/>
          <w:b/>
          <w:sz w:val="22"/>
          <w:szCs w:val="26"/>
          <w:u w:val="single"/>
        </w:rPr>
        <w:t>11</w:t>
      </w:r>
      <w:r w:rsidR="00D431C5">
        <w:rPr>
          <w:rFonts w:ascii="Times New Roman" w:hAnsi="Times New Roman" w:cs="Times New Roman"/>
          <w:b/>
          <w:sz w:val="22"/>
          <w:szCs w:val="26"/>
          <w:u w:val="single"/>
        </w:rPr>
        <w:t>- Average Annual Dividend Pay-O</w:t>
      </w:r>
      <w:r w:rsidRPr="00844AB1">
        <w:rPr>
          <w:rFonts w:ascii="Times New Roman" w:hAnsi="Times New Roman" w:cs="Times New Roman"/>
          <w:b/>
          <w:sz w:val="22"/>
          <w:szCs w:val="26"/>
          <w:u w:val="single"/>
        </w:rPr>
        <w:t xml:space="preserve">ut Ratio for the </w:t>
      </w:r>
      <w:r>
        <w:rPr>
          <w:rFonts w:ascii="Times New Roman" w:hAnsi="Times New Roman" w:cs="Times New Roman"/>
          <w:b/>
          <w:sz w:val="22"/>
          <w:szCs w:val="26"/>
          <w:u w:val="single"/>
        </w:rPr>
        <w:t>Control</w:t>
      </w:r>
      <w:r w:rsidR="00D431C5">
        <w:rPr>
          <w:rFonts w:ascii="Times New Roman" w:hAnsi="Times New Roman" w:cs="Times New Roman"/>
          <w:b/>
          <w:sz w:val="22"/>
          <w:szCs w:val="26"/>
          <w:u w:val="single"/>
        </w:rPr>
        <w:t xml:space="preserve"> Group O</w:t>
      </w:r>
      <w:r w:rsidRPr="00844AB1">
        <w:rPr>
          <w:rFonts w:ascii="Times New Roman" w:hAnsi="Times New Roman" w:cs="Times New Roman"/>
          <w:b/>
          <w:sz w:val="22"/>
          <w:szCs w:val="26"/>
          <w:u w:val="single"/>
        </w:rPr>
        <w:t xml:space="preserve">ver the </w:t>
      </w:r>
      <w:r>
        <w:rPr>
          <w:rFonts w:ascii="Times New Roman" w:hAnsi="Times New Roman" w:cs="Times New Roman"/>
          <w:b/>
          <w:sz w:val="22"/>
          <w:szCs w:val="26"/>
          <w:u w:val="single"/>
        </w:rPr>
        <w:t>E</w:t>
      </w:r>
      <w:r w:rsidRPr="00844AB1">
        <w:rPr>
          <w:rFonts w:ascii="Times New Roman" w:hAnsi="Times New Roman" w:cs="Times New Roman"/>
          <w:b/>
          <w:sz w:val="22"/>
          <w:szCs w:val="26"/>
          <w:u w:val="single"/>
        </w:rPr>
        <w:t>ntire Study Period:</w:t>
      </w:r>
    </w:p>
    <w:tbl>
      <w:tblPr>
        <w:tblW w:w="9143" w:type="dxa"/>
        <w:jc w:val="center"/>
        <w:tblLook w:val="04A0" w:firstRow="1" w:lastRow="0" w:firstColumn="1" w:lastColumn="0" w:noHBand="0" w:noVBand="1"/>
      </w:tblPr>
      <w:tblGrid>
        <w:gridCol w:w="1843"/>
        <w:gridCol w:w="1035"/>
        <w:gridCol w:w="895"/>
        <w:gridCol w:w="895"/>
        <w:gridCol w:w="895"/>
        <w:gridCol w:w="895"/>
        <w:gridCol w:w="895"/>
        <w:gridCol w:w="895"/>
        <w:gridCol w:w="895"/>
      </w:tblGrid>
      <w:tr w:rsidR="006258B4" w:rsidRPr="004B4C1C" w14:paraId="5591E96C" w14:textId="77777777" w:rsidTr="008463F8">
        <w:trPr>
          <w:trHeight w:val="185"/>
          <w:jc w:val="center"/>
        </w:trPr>
        <w:tc>
          <w:tcPr>
            <w:tcW w:w="1843" w:type="dxa"/>
            <w:tcBorders>
              <w:top w:val="nil"/>
              <w:left w:val="nil"/>
              <w:bottom w:val="nil"/>
              <w:right w:val="nil"/>
            </w:tcBorders>
            <w:shd w:val="clear" w:color="auto" w:fill="auto"/>
            <w:noWrap/>
            <w:vAlign w:val="bottom"/>
            <w:hideMark/>
          </w:tcPr>
          <w:p w14:paraId="3F8959D6" w14:textId="77777777" w:rsidR="006258B4" w:rsidRPr="004B4C1C" w:rsidRDefault="006258B4" w:rsidP="00536234">
            <w:pPr>
              <w:spacing w:after="0" w:line="240" w:lineRule="auto"/>
              <w:ind w:left="0" w:firstLine="0"/>
              <w:jc w:val="left"/>
              <w:rPr>
                <w:rFonts w:ascii="Times New Roman" w:eastAsia="Times New Roman" w:hAnsi="Times New Roman" w:cs="Times New Roman"/>
                <w:color w:val="auto"/>
                <w:sz w:val="20"/>
                <w:szCs w:val="24"/>
              </w:rPr>
            </w:pPr>
          </w:p>
        </w:tc>
        <w:tc>
          <w:tcPr>
            <w:tcW w:w="7300" w:type="dxa"/>
            <w:gridSpan w:val="8"/>
            <w:tcBorders>
              <w:top w:val="single" w:sz="8" w:space="0" w:color="auto"/>
              <w:left w:val="single" w:sz="8" w:space="0" w:color="auto"/>
              <w:bottom w:val="single" w:sz="8" w:space="0" w:color="auto"/>
              <w:right w:val="single" w:sz="8" w:space="0" w:color="000000"/>
            </w:tcBorders>
            <w:shd w:val="clear" w:color="000000" w:fill="BDD6EE"/>
            <w:vAlign w:val="center"/>
            <w:hideMark/>
          </w:tcPr>
          <w:p w14:paraId="13483E7C"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Time</w:t>
            </w:r>
          </w:p>
        </w:tc>
      </w:tr>
      <w:tr w:rsidR="006258B4" w:rsidRPr="004B4C1C" w14:paraId="3F0C0314" w14:textId="77777777" w:rsidTr="008463F8">
        <w:trPr>
          <w:trHeight w:val="185"/>
          <w:jc w:val="center"/>
        </w:trPr>
        <w:tc>
          <w:tcPr>
            <w:tcW w:w="1843" w:type="dxa"/>
            <w:tcBorders>
              <w:top w:val="nil"/>
              <w:left w:val="nil"/>
              <w:bottom w:val="nil"/>
              <w:right w:val="nil"/>
            </w:tcBorders>
            <w:shd w:val="clear" w:color="auto" w:fill="auto"/>
            <w:vAlign w:val="center"/>
            <w:hideMark/>
          </w:tcPr>
          <w:p w14:paraId="59B4ADEC"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p>
        </w:tc>
        <w:tc>
          <w:tcPr>
            <w:tcW w:w="1035" w:type="dxa"/>
            <w:tcBorders>
              <w:top w:val="nil"/>
              <w:left w:val="single" w:sz="8" w:space="0" w:color="auto"/>
              <w:bottom w:val="single" w:sz="8" w:space="0" w:color="auto"/>
              <w:right w:val="single" w:sz="8" w:space="0" w:color="auto"/>
            </w:tcBorders>
            <w:shd w:val="clear" w:color="auto" w:fill="auto"/>
            <w:vAlign w:val="center"/>
            <w:hideMark/>
          </w:tcPr>
          <w:p w14:paraId="038120D6"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1999</w:t>
            </w:r>
          </w:p>
        </w:tc>
        <w:tc>
          <w:tcPr>
            <w:tcW w:w="895" w:type="dxa"/>
            <w:tcBorders>
              <w:top w:val="nil"/>
              <w:left w:val="nil"/>
              <w:bottom w:val="single" w:sz="8" w:space="0" w:color="auto"/>
              <w:right w:val="single" w:sz="8" w:space="0" w:color="auto"/>
            </w:tcBorders>
            <w:shd w:val="clear" w:color="auto" w:fill="auto"/>
            <w:vAlign w:val="center"/>
            <w:hideMark/>
          </w:tcPr>
          <w:p w14:paraId="0BD56D04"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2000</w:t>
            </w:r>
          </w:p>
        </w:tc>
        <w:tc>
          <w:tcPr>
            <w:tcW w:w="895" w:type="dxa"/>
            <w:tcBorders>
              <w:top w:val="nil"/>
              <w:left w:val="nil"/>
              <w:bottom w:val="single" w:sz="8" w:space="0" w:color="auto"/>
              <w:right w:val="single" w:sz="8" w:space="0" w:color="auto"/>
            </w:tcBorders>
            <w:shd w:val="clear" w:color="auto" w:fill="auto"/>
            <w:vAlign w:val="center"/>
            <w:hideMark/>
          </w:tcPr>
          <w:p w14:paraId="15C3D992"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2001</w:t>
            </w:r>
          </w:p>
        </w:tc>
        <w:tc>
          <w:tcPr>
            <w:tcW w:w="895" w:type="dxa"/>
            <w:tcBorders>
              <w:top w:val="nil"/>
              <w:left w:val="nil"/>
              <w:bottom w:val="single" w:sz="8" w:space="0" w:color="auto"/>
              <w:right w:val="single" w:sz="8" w:space="0" w:color="auto"/>
            </w:tcBorders>
            <w:shd w:val="clear" w:color="auto" w:fill="auto"/>
            <w:vAlign w:val="center"/>
            <w:hideMark/>
          </w:tcPr>
          <w:p w14:paraId="157E6279"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2002</w:t>
            </w:r>
          </w:p>
        </w:tc>
        <w:tc>
          <w:tcPr>
            <w:tcW w:w="895" w:type="dxa"/>
            <w:tcBorders>
              <w:top w:val="nil"/>
              <w:left w:val="nil"/>
              <w:bottom w:val="single" w:sz="8" w:space="0" w:color="auto"/>
              <w:right w:val="single" w:sz="8" w:space="0" w:color="auto"/>
            </w:tcBorders>
            <w:shd w:val="clear" w:color="auto" w:fill="auto"/>
            <w:vAlign w:val="center"/>
            <w:hideMark/>
          </w:tcPr>
          <w:p w14:paraId="2C948AC8"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2003</w:t>
            </w:r>
          </w:p>
        </w:tc>
        <w:tc>
          <w:tcPr>
            <w:tcW w:w="895" w:type="dxa"/>
            <w:tcBorders>
              <w:top w:val="nil"/>
              <w:left w:val="nil"/>
              <w:bottom w:val="single" w:sz="8" w:space="0" w:color="auto"/>
              <w:right w:val="single" w:sz="8" w:space="0" w:color="auto"/>
            </w:tcBorders>
            <w:shd w:val="clear" w:color="auto" w:fill="auto"/>
            <w:vAlign w:val="center"/>
            <w:hideMark/>
          </w:tcPr>
          <w:p w14:paraId="599CF7CA"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2004</w:t>
            </w:r>
          </w:p>
        </w:tc>
        <w:tc>
          <w:tcPr>
            <w:tcW w:w="895" w:type="dxa"/>
            <w:tcBorders>
              <w:top w:val="nil"/>
              <w:left w:val="nil"/>
              <w:bottom w:val="single" w:sz="8" w:space="0" w:color="auto"/>
              <w:right w:val="single" w:sz="8" w:space="0" w:color="auto"/>
            </w:tcBorders>
            <w:shd w:val="clear" w:color="auto" w:fill="auto"/>
            <w:vAlign w:val="center"/>
            <w:hideMark/>
          </w:tcPr>
          <w:p w14:paraId="75DAF81E"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2005</w:t>
            </w:r>
          </w:p>
        </w:tc>
        <w:tc>
          <w:tcPr>
            <w:tcW w:w="895" w:type="dxa"/>
            <w:tcBorders>
              <w:top w:val="nil"/>
              <w:left w:val="nil"/>
              <w:bottom w:val="single" w:sz="8" w:space="0" w:color="auto"/>
              <w:right w:val="single" w:sz="8" w:space="0" w:color="auto"/>
            </w:tcBorders>
            <w:shd w:val="clear" w:color="auto" w:fill="auto"/>
            <w:vAlign w:val="center"/>
            <w:hideMark/>
          </w:tcPr>
          <w:p w14:paraId="6C6D7AC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2006</w:t>
            </w:r>
          </w:p>
        </w:tc>
      </w:tr>
      <w:tr w:rsidR="006258B4" w:rsidRPr="004B4C1C" w14:paraId="0C118BAB" w14:textId="77777777" w:rsidTr="008463F8">
        <w:trPr>
          <w:trHeight w:val="689"/>
          <w:jc w:val="center"/>
        </w:trPr>
        <w:tc>
          <w:tcPr>
            <w:tcW w:w="184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ADEE790"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Average Dividend Pay-out Ratio</w:t>
            </w:r>
          </w:p>
        </w:tc>
        <w:tc>
          <w:tcPr>
            <w:tcW w:w="1035" w:type="dxa"/>
            <w:tcBorders>
              <w:top w:val="nil"/>
              <w:left w:val="nil"/>
              <w:bottom w:val="single" w:sz="8" w:space="0" w:color="auto"/>
              <w:right w:val="single" w:sz="8" w:space="0" w:color="auto"/>
            </w:tcBorders>
            <w:shd w:val="clear" w:color="auto" w:fill="auto"/>
            <w:vAlign w:val="center"/>
            <w:hideMark/>
          </w:tcPr>
          <w:p w14:paraId="64665C39"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36.39</w:t>
            </w:r>
            <w:r>
              <w:rPr>
                <w:rFonts w:ascii="Times New Roman" w:eastAsia="Times New Roman" w:hAnsi="Times New Roman" w:cs="Times New Roman"/>
                <w:sz w:val="22"/>
              </w:rPr>
              <w:t>%</w:t>
            </w:r>
          </w:p>
        </w:tc>
        <w:tc>
          <w:tcPr>
            <w:tcW w:w="895" w:type="dxa"/>
            <w:tcBorders>
              <w:top w:val="nil"/>
              <w:left w:val="nil"/>
              <w:bottom w:val="single" w:sz="8" w:space="0" w:color="auto"/>
              <w:right w:val="single" w:sz="8" w:space="0" w:color="auto"/>
            </w:tcBorders>
            <w:shd w:val="clear" w:color="auto" w:fill="auto"/>
            <w:vAlign w:val="center"/>
            <w:hideMark/>
          </w:tcPr>
          <w:p w14:paraId="45ECD98A"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33.08%</w:t>
            </w:r>
          </w:p>
        </w:tc>
        <w:tc>
          <w:tcPr>
            <w:tcW w:w="895" w:type="dxa"/>
            <w:tcBorders>
              <w:top w:val="nil"/>
              <w:left w:val="nil"/>
              <w:bottom w:val="single" w:sz="8" w:space="0" w:color="auto"/>
              <w:right w:val="single" w:sz="8" w:space="0" w:color="auto"/>
            </w:tcBorders>
            <w:shd w:val="clear" w:color="auto" w:fill="auto"/>
            <w:vAlign w:val="center"/>
            <w:hideMark/>
          </w:tcPr>
          <w:p w14:paraId="2A624D04"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34.10%</w:t>
            </w:r>
          </w:p>
        </w:tc>
        <w:tc>
          <w:tcPr>
            <w:tcW w:w="895" w:type="dxa"/>
            <w:tcBorders>
              <w:top w:val="nil"/>
              <w:left w:val="nil"/>
              <w:bottom w:val="single" w:sz="8" w:space="0" w:color="auto"/>
              <w:right w:val="single" w:sz="8" w:space="0" w:color="auto"/>
            </w:tcBorders>
            <w:shd w:val="clear" w:color="auto" w:fill="auto"/>
            <w:vAlign w:val="center"/>
            <w:hideMark/>
          </w:tcPr>
          <w:p w14:paraId="183149AE"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35.89%</w:t>
            </w:r>
          </w:p>
        </w:tc>
        <w:tc>
          <w:tcPr>
            <w:tcW w:w="895" w:type="dxa"/>
            <w:tcBorders>
              <w:top w:val="nil"/>
              <w:left w:val="nil"/>
              <w:bottom w:val="single" w:sz="8" w:space="0" w:color="auto"/>
              <w:right w:val="single" w:sz="8" w:space="0" w:color="auto"/>
            </w:tcBorders>
            <w:shd w:val="clear" w:color="auto" w:fill="auto"/>
            <w:vAlign w:val="center"/>
            <w:hideMark/>
          </w:tcPr>
          <w:p w14:paraId="35E446AB"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35.21%</w:t>
            </w:r>
          </w:p>
        </w:tc>
        <w:tc>
          <w:tcPr>
            <w:tcW w:w="895" w:type="dxa"/>
            <w:tcBorders>
              <w:top w:val="nil"/>
              <w:left w:val="nil"/>
              <w:bottom w:val="single" w:sz="8" w:space="0" w:color="auto"/>
              <w:right w:val="single" w:sz="8" w:space="0" w:color="auto"/>
            </w:tcBorders>
            <w:shd w:val="clear" w:color="auto" w:fill="auto"/>
            <w:vAlign w:val="center"/>
            <w:hideMark/>
          </w:tcPr>
          <w:p w14:paraId="1177D947"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38.40%</w:t>
            </w:r>
          </w:p>
        </w:tc>
        <w:tc>
          <w:tcPr>
            <w:tcW w:w="895" w:type="dxa"/>
            <w:tcBorders>
              <w:top w:val="nil"/>
              <w:left w:val="nil"/>
              <w:bottom w:val="single" w:sz="8" w:space="0" w:color="auto"/>
              <w:right w:val="single" w:sz="8" w:space="0" w:color="auto"/>
            </w:tcBorders>
            <w:shd w:val="clear" w:color="auto" w:fill="auto"/>
            <w:vAlign w:val="center"/>
            <w:hideMark/>
          </w:tcPr>
          <w:p w14:paraId="3DD73363"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42.93%</w:t>
            </w:r>
          </w:p>
        </w:tc>
        <w:tc>
          <w:tcPr>
            <w:tcW w:w="895" w:type="dxa"/>
            <w:tcBorders>
              <w:top w:val="nil"/>
              <w:left w:val="nil"/>
              <w:bottom w:val="single" w:sz="8" w:space="0" w:color="auto"/>
              <w:right w:val="single" w:sz="8" w:space="0" w:color="auto"/>
            </w:tcBorders>
            <w:shd w:val="clear" w:color="auto" w:fill="auto"/>
            <w:vAlign w:val="center"/>
            <w:hideMark/>
          </w:tcPr>
          <w:p w14:paraId="03DB3875" w14:textId="77777777" w:rsidR="006258B4" w:rsidRPr="004B4C1C" w:rsidRDefault="006258B4" w:rsidP="00536234">
            <w:pPr>
              <w:spacing w:after="0" w:line="240" w:lineRule="auto"/>
              <w:ind w:left="0" w:firstLine="0"/>
              <w:jc w:val="center"/>
              <w:rPr>
                <w:rFonts w:ascii="Times New Roman" w:eastAsia="Times New Roman" w:hAnsi="Times New Roman" w:cs="Times New Roman"/>
                <w:sz w:val="22"/>
              </w:rPr>
            </w:pPr>
            <w:r w:rsidRPr="004B4C1C">
              <w:rPr>
                <w:rFonts w:ascii="Times New Roman" w:eastAsia="Times New Roman" w:hAnsi="Times New Roman" w:cs="Times New Roman"/>
                <w:sz w:val="22"/>
              </w:rPr>
              <w:t>40.27%</w:t>
            </w:r>
          </w:p>
        </w:tc>
      </w:tr>
    </w:tbl>
    <w:p w14:paraId="1827C437" w14:textId="77777777" w:rsidR="006258B4" w:rsidRDefault="004949C3" w:rsidP="00536234">
      <w:pPr>
        <w:spacing w:line="480" w:lineRule="auto"/>
        <w:ind w:left="0"/>
        <w:jc w:val="right"/>
        <w:rPr>
          <w:rFonts w:ascii="Times New Roman" w:hAnsi="Times New Roman" w:cs="Times New Roman"/>
          <w:sz w:val="22"/>
          <w:szCs w:val="26"/>
        </w:rPr>
      </w:pPr>
      <w:r w:rsidRPr="004949C3">
        <w:rPr>
          <w:rFonts w:ascii="Times New Roman" w:hAnsi="Times New Roman" w:cs="Times New Roman"/>
          <w:sz w:val="22"/>
          <w:szCs w:val="26"/>
        </w:rPr>
        <w:t>(Source: Stata)</w:t>
      </w:r>
    </w:p>
    <w:p w14:paraId="489F2216" w14:textId="24402E10"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results from this comparison show companies forming part of the treatment group to have a higher dividend pay-out ratio as compared to companies designated to the control group. </w:t>
      </w:r>
      <w:r w:rsidR="007244FC">
        <w:rPr>
          <w:rFonts w:ascii="Times New Roman" w:hAnsi="Times New Roman" w:cs="Times New Roman"/>
          <w:sz w:val="22"/>
          <w:szCs w:val="26"/>
        </w:rPr>
        <w:t>One exception</w:t>
      </w:r>
      <w:r>
        <w:rPr>
          <w:rFonts w:ascii="Times New Roman" w:hAnsi="Times New Roman" w:cs="Times New Roman"/>
          <w:sz w:val="22"/>
          <w:szCs w:val="26"/>
        </w:rPr>
        <w:t xml:space="preserve"> shown in 1999 can be understood as there </w:t>
      </w:r>
      <w:r w:rsidR="007244FC">
        <w:rPr>
          <w:rFonts w:ascii="Times New Roman" w:hAnsi="Times New Roman" w:cs="Times New Roman"/>
          <w:sz w:val="22"/>
          <w:szCs w:val="26"/>
        </w:rPr>
        <w:t>was only one company</w:t>
      </w:r>
      <w:r>
        <w:rPr>
          <w:rFonts w:ascii="Times New Roman" w:hAnsi="Times New Roman" w:cs="Times New Roman"/>
          <w:sz w:val="22"/>
          <w:szCs w:val="26"/>
        </w:rPr>
        <w:t xml:space="preserve"> designated to the treatment group for that year</w:t>
      </w:r>
      <w:r w:rsidR="007244FC">
        <w:rPr>
          <w:rFonts w:ascii="Times New Roman" w:hAnsi="Times New Roman" w:cs="Times New Roman"/>
          <w:sz w:val="22"/>
          <w:szCs w:val="26"/>
        </w:rPr>
        <w:t xml:space="preserve"> while there </w:t>
      </w:r>
      <w:r w:rsidR="005F30CC">
        <w:rPr>
          <w:rFonts w:ascii="Times New Roman" w:hAnsi="Times New Roman" w:cs="Times New Roman"/>
          <w:sz w:val="22"/>
          <w:szCs w:val="26"/>
        </w:rPr>
        <w:t xml:space="preserve">were </w:t>
      </w:r>
      <w:r w:rsidR="007244FC">
        <w:rPr>
          <w:rFonts w:ascii="Times New Roman" w:hAnsi="Times New Roman" w:cs="Times New Roman"/>
          <w:sz w:val="22"/>
          <w:szCs w:val="26"/>
        </w:rPr>
        <w:t>several companies from various sectors which formed part of the control group for that</w:t>
      </w:r>
      <w:r w:rsidR="005F30CC">
        <w:rPr>
          <w:rFonts w:ascii="Times New Roman" w:hAnsi="Times New Roman" w:cs="Times New Roman"/>
          <w:sz w:val="22"/>
          <w:szCs w:val="26"/>
        </w:rPr>
        <w:t xml:space="preserve"> same</w:t>
      </w:r>
      <w:r w:rsidR="007244FC">
        <w:rPr>
          <w:rFonts w:ascii="Times New Roman" w:hAnsi="Times New Roman" w:cs="Times New Roman"/>
          <w:sz w:val="22"/>
          <w:szCs w:val="26"/>
        </w:rPr>
        <w:t xml:space="preserve"> year</w:t>
      </w:r>
      <w:r>
        <w:rPr>
          <w:rFonts w:ascii="Times New Roman" w:hAnsi="Times New Roman" w:cs="Times New Roman"/>
          <w:sz w:val="22"/>
          <w:szCs w:val="26"/>
        </w:rPr>
        <w:t xml:space="preserve">. </w:t>
      </w:r>
      <w:r w:rsidR="007244FC">
        <w:rPr>
          <w:rFonts w:ascii="Times New Roman" w:hAnsi="Times New Roman" w:cs="Times New Roman"/>
          <w:sz w:val="22"/>
          <w:szCs w:val="26"/>
        </w:rPr>
        <w:t>Other</w:t>
      </w:r>
      <w:r>
        <w:rPr>
          <w:rFonts w:ascii="Times New Roman" w:hAnsi="Times New Roman" w:cs="Times New Roman"/>
          <w:sz w:val="22"/>
          <w:szCs w:val="26"/>
        </w:rPr>
        <w:t xml:space="preserve"> exceptions shown in 2005 and 2006 do contradict expectations. It would have been expected that</w:t>
      </w:r>
      <w:r w:rsidR="005F30CC">
        <w:rPr>
          <w:rFonts w:ascii="Times New Roman" w:hAnsi="Times New Roman" w:cs="Times New Roman"/>
          <w:sz w:val="22"/>
          <w:szCs w:val="26"/>
        </w:rPr>
        <w:t>,</w:t>
      </w:r>
      <w:r>
        <w:rPr>
          <w:rFonts w:ascii="Times New Roman" w:hAnsi="Times New Roman" w:cs="Times New Roman"/>
          <w:sz w:val="22"/>
          <w:szCs w:val="26"/>
        </w:rPr>
        <w:t xml:space="preserve"> with a larger percentage of companies forming part of the treatment group for those two years, as shown in Table </w:t>
      </w:r>
      <w:r w:rsidR="00CD3783">
        <w:rPr>
          <w:rFonts w:ascii="Times New Roman" w:hAnsi="Times New Roman" w:cs="Times New Roman"/>
          <w:sz w:val="22"/>
          <w:szCs w:val="26"/>
        </w:rPr>
        <w:t>10</w:t>
      </w:r>
      <w:r>
        <w:rPr>
          <w:rFonts w:ascii="Times New Roman" w:hAnsi="Times New Roman" w:cs="Times New Roman"/>
          <w:sz w:val="22"/>
          <w:szCs w:val="26"/>
        </w:rPr>
        <w:t xml:space="preserve">, that the results would have shown even higher dividend pay-out ratios for companies designated to the treatment group, as compared to preceding years. However, this difference could be as a result of the variables being controlled for in the study and not a consequence of the BBBEE deal being in place. </w:t>
      </w:r>
    </w:p>
    <w:p w14:paraId="1BEB70FF" w14:textId="77777777" w:rsidR="00A14BA6" w:rsidRPr="00A14BA6" w:rsidRDefault="00766427" w:rsidP="00536234">
      <w:pPr>
        <w:pStyle w:val="Heading3"/>
        <w:ind w:left="0"/>
        <w:rPr>
          <w:rFonts w:ascii="Times New Roman" w:hAnsi="Times New Roman" w:cs="Times New Roman"/>
          <w:i/>
          <w:color w:val="auto"/>
          <w:sz w:val="22"/>
        </w:rPr>
      </w:pPr>
      <w:bookmarkStart w:id="53" w:name="_Toc506717799"/>
      <w:r>
        <w:rPr>
          <w:rFonts w:ascii="Times New Roman" w:hAnsi="Times New Roman" w:cs="Times New Roman"/>
          <w:i/>
          <w:color w:val="auto"/>
          <w:sz w:val="22"/>
        </w:rPr>
        <w:lastRenderedPageBreak/>
        <w:t>4.1.4</w:t>
      </w:r>
      <w:r>
        <w:rPr>
          <w:rFonts w:ascii="Times New Roman" w:hAnsi="Times New Roman" w:cs="Times New Roman"/>
          <w:i/>
          <w:color w:val="auto"/>
          <w:sz w:val="22"/>
        </w:rPr>
        <w:tab/>
      </w:r>
      <w:r w:rsidR="00A14BA6" w:rsidRPr="00A14BA6">
        <w:rPr>
          <w:rFonts w:ascii="Times New Roman" w:hAnsi="Times New Roman" w:cs="Times New Roman"/>
          <w:i/>
          <w:color w:val="auto"/>
          <w:sz w:val="22"/>
        </w:rPr>
        <w:t>Conclusion</w:t>
      </w:r>
      <w:bookmarkStart w:id="54" w:name="_GoBack"/>
      <w:bookmarkEnd w:id="53"/>
      <w:bookmarkEnd w:id="54"/>
    </w:p>
    <w:p w14:paraId="325AB9A9" w14:textId="75A3BFF4"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To conclude, it </w:t>
      </w:r>
      <w:r w:rsidR="005F30CC">
        <w:rPr>
          <w:rFonts w:ascii="Times New Roman" w:hAnsi="Times New Roman" w:cs="Times New Roman"/>
          <w:sz w:val="22"/>
          <w:szCs w:val="26"/>
        </w:rPr>
        <w:t>can</w:t>
      </w:r>
      <w:r>
        <w:rPr>
          <w:rFonts w:ascii="Times New Roman" w:hAnsi="Times New Roman" w:cs="Times New Roman"/>
          <w:sz w:val="22"/>
          <w:szCs w:val="26"/>
        </w:rPr>
        <w:t xml:space="preserve"> been seen that companies designated as part of the treatment group were found to have a higher dividend pay-out ratios as compared to companies forming part of the control group. It is also important to note that the treatment group and control group are not similar. This is due to the fact that companies forming part of the treatment groups are found to be more profitable, among other things, as compared t</w:t>
      </w:r>
      <w:r w:rsidR="00D514EC">
        <w:rPr>
          <w:rFonts w:ascii="Times New Roman" w:hAnsi="Times New Roman" w:cs="Times New Roman"/>
          <w:sz w:val="22"/>
          <w:szCs w:val="26"/>
        </w:rPr>
        <w:t>hose</w:t>
      </w:r>
      <w:r>
        <w:rPr>
          <w:rFonts w:ascii="Times New Roman" w:hAnsi="Times New Roman" w:cs="Times New Roman"/>
          <w:sz w:val="22"/>
          <w:szCs w:val="26"/>
        </w:rPr>
        <w:t xml:space="preserve"> </w:t>
      </w:r>
      <w:r w:rsidR="00D514EC">
        <w:rPr>
          <w:rFonts w:ascii="Times New Roman" w:hAnsi="Times New Roman" w:cs="Times New Roman"/>
          <w:sz w:val="22"/>
          <w:szCs w:val="26"/>
        </w:rPr>
        <w:t>of</w:t>
      </w:r>
      <w:r>
        <w:rPr>
          <w:rFonts w:ascii="Times New Roman" w:hAnsi="Times New Roman" w:cs="Times New Roman"/>
          <w:sz w:val="22"/>
          <w:szCs w:val="26"/>
        </w:rPr>
        <w:t xml:space="preserve"> control group.  Therefore, </w:t>
      </w:r>
      <w:r w:rsidR="009950DC">
        <w:rPr>
          <w:rFonts w:ascii="Times New Roman" w:hAnsi="Times New Roman" w:cs="Times New Roman"/>
          <w:sz w:val="22"/>
          <w:szCs w:val="26"/>
        </w:rPr>
        <w:t>panel data multiple regression models are</w:t>
      </w:r>
      <w:r>
        <w:rPr>
          <w:rFonts w:ascii="Times New Roman" w:hAnsi="Times New Roman" w:cs="Times New Roman"/>
          <w:sz w:val="22"/>
          <w:szCs w:val="26"/>
        </w:rPr>
        <w:t xml:space="preserve"> rightly needed to control for these other differing factors (see Regression Results Section of Chapter Four).</w:t>
      </w:r>
    </w:p>
    <w:p w14:paraId="5D9145C2" w14:textId="77777777" w:rsidR="006258B4" w:rsidRDefault="006258B4"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It can further be seen that the percentage number of companies with a BBBEE deal are not found to be stable over time. These BBBEE deals are found to have an upward trend as the study period progresses from the early years to the latter. This potentially indicates that the results might be sensitive to the time period chosen and that a robustness test will need to be performed over a shorter period of time to confirm the validity of the results (see Robustness Section of Chapter Four). </w:t>
      </w:r>
    </w:p>
    <w:p w14:paraId="292E1A9D" w14:textId="77777777" w:rsidR="009950DC" w:rsidRDefault="009950DC"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next section will discuss Regression Results and how these results were achieved in order to determine the most appropriate model in terms of which to report the findings of this research.</w:t>
      </w:r>
    </w:p>
    <w:p w14:paraId="68BFCB87" w14:textId="77777777" w:rsidR="0044220A" w:rsidRPr="00A14BA6" w:rsidRDefault="0044220A" w:rsidP="00536234">
      <w:pPr>
        <w:pStyle w:val="Heading2"/>
        <w:ind w:left="0"/>
        <w:rPr>
          <w:rFonts w:ascii="Times New Roman" w:hAnsi="Times New Roman" w:cs="Times New Roman"/>
          <w:b/>
          <w:color w:val="auto"/>
          <w:sz w:val="24"/>
        </w:rPr>
      </w:pPr>
      <w:bookmarkStart w:id="55" w:name="_Toc506717800"/>
      <w:r w:rsidRPr="00A14BA6">
        <w:rPr>
          <w:rFonts w:ascii="Times New Roman" w:hAnsi="Times New Roman" w:cs="Times New Roman"/>
          <w:b/>
          <w:color w:val="auto"/>
          <w:sz w:val="24"/>
        </w:rPr>
        <w:t>4.2</w:t>
      </w:r>
      <w:r w:rsidRPr="00A14BA6">
        <w:rPr>
          <w:rFonts w:ascii="Times New Roman" w:hAnsi="Times New Roman" w:cs="Times New Roman"/>
          <w:b/>
          <w:color w:val="auto"/>
          <w:sz w:val="24"/>
        </w:rPr>
        <w:tab/>
        <w:t>Regression Results</w:t>
      </w:r>
      <w:bookmarkEnd w:id="55"/>
    </w:p>
    <w:p w14:paraId="20EFF9B9" w14:textId="2607EDC7"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 order to assess the appropriateness of using a </w:t>
      </w:r>
      <w:r w:rsidR="00140B2E">
        <w:rPr>
          <w:rFonts w:ascii="Times New Roman" w:hAnsi="Times New Roman" w:cs="Times New Roman"/>
          <w:sz w:val="22"/>
          <w:szCs w:val="26"/>
        </w:rPr>
        <w:t>pooled</w:t>
      </w:r>
      <w:r>
        <w:rPr>
          <w:rFonts w:ascii="Times New Roman" w:hAnsi="Times New Roman" w:cs="Times New Roman"/>
          <w:sz w:val="22"/>
          <w:szCs w:val="26"/>
        </w:rPr>
        <w:t xml:space="preserve"> regression model, as discussed in Chapter 3 of the study, diagnostic tests, which confirm the normality of the data were performed. In order to test the normality of the variables included in the data set, skewness and kurtosis tests were performed (Gujarati, 2006). The results for the tests are shown in Figure</w:t>
      </w:r>
      <w:r w:rsidR="005A407B">
        <w:rPr>
          <w:rFonts w:ascii="Times New Roman" w:hAnsi="Times New Roman" w:cs="Times New Roman"/>
          <w:sz w:val="22"/>
          <w:szCs w:val="26"/>
        </w:rPr>
        <w:t xml:space="preserve"> </w:t>
      </w:r>
      <w:r>
        <w:rPr>
          <w:rFonts w:ascii="Times New Roman" w:hAnsi="Times New Roman" w:cs="Times New Roman"/>
          <w:sz w:val="22"/>
          <w:szCs w:val="26"/>
        </w:rPr>
        <w:t xml:space="preserve">A of Appendix A. The combined skewness and kurtosis results showed that the data was normally distributed. This was further confirmed through the use of a normality plot. The normality plots have been presented in Figure B of Appendix A. </w:t>
      </w:r>
    </w:p>
    <w:p w14:paraId="314BF577" w14:textId="52FFB810" w:rsidR="0044220A" w:rsidRPr="00012FB2" w:rsidRDefault="0044220A" w:rsidP="00536234">
      <w:pPr>
        <w:spacing w:line="480" w:lineRule="auto"/>
        <w:ind w:left="0"/>
        <w:rPr>
          <w:rFonts w:ascii="Times New Roman" w:hAnsi="Times New Roman" w:cs="Times New Roman"/>
          <w:szCs w:val="26"/>
        </w:rPr>
      </w:pPr>
      <w:r>
        <w:rPr>
          <w:rFonts w:ascii="Times New Roman" w:hAnsi="Times New Roman" w:cs="Times New Roman"/>
          <w:sz w:val="22"/>
          <w:szCs w:val="26"/>
        </w:rPr>
        <w:t>The normality plot further confirm</w:t>
      </w:r>
      <w:r w:rsidR="00D514EC">
        <w:rPr>
          <w:rFonts w:ascii="Times New Roman" w:hAnsi="Times New Roman" w:cs="Times New Roman"/>
          <w:sz w:val="22"/>
          <w:szCs w:val="26"/>
        </w:rPr>
        <w:t>s</w:t>
      </w:r>
      <w:r>
        <w:rPr>
          <w:rFonts w:ascii="Times New Roman" w:hAnsi="Times New Roman" w:cs="Times New Roman"/>
          <w:sz w:val="22"/>
          <w:szCs w:val="26"/>
        </w:rPr>
        <w:t xml:space="preserve"> the normality of the data and provided additiona</w:t>
      </w:r>
      <w:r w:rsidR="00B173A9">
        <w:rPr>
          <w:rFonts w:ascii="Times New Roman" w:hAnsi="Times New Roman" w:cs="Times New Roman"/>
          <w:sz w:val="22"/>
          <w:szCs w:val="26"/>
        </w:rPr>
        <w:t>l support for the use of the pooled</w:t>
      </w:r>
      <w:r>
        <w:rPr>
          <w:rFonts w:ascii="Times New Roman" w:hAnsi="Times New Roman" w:cs="Times New Roman"/>
          <w:sz w:val="22"/>
          <w:szCs w:val="26"/>
        </w:rPr>
        <w:t xml:space="preserve"> regression model. This is because it was found that the residuals approximated that of a normal distribution</w:t>
      </w:r>
      <w:r w:rsidRPr="00684DF0">
        <w:rPr>
          <w:rFonts w:ascii="Times New Roman" w:hAnsi="Times New Roman" w:cs="Times New Roman"/>
          <w:sz w:val="22"/>
          <w:szCs w:val="26"/>
        </w:rPr>
        <w:t xml:space="preserve"> (Pallant, 2013)</w:t>
      </w:r>
      <w:r>
        <w:rPr>
          <w:rFonts w:ascii="Times New Roman" w:hAnsi="Times New Roman" w:cs="Times New Roman"/>
          <w:sz w:val="22"/>
          <w:szCs w:val="26"/>
        </w:rPr>
        <w:t xml:space="preserve">. This was mostly likely assisted by the winsorization of the data (as discussed in the Sample section of Chapter 3). As has been discussed in Chapter 3, the study will make use of both a balanced panel and an unbalanced panel for the purpose of analysing the impact of </w:t>
      </w:r>
      <w:r>
        <w:rPr>
          <w:rFonts w:ascii="Times New Roman" w:hAnsi="Times New Roman" w:cs="Times New Roman"/>
          <w:sz w:val="22"/>
          <w:szCs w:val="26"/>
        </w:rPr>
        <w:lastRenderedPageBreak/>
        <w:t>BBBEE deals on the divid</w:t>
      </w:r>
      <w:r w:rsidR="00667B06">
        <w:rPr>
          <w:rFonts w:ascii="Times New Roman" w:hAnsi="Times New Roman" w:cs="Times New Roman"/>
          <w:sz w:val="22"/>
          <w:szCs w:val="26"/>
        </w:rPr>
        <w:t xml:space="preserve">end pay-out ratio of companies. Pooled regressions </w:t>
      </w:r>
      <w:r w:rsidR="00D514EC">
        <w:rPr>
          <w:rFonts w:ascii="Times New Roman" w:hAnsi="Times New Roman" w:cs="Times New Roman"/>
          <w:sz w:val="22"/>
          <w:szCs w:val="26"/>
        </w:rPr>
        <w:t>have subsequently been</w:t>
      </w:r>
      <w:r w:rsidR="00667B06">
        <w:rPr>
          <w:rFonts w:ascii="Times New Roman" w:hAnsi="Times New Roman" w:cs="Times New Roman"/>
          <w:sz w:val="22"/>
          <w:szCs w:val="26"/>
        </w:rPr>
        <w:t xml:space="preserve"> perfo</w:t>
      </w:r>
      <w:r w:rsidR="005961C9">
        <w:rPr>
          <w:rFonts w:ascii="Times New Roman" w:hAnsi="Times New Roman" w:cs="Times New Roman"/>
          <w:sz w:val="22"/>
          <w:szCs w:val="26"/>
        </w:rPr>
        <w:t>rmed using both a balanced panel</w:t>
      </w:r>
      <w:r w:rsidR="00667B06">
        <w:rPr>
          <w:rFonts w:ascii="Times New Roman" w:hAnsi="Times New Roman" w:cs="Times New Roman"/>
          <w:sz w:val="22"/>
          <w:szCs w:val="26"/>
        </w:rPr>
        <w:t xml:space="preserve"> and unbalanced panel.</w:t>
      </w:r>
    </w:p>
    <w:p w14:paraId="4A14A61B" w14:textId="488B0E6F" w:rsidR="0044220A" w:rsidRDefault="00667B06"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Upon comparison of </w:t>
      </w:r>
      <w:r w:rsidR="0044220A">
        <w:rPr>
          <w:rFonts w:ascii="Times New Roman" w:hAnsi="Times New Roman" w:cs="Times New Roman"/>
          <w:sz w:val="22"/>
          <w:szCs w:val="26"/>
        </w:rPr>
        <w:t xml:space="preserve">the balanced panel to the unbalanced panel </w:t>
      </w:r>
      <w:r w:rsidR="00DE0B0D">
        <w:rPr>
          <w:rFonts w:ascii="Times New Roman" w:hAnsi="Times New Roman" w:cs="Times New Roman"/>
          <w:sz w:val="22"/>
          <w:szCs w:val="26"/>
        </w:rPr>
        <w:t xml:space="preserve">it was found </w:t>
      </w:r>
      <w:r w:rsidR="0044220A">
        <w:rPr>
          <w:rFonts w:ascii="Times New Roman" w:hAnsi="Times New Roman" w:cs="Times New Roman"/>
          <w:sz w:val="22"/>
          <w:szCs w:val="26"/>
        </w:rPr>
        <w:t>that the results across the two regressions d</w:t>
      </w:r>
      <w:r w:rsidR="00D514EC">
        <w:rPr>
          <w:rFonts w:ascii="Times New Roman" w:hAnsi="Times New Roman" w:cs="Times New Roman"/>
          <w:sz w:val="22"/>
          <w:szCs w:val="26"/>
        </w:rPr>
        <w:t>id</w:t>
      </w:r>
      <w:r w:rsidR="0044220A">
        <w:rPr>
          <w:rFonts w:ascii="Times New Roman" w:hAnsi="Times New Roman" w:cs="Times New Roman"/>
          <w:sz w:val="22"/>
          <w:szCs w:val="26"/>
        </w:rPr>
        <w:t xml:space="preserve"> not vary significantly</w:t>
      </w:r>
      <w:r w:rsidR="00D514EC">
        <w:rPr>
          <w:rFonts w:ascii="Times New Roman" w:hAnsi="Times New Roman" w:cs="Times New Roman"/>
          <w:sz w:val="22"/>
          <w:szCs w:val="26"/>
        </w:rPr>
        <w:t xml:space="preserve"> (see Figure J of Appendix A)</w:t>
      </w:r>
      <w:r w:rsidR="0044220A">
        <w:rPr>
          <w:rFonts w:ascii="Times New Roman" w:hAnsi="Times New Roman" w:cs="Times New Roman"/>
          <w:sz w:val="22"/>
          <w:szCs w:val="26"/>
        </w:rPr>
        <w:t>. However</w:t>
      </w:r>
      <w:r w:rsidR="00D514EC">
        <w:rPr>
          <w:rFonts w:ascii="Times New Roman" w:hAnsi="Times New Roman" w:cs="Times New Roman"/>
          <w:sz w:val="22"/>
          <w:szCs w:val="26"/>
        </w:rPr>
        <w:t>,</w:t>
      </w:r>
      <w:r>
        <w:rPr>
          <w:rFonts w:ascii="Times New Roman" w:hAnsi="Times New Roman" w:cs="Times New Roman"/>
          <w:sz w:val="22"/>
          <w:szCs w:val="26"/>
        </w:rPr>
        <w:t xml:space="preserve"> </w:t>
      </w:r>
      <w:r w:rsidR="0044220A">
        <w:rPr>
          <w:rFonts w:ascii="Times New Roman" w:hAnsi="Times New Roman" w:cs="Times New Roman"/>
          <w:sz w:val="22"/>
          <w:szCs w:val="26"/>
        </w:rPr>
        <w:t xml:space="preserve">the R-squared of both regressions </w:t>
      </w:r>
      <w:r w:rsidR="00D514EC">
        <w:rPr>
          <w:rFonts w:ascii="Times New Roman" w:hAnsi="Times New Roman" w:cs="Times New Roman"/>
          <w:sz w:val="22"/>
          <w:szCs w:val="26"/>
        </w:rPr>
        <w:t>were</w:t>
      </w:r>
      <w:r w:rsidR="0044220A">
        <w:rPr>
          <w:rFonts w:ascii="Times New Roman" w:hAnsi="Times New Roman" w:cs="Times New Roman"/>
          <w:sz w:val="22"/>
          <w:szCs w:val="26"/>
        </w:rPr>
        <w:t xml:space="preserve"> relatively low </w:t>
      </w:r>
      <w:r w:rsidR="0044220A" w:rsidRPr="00D85CF8">
        <w:rPr>
          <w:rFonts w:ascii="Times New Roman" w:hAnsi="Times New Roman" w:cs="Times New Roman"/>
          <w:sz w:val="22"/>
          <w:szCs w:val="26"/>
        </w:rPr>
        <w:t>(Miles, 2014)</w:t>
      </w:r>
      <w:r w:rsidR="0044220A">
        <w:rPr>
          <w:rFonts w:ascii="Times New Roman" w:hAnsi="Times New Roman" w:cs="Times New Roman"/>
          <w:sz w:val="22"/>
          <w:szCs w:val="26"/>
        </w:rPr>
        <w:t xml:space="preserve">. The R-squared of </w:t>
      </w:r>
      <w:r>
        <w:rPr>
          <w:rFonts w:ascii="Times New Roman" w:hAnsi="Times New Roman" w:cs="Times New Roman"/>
          <w:sz w:val="22"/>
          <w:szCs w:val="26"/>
        </w:rPr>
        <w:t>th</w:t>
      </w:r>
      <w:r w:rsidR="00D514EC">
        <w:rPr>
          <w:rFonts w:ascii="Times New Roman" w:hAnsi="Times New Roman" w:cs="Times New Roman"/>
          <w:sz w:val="22"/>
          <w:szCs w:val="26"/>
        </w:rPr>
        <w:t>ese</w:t>
      </w:r>
      <w:r w:rsidR="0044220A">
        <w:rPr>
          <w:rFonts w:ascii="Times New Roman" w:hAnsi="Times New Roman" w:cs="Times New Roman"/>
          <w:sz w:val="22"/>
          <w:szCs w:val="26"/>
        </w:rPr>
        <w:t xml:space="preserve"> regression result</w:t>
      </w:r>
      <w:r w:rsidR="00D514EC">
        <w:rPr>
          <w:rFonts w:ascii="Times New Roman" w:hAnsi="Times New Roman" w:cs="Times New Roman"/>
          <w:sz w:val="22"/>
          <w:szCs w:val="26"/>
        </w:rPr>
        <w:t>s</w:t>
      </w:r>
      <w:r w:rsidR="0044220A">
        <w:rPr>
          <w:rFonts w:ascii="Times New Roman" w:hAnsi="Times New Roman" w:cs="Times New Roman"/>
          <w:sz w:val="22"/>
          <w:szCs w:val="26"/>
        </w:rPr>
        <w:t xml:space="preserve"> indicate</w:t>
      </w:r>
      <w:r w:rsidR="00D514EC">
        <w:rPr>
          <w:rFonts w:ascii="Times New Roman" w:hAnsi="Times New Roman" w:cs="Times New Roman"/>
          <w:sz w:val="22"/>
          <w:szCs w:val="26"/>
        </w:rPr>
        <w:t>d</w:t>
      </w:r>
      <w:r w:rsidR="0044220A">
        <w:rPr>
          <w:rFonts w:ascii="Times New Roman" w:hAnsi="Times New Roman" w:cs="Times New Roman"/>
          <w:sz w:val="22"/>
          <w:szCs w:val="26"/>
        </w:rPr>
        <w:t xml:space="preserve"> that only 13.4% of the movement in the dependent variable, in the case of the unbalanced panel</w:t>
      </w:r>
      <w:r w:rsidR="00D514EC">
        <w:rPr>
          <w:rFonts w:ascii="Times New Roman" w:hAnsi="Times New Roman" w:cs="Times New Roman"/>
          <w:sz w:val="22"/>
          <w:szCs w:val="26"/>
        </w:rPr>
        <w:t xml:space="preserve"> (Regression labelled UPR_D in Figure J)</w:t>
      </w:r>
      <w:r w:rsidR="0044220A">
        <w:rPr>
          <w:rFonts w:ascii="Times New Roman" w:hAnsi="Times New Roman" w:cs="Times New Roman"/>
          <w:sz w:val="22"/>
          <w:szCs w:val="26"/>
        </w:rPr>
        <w:t>, and 20.5% of the movement of the dependent variable, in the case of the balanced panel</w:t>
      </w:r>
      <w:r w:rsidR="00D514EC">
        <w:rPr>
          <w:rFonts w:ascii="Times New Roman" w:hAnsi="Times New Roman" w:cs="Times New Roman"/>
          <w:sz w:val="22"/>
          <w:szCs w:val="26"/>
        </w:rPr>
        <w:t xml:space="preserve"> (Regression labelled BPR_D in Figure J)</w:t>
      </w:r>
      <w:r w:rsidR="0044220A">
        <w:rPr>
          <w:rFonts w:ascii="Times New Roman" w:hAnsi="Times New Roman" w:cs="Times New Roman"/>
          <w:sz w:val="22"/>
          <w:szCs w:val="26"/>
        </w:rPr>
        <w:t xml:space="preserve">, </w:t>
      </w:r>
      <w:r w:rsidR="00D514EC">
        <w:rPr>
          <w:rFonts w:ascii="Times New Roman" w:hAnsi="Times New Roman" w:cs="Times New Roman"/>
          <w:sz w:val="22"/>
          <w:szCs w:val="26"/>
        </w:rPr>
        <w:t>was</w:t>
      </w:r>
      <w:r w:rsidR="0044220A">
        <w:rPr>
          <w:rFonts w:ascii="Times New Roman" w:hAnsi="Times New Roman" w:cs="Times New Roman"/>
          <w:sz w:val="22"/>
          <w:szCs w:val="26"/>
        </w:rPr>
        <w:t xml:space="preserve"> explained by the independent variables used in the equation. The reason for this low value can be attributable to </w:t>
      </w:r>
      <w:r w:rsidR="00D514EC">
        <w:rPr>
          <w:rFonts w:ascii="Times New Roman" w:hAnsi="Times New Roman" w:cs="Times New Roman"/>
          <w:sz w:val="22"/>
          <w:szCs w:val="26"/>
        </w:rPr>
        <w:t xml:space="preserve">three </w:t>
      </w:r>
      <w:r w:rsidR="0044220A">
        <w:rPr>
          <w:rFonts w:ascii="Times New Roman" w:hAnsi="Times New Roman" w:cs="Times New Roman"/>
          <w:sz w:val="22"/>
          <w:szCs w:val="26"/>
        </w:rPr>
        <w:t>potential primary causes. These three primary causes are known as autocorrelation, multicollinearity or/and heteroscedasticity, which occur within and between the variables used in the study. The existence of these problems</w:t>
      </w:r>
      <w:r w:rsidR="004B0C16">
        <w:rPr>
          <w:rFonts w:ascii="Times New Roman" w:hAnsi="Times New Roman" w:cs="Times New Roman"/>
          <w:sz w:val="22"/>
          <w:szCs w:val="26"/>
        </w:rPr>
        <w:t xml:space="preserve"> </w:t>
      </w:r>
      <w:r w:rsidR="0044220A">
        <w:rPr>
          <w:rFonts w:ascii="Times New Roman" w:hAnsi="Times New Roman" w:cs="Times New Roman"/>
          <w:sz w:val="22"/>
          <w:szCs w:val="26"/>
        </w:rPr>
        <w:t>will result in an understatement in the significance of the results calculated by the regression.</w:t>
      </w:r>
    </w:p>
    <w:p w14:paraId="1535256A" w14:textId="77777777" w:rsidR="0044220A" w:rsidRDefault="004B0C16"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first potential problem tested for was that of multicollinearity</w:t>
      </w:r>
      <w:r w:rsidR="0044220A">
        <w:rPr>
          <w:rFonts w:ascii="Times New Roman" w:hAnsi="Times New Roman" w:cs="Times New Roman"/>
          <w:sz w:val="22"/>
          <w:szCs w:val="26"/>
        </w:rPr>
        <w:t>.</w:t>
      </w:r>
      <w:r>
        <w:rPr>
          <w:rFonts w:ascii="Times New Roman" w:hAnsi="Times New Roman" w:cs="Times New Roman"/>
          <w:sz w:val="22"/>
          <w:szCs w:val="26"/>
        </w:rPr>
        <w:t xml:space="preserve"> </w:t>
      </w:r>
      <w:r w:rsidRPr="004B0C16">
        <w:rPr>
          <w:rFonts w:ascii="Times New Roman" w:hAnsi="Times New Roman" w:cs="Times New Roman"/>
          <w:sz w:val="22"/>
          <w:szCs w:val="26"/>
        </w:rPr>
        <w:t xml:space="preserve">Multicollinearity </w:t>
      </w:r>
      <w:r>
        <w:rPr>
          <w:rFonts w:ascii="Times New Roman" w:hAnsi="Times New Roman" w:cs="Times New Roman"/>
          <w:sz w:val="22"/>
          <w:szCs w:val="26"/>
        </w:rPr>
        <w:t>is defined as the event where</w:t>
      </w:r>
      <w:r w:rsidRPr="004B0C16">
        <w:rPr>
          <w:rFonts w:ascii="Times New Roman" w:hAnsi="Times New Roman" w:cs="Times New Roman"/>
          <w:sz w:val="22"/>
          <w:szCs w:val="26"/>
        </w:rPr>
        <w:t xml:space="preserve"> two or more independent variables </w:t>
      </w:r>
      <w:r>
        <w:rPr>
          <w:rFonts w:ascii="Times New Roman" w:hAnsi="Times New Roman" w:cs="Times New Roman"/>
          <w:sz w:val="22"/>
          <w:szCs w:val="26"/>
        </w:rPr>
        <w:t>have been found to be</w:t>
      </w:r>
      <w:r w:rsidRPr="004B0C16">
        <w:rPr>
          <w:rFonts w:ascii="Times New Roman" w:hAnsi="Times New Roman" w:cs="Times New Roman"/>
          <w:sz w:val="22"/>
          <w:szCs w:val="26"/>
        </w:rPr>
        <w:t xml:space="preserve"> highly correlated with each other (Gujarati, 2009). </w:t>
      </w:r>
      <w:r w:rsidR="0044220A">
        <w:rPr>
          <w:rFonts w:ascii="Times New Roman" w:hAnsi="Times New Roman" w:cs="Times New Roman"/>
          <w:sz w:val="22"/>
          <w:szCs w:val="26"/>
        </w:rPr>
        <w:t xml:space="preserve"> In order to test for multicollinearity, the Variance Inflation Factor Test was performed </w:t>
      </w:r>
      <w:r w:rsidR="0044220A" w:rsidRPr="00DF4A42">
        <w:rPr>
          <w:rFonts w:ascii="Times New Roman" w:hAnsi="Times New Roman" w:cs="Times New Roman"/>
          <w:sz w:val="22"/>
          <w:szCs w:val="26"/>
        </w:rPr>
        <w:t>(Gujarati, 2006)</w:t>
      </w:r>
      <w:r w:rsidR="0044220A">
        <w:rPr>
          <w:rFonts w:ascii="Times New Roman" w:hAnsi="Times New Roman" w:cs="Times New Roman"/>
          <w:sz w:val="22"/>
          <w:szCs w:val="26"/>
        </w:rPr>
        <w:t xml:space="preserve">. The results of this test can be found in Figure C of the Appendix. A Variance Inflation Factor score of above 5 would indicate multicollinearity between the variables </w:t>
      </w:r>
      <w:r w:rsidR="0044220A" w:rsidRPr="00285A14">
        <w:rPr>
          <w:rFonts w:ascii="Times New Roman" w:hAnsi="Times New Roman" w:cs="Times New Roman"/>
          <w:sz w:val="22"/>
          <w:szCs w:val="26"/>
        </w:rPr>
        <w:t>(Gujarati, 2006).</w:t>
      </w:r>
      <w:r w:rsidR="0044220A">
        <w:rPr>
          <w:rFonts w:ascii="Times New Roman" w:hAnsi="Times New Roman" w:cs="Times New Roman"/>
          <w:sz w:val="22"/>
          <w:szCs w:val="26"/>
        </w:rPr>
        <w:t xml:space="preserve"> Upon review of the results from the test performed, there appeared to be no indication of the existence of multicollinearity between any of the variables. This was further confirmed through the use of a correlation matrix (see Figure D of Appendix A) </w:t>
      </w:r>
      <w:r w:rsidR="0044220A" w:rsidRPr="00DF4A42">
        <w:rPr>
          <w:rFonts w:ascii="Times New Roman" w:hAnsi="Times New Roman" w:cs="Times New Roman"/>
          <w:sz w:val="22"/>
          <w:szCs w:val="26"/>
        </w:rPr>
        <w:t>(Gujarati, 2006)</w:t>
      </w:r>
      <w:r w:rsidR="0044220A">
        <w:rPr>
          <w:rFonts w:ascii="Times New Roman" w:hAnsi="Times New Roman" w:cs="Times New Roman"/>
          <w:sz w:val="22"/>
          <w:szCs w:val="26"/>
        </w:rPr>
        <w:t xml:space="preserve">. A correlation of 0.7 and above is considered to be problematic and representative of correlation between the variables </w:t>
      </w:r>
      <w:r w:rsidR="0044220A" w:rsidRPr="00285A14">
        <w:rPr>
          <w:rFonts w:ascii="Times New Roman" w:hAnsi="Times New Roman" w:cs="Times New Roman"/>
          <w:sz w:val="22"/>
          <w:szCs w:val="26"/>
        </w:rPr>
        <w:t>(Pallant, 2013)</w:t>
      </w:r>
      <w:r w:rsidR="0044220A">
        <w:rPr>
          <w:rFonts w:ascii="Times New Roman" w:hAnsi="Times New Roman" w:cs="Times New Roman"/>
          <w:sz w:val="22"/>
          <w:szCs w:val="26"/>
        </w:rPr>
        <w:t>. The results of the correlation matrix showed that none of the variables were shown to have a problem with correlation.</w:t>
      </w:r>
    </w:p>
    <w:p w14:paraId="32E9118D" w14:textId="7B609F0F" w:rsidR="0044220A" w:rsidRDefault="004B0C16"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second diagnostic performed tested for the existence of autocorrelation. Autocorrelation</w:t>
      </w:r>
      <w:r w:rsidRPr="004B0C16">
        <w:rPr>
          <w:rFonts w:ascii="Times New Roman" w:hAnsi="Times New Roman" w:cs="Times New Roman"/>
          <w:sz w:val="22"/>
          <w:szCs w:val="26"/>
        </w:rPr>
        <w:t xml:space="preserve"> is</w:t>
      </w:r>
      <w:r>
        <w:rPr>
          <w:rFonts w:ascii="Times New Roman" w:hAnsi="Times New Roman" w:cs="Times New Roman"/>
          <w:sz w:val="22"/>
          <w:szCs w:val="26"/>
        </w:rPr>
        <w:t xml:space="preserve"> defined as</w:t>
      </w:r>
      <w:r w:rsidRPr="004B0C16">
        <w:rPr>
          <w:rFonts w:ascii="Times New Roman" w:hAnsi="Times New Roman" w:cs="Times New Roman"/>
          <w:sz w:val="22"/>
          <w:szCs w:val="26"/>
        </w:rPr>
        <w:t xml:space="preserve"> the</w:t>
      </w:r>
      <w:r>
        <w:rPr>
          <w:rFonts w:ascii="Times New Roman" w:hAnsi="Times New Roman" w:cs="Times New Roman"/>
          <w:sz w:val="22"/>
          <w:szCs w:val="26"/>
        </w:rPr>
        <w:t xml:space="preserve"> existence of a</w:t>
      </w:r>
      <w:r w:rsidRPr="004B0C16">
        <w:rPr>
          <w:rFonts w:ascii="Times New Roman" w:hAnsi="Times New Roman" w:cs="Times New Roman"/>
          <w:sz w:val="22"/>
          <w:szCs w:val="26"/>
        </w:rPr>
        <w:t xml:space="preserve"> relationship between a given variable and itself over various time intervals </w:t>
      </w:r>
      <w:r w:rsidRPr="004B0C16">
        <w:rPr>
          <w:rFonts w:ascii="Times New Roman" w:hAnsi="Times New Roman" w:cs="Times New Roman"/>
          <w:sz w:val="22"/>
          <w:szCs w:val="26"/>
        </w:rPr>
        <w:lastRenderedPageBreak/>
        <w:t xml:space="preserve">(Gujarati, 2009). </w:t>
      </w:r>
      <w:r w:rsidR="0044220A">
        <w:rPr>
          <w:rFonts w:ascii="Times New Roman" w:hAnsi="Times New Roman" w:cs="Times New Roman"/>
          <w:sz w:val="22"/>
          <w:szCs w:val="26"/>
        </w:rPr>
        <w:t xml:space="preserve">The </w:t>
      </w:r>
      <w:r w:rsidR="0044220A" w:rsidRPr="00D426B5">
        <w:rPr>
          <w:rFonts w:ascii="Times New Roman" w:hAnsi="Times New Roman" w:cs="Times New Roman"/>
          <w:sz w:val="22"/>
          <w:szCs w:val="26"/>
        </w:rPr>
        <w:t xml:space="preserve">Woolridge Test </w:t>
      </w:r>
      <w:r w:rsidR="0044220A">
        <w:rPr>
          <w:rFonts w:ascii="Times New Roman" w:hAnsi="Times New Roman" w:cs="Times New Roman"/>
          <w:sz w:val="22"/>
          <w:szCs w:val="26"/>
        </w:rPr>
        <w:t>was used to test for</w:t>
      </w:r>
      <w:r w:rsidR="0044220A" w:rsidRPr="00D426B5">
        <w:rPr>
          <w:rFonts w:ascii="Times New Roman" w:hAnsi="Times New Roman" w:cs="Times New Roman"/>
          <w:sz w:val="22"/>
          <w:szCs w:val="26"/>
        </w:rPr>
        <w:t xml:space="preserve"> the existence of autocorrelation in panel data</w:t>
      </w:r>
      <w:r w:rsidR="0044220A">
        <w:rPr>
          <w:rFonts w:ascii="Times New Roman" w:hAnsi="Times New Roman" w:cs="Times New Roman"/>
          <w:sz w:val="22"/>
          <w:szCs w:val="26"/>
        </w:rPr>
        <w:t xml:space="preserve"> (Woolridge, </w:t>
      </w:r>
      <w:r w:rsidR="0044220A" w:rsidRPr="00DF4A42">
        <w:rPr>
          <w:rFonts w:ascii="Times New Roman" w:hAnsi="Times New Roman" w:cs="Times New Roman"/>
          <w:sz w:val="22"/>
          <w:szCs w:val="26"/>
        </w:rPr>
        <w:t>2002)</w:t>
      </w:r>
      <w:r w:rsidR="0044220A" w:rsidRPr="00D426B5">
        <w:rPr>
          <w:rFonts w:ascii="Times New Roman" w:hAnsi="Times New Roman" w:cs="Times New Roman"/>
          <w:sz w:val="22"/>
          <w:szCs w:val="26"/>
        </w:rPr>
        <w:t>.</w:t>
      </w:r>
      <w:r w:rsidR="0044220A">
        <w:rPr>
          <w:rFonts w:ascii="Times New Roman" w:hAnsi="Times New Roman" w:cs="Times New Roman"/>
          <w:sz w:val="22"/>
          <w:szCs w:val="26"/>
        </w:rPr>
        <w:t xml:space="preserve"> The results of this test are shown in Figure E of Appendix A.</w:t>
      </w:r>
      <w:r w:rsidR="0044220A" w:rsidRPr="00D426B5">
        <w:rPr>
          <w:rFonts w:ascii="Times New Roman" w:hAnsi="Times New Roman" w:cs="Times New Roman"/>
          <w:sz w:val="22"/>
          <w:szCs w:val="26"/>
        </w:rPr>
        <w:t xml:space="preserve"> The null hypothesis for this test was that there would not be any first-order correlation amongst any of the variables over time</w:t>
      </w:r>
      <w:r w:rsidR="0044220A">
        <w:rPr>
          <w:rFonts w:ascii="Times New Roman" w:hAnsi="Times New Roman" w:cs="Times New Roman"/>
          <w:sz w:val="22"/>
          <w:szCs w:val="26"/>
        </w:rPr>
        <w:t xml:space="preserve"> </w:t>
      </w:r>
      <w:r w:rsidR="0044220A" w:rsidRPr="00285A14">
        <w:rPr>
          <w:rFonts w:ascii="Times New Roman" w:hAnsi="Times New Roman" w:cs="Times New Roman"/>
          <w:sz w:val="22"/>
          <w:szCs w:val="26"/>
        </w:rPr>
        <w:t>(Woolridge, 2002)</w:t>
      </w:r>
      <w:r w:rsidR="0044220A" w:rsidRPr="00D426B5">
        <w:rPr>
          <w:rFonts w:ascii="Times New Roman" w:hAnsi="Times New Roman" w:cs="Times New Roman"/>
          <w:sz w:val="22"/>
          <w:szCs w:val="26"/>
        </w:rPr>
        <w:t>. The results of the test needed to show a Prob&gt;F of at least 0.05 in order to show that autocorrelation was not present in the data</w:t>
      </w:r>
      <w:r w:rsidR="0044220A">
        <w:rPr>
          <w:rFonts w:ascii="Times New Roman" w:hAnsi="Times New Roman" w:cs="Times New Roman"/>
          <w:sz w:val="22"/>
          <w:szCs w:val="26"/>
        </w:rPr>
        <w:t xml:space="preserve"> </w:t>
      </w:r>
      <w:r w:rsidR="0044220A" w:rsidRPr="00285A14">
        <w:rPr>
          <w:rFonts w:ascii="Times New Roman" w:hAnsi="Times New Roman" w:cs="Times New Roman"/>
          <w:sz w:val="22"/>
          <w:szCs w:val="26"/>
        </w:rPr>
        <w:t>(Woolridge, 2002)</w:t>
      </w:r>
      <w:r w:rsidR="0044220A" w:rsidRPr="00D426B5">
        <w:rPr>
          <w:rFonts w:ascii="Times New Roman" w:hAnsi="Times New Roman" w:cs="Times New Roman"/>
          <w:sz w:val="22"/>
          <w:szCs w:val="26"/>
        </w:rPr>
        <w:t xml:space="preserve">. The results of the Woolridge Test showed a Prob &gt; F equal to 0.0158. This meant that autocorrelation did in fact exist </w:t>
      </w:r>
      <w:r w:rsidR="0044220A">
        <w:rPr>
          <w:rFonts w:ascii="Times New Roman" w:hAnsi="Times New Roman" w:cs="Times New Roman"/>
          <w:sz w:val="22"/>
          <w:szCs w:val="26"/>
        </w:rPr>
        <w:t>in the data</w:t>
      </w:r>
      <w:r w:rsidR="00D514EC">
        <w:rPr>
          <w:rFonts w:ascii="Times New Roman" w:hAnsi="Times New Roman" w:cs="Times New Roman"/>
          <w:sz w:val="22"/>
          <w:szCs w:val="26"/>
        </w:rPr>
        <w:t xml:space="preserve"> and that the pooled regression models</w:t>
      </w:r>
      <w:r w:rsidR="005C3082">
        <w:rPr>
          <w:rFonts w:ascii="Times New Roman" w:hAnsi="Times New Roman" w:cs="Times New Roman"/>
          <w:sz w:val="22"/>
          <w:szCs w:val="26"/>
        </w:rPr>
        <w:t>, calculated above,</w:t>
      </w:r>
      <w:r w:rsidR="00D514EC">
        <w:rPr>
          <w:rFonts w:ascii="Times New Roman" w:hAnsi="Times New Roman" w:cs="Times New Roman"/>
          <w:sz w:val="22"/>
          <w:szCs w:val="26"/>
        </w:rPr>
        <w:t xml:space="preserve"> were inappropriate</w:t>
      </w:r>
      <w:r w:rsidR="0044220A">
        <w:rPr>
          <w:rFonts w:ascii="Times New Roman" w:hAnsi="Times New Roman" w:cs="Times New Roman"/>
          <w:sz w:val="22"/>
          <w:szCs w:val="26"/>
        </w:rPr>
        <w:t>.</w:t>
      </w:r>
      <w:r w:rsidR="005C3082">
        <w:rPr>
          <w:rFonts w:ascii="Times New Roman" w:hAnsi="Times New Roman" w:cs="Times New Roman"/>
          <w:sz w:val="22"/>
          <w:szCs w:val="26"/>
        </w:rPr>
        <w:t xml:space="preserve"> This is due to violation of the underlying assumptions of the regression stating that there should not be autocorrelation amongst any of the variables included in the regression.</w:t>
      </w:r>
    </w:p>
    <w:p w14:paraId="325310FC" w14:textId="09A6446F"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 </w:t>
      </w:r>
      <w:r w:rsidR="00B173A9">
        <w:rPr>
          <w:rFonts w:ascii="Times New Roman" w:hAnsi="Times New Roman" w:cs="Times New Roman"/>
          <w:sz w:val="22"/>
          <w:szCs w:val="26"/>
        </w:rPr>
        <w:t>The inappropriateness of the pooled regression</w:t>
      </w:r>
      <w:r>
        <w:rPr>
          <w:rFonts w:ascii="Times New Roman" w:hAnsi="Times New Roman" w:cs="Times New Roman"/>
          <w:sz w:val="22"/>
          <w:szCs w:val="26"/>
        </w:rPr>
        <w:t xml:space="preserve"> model </w:t>
      </w:r>
      <w:r w:rsidR="004B0C16">
        <w:rPr>
          <w:rFonts w:ascii="Times New Roman" w:hAnsi="Times New Roman" w:cs="Times New Roman"/>
          <w:sz w:val="22"/>
          <w:szCs w:val="26"/>
        </w:rPr>
        <w:t>was</w:t>
      </w:r>
      <w:r>
        <w:rPr>
          <w:rFonts w:ascii="Times New Roman" w:hAnsi="Times New Roman" w:cs="Times New Roman"/>
          <w:sz w:val="22"/>
          <w:szCs w:val="26"/>
        </w:rPr>
        <w:t xml:space="preserve"> further confirmed with the Durbin -Wu-Hausman T</w:t>
      </w:r>
      <w:r w:rsidRPr="007111F1">
        <w:rPr>
          <w:rFonts w:ascii="Times New Roman" w:hAnsi="Times New Roman" w:cs="Times New Roman"/>
          <w:sz w:val="22"/>
          <w:szCs w:val="26"/>
        </w:rPr>
        <w:t>est</w:t>
      </w:r>
      <w:r>
        <w:rPr>
          <w:rFonts w:ascii="Times New Roman" w:hAnsi="Times New Roman" w:cs="Times New Roman"/>
          <w:sz w:val="22"/>
          <w:szCs w:val="26"/>
        </w:rPr>
        <w:t xml:space="preserve"> (Chmelarova,</w:t>
      </w:r>
      <w:r w:rsidRPr="00B9033E">
        <w:rPr>
          <w:rFonts w:ascii="Times New Roman" w:hAnsi="Times New Roman" w:cs="Times New Roman"/>
          <w:sz w:val="22"/>
          <w:szCs w:val="26"/>
        </w:rPr>
        <w:t xml:space="preserve"> 1995</w:t>
      </w:r>
      <w:r>
        <w:rPr>
          <w:rFonts w:ascii="Times New Roman" w:hAnsi="Times New Roman" w:cs="Times New Roman"/>
          <w:sz w:val="22"/>
          <w:szCs w:val="26"/>
        </w:rPr>
        <w:t>)</w:t>
      </w:r>
      <w:r w:rsidRPr="00B9033E">
        <w:rPr>
          <w:rFonts w:ascii="Times New Roman" w:hAnsi="Times New Roman" w:cs="Times New Roman"/>
          <w:sz w:val="22"/>
          <w:szCs w:val="26"/>
        </w:rPr>
        <w:t>.</w:t>
      </w:r>
      <w:r w:rsidR="00140B2E">
        <w:rPr>
          <w:rFonts w:ascii="Times New Roman" w:hAnsi="Times New Roman" w:cs="Times New Roman"/>
          <w:sz w:val="22"/>
          <w:szCs w:val="26"/>
        </w:rPr>
        <w:t xml:space="preserve"> The purpose of this test is to determine whether a pooled regression or a fixed effects model would provide a better prediction of </w:t>
      </w:r>
      <w:r w:rsidR="005C3082">
        <w:rPr>
          <w:rFonts w:ascii="Times New Roman" w:hAnsi="Times New Roman" w:cs="Times New Roman"/>
          <w:sz w:val="22"/>
          <w:szCs w:val="26"/>
        </w:rPr>
        <w:t>results</w:t>
      </w:r>
      <w:r w:rsidR="00140B2E">
        <w:rPr>
          <w:rFonts w:ascii="Times New Roman" w:hAnsi="Times New Roman" w:cs="Times New Roman"/>
          <w:sz w:val="22"/>
          <w:szCs w:val="26"/>
        </w:rPr>
        <w:t xml:space="preserve"> </w:t>
      </w:r>
      <w:r w:rsidR="00140B2E" w:rsidRPr="00140B2E">
        <w:rPr>
          <w:rFonts w:ascii="Times New Roman" w:hAnsi="Times New Roman" w:cs="Times New Roman"/>
          <w:sz w:val="22"/>
          <w:szCs w:val="26"/>
        </w:rPr>
        <w:t>(Chmelarova, 1995)</w:t>
      </w:r>
      <w:r w:rsidR="00140B2E">
        <w:rPr>
          <w:rFonts w:ascii="Times New Roman" w:hAnsi="Times New Roman" w:cs="Times New Roman"/>
          <w:sz w:val="22"/>
          <w:szCs w:val="26"/>
        </w:rPr>
        <w:t>.</w:t>
      </w:r>
      <w:r w:rsidRPr="00992526">
        <w:rPr>
          <w:rFonts w:ascii="Times New Roman" w:hAnsi="Times New Roman" w:cs="Times New Roman"/>
          <w:sz w:val="22"/>
          <w:szCs w:val="26"/>
        </w:rPr>
        <w:t xml:space="preserve"> The results for</w:t>
      </w:r>
      <w:r>
        <w:rPr>
          <w:rFonts w:ascii="Times New Roman" w:hAnsi="Times New Roman" w:cs="Times New Roman"/>
          <w:sz w:val="22"/>
          <w:szCs w:val="26"/>
        </w:rPr>
        <w:t xml:space="preserve"> this test are shown in Figure F</w:t>
      </w:r>
      <w:r w:rsidRPr="00992526">
        <w:rPr>
          <w:rFonts w:ascii="Times New Roman" w:hAnsi="Times New Roman" w:cs="Times New Roman"/>
          <w:sz w:val="22"/>
          <w:szCs w:val="26"/>
        </w:rPr>
        <w:t xml:space="preserve"> of Appendix</w:t>
      </w:r>
      <w:r w:rsidR="00545045">
        <w:rPr>
          <w:rFonts w:ascii="Times New Roman" w:hAnsi="Times New Roman" w:cs="Times New Roman"/>
          <w:sz w:val="22"/>
          <w:szCs w:val="26"/>
        </w:rPr>
        <w:t xml:space="preserve"> A</w:t>
      </w:r>
      <w:r>
        <w:rPr>
          <w:rFonts w:ascii="Times New Roman" w:hAnsi="Times New Roman" w:cs="Times New Roman"/>
          <w:sz w:val="22"/>
          <w:szCs w:val="26"/>
        </w:rPr>
        <w:t xml:space="preserve">.  If the results from the </w:t>
      </w:r>
      <w:r w:rsidRPr="00C8407E">
        <w:rPr>
          <w:rFonts w:ascii="Times New Roman" w:hAnsi="Times New Roman" w:cs="Times New Roman"/>
          <w:sz w:val="22"/>
          <w:szCs w:val="26"/>
        </w:rPr>
        <w:t>Durbin -Wu-Hausman Test</w:t>
      </w:r>
      <w:r>
        <w:rPr>
          <w:rFonts w:ascii="Times New Roman" w:hAnsi="Times New Roman" w:cs="Times New Roman"/>
          <w:sz w:val="22"/>
          <w:szCs w:val="26"/>
        </w:rPr>
        <w:t xml:space="preserve"> were to show a </w:t>
      </w:r>
      <w:r w:rsidRPr="007111F1">
        <w:rPr>
          <w:rFonts w:ascii="Times New Roman" w:hAnsi="Times New Roman" w:cs="Times New Roman"/>
          <w:sz w:val="22"/>
          <w:szCs w:val="26"/>
        </w:rPr>
        <w:t xml:space="preserve">p-value </w:t>
      </w:r>
      <w:r>
        <w:rPr>
          <w:rFonts w:ascii="Times New Roman" w:hAnsi="Times New Roman" w:cs="Times New Roman"/>
          <w:sz w:val="22"/>
          <w:szCs w:val="26"/>
        </w:rPr>
        <w:t>for the</w:t>
      </w:r>
      <w:r w:rsidRPr="007111F1">
        <w:rPr>
          <w:rFonts w:ascii="Times New Roman" w:hAnsi="Times New Roman" w:cs="Times New Roman"/>
          <w:sz w:val="22"/>
          <w:szCs w:val="26"/>
        </w:rPr>
        <w:t xml:space="preserve"> resi_2 coefficient </w:t>
      </w:r>
      <w:r>
        <w:rPr>
          <w:rFonts w:ascii="Times New Roman" w:hAnsi="Times New Roman" w:cs="Times New Roman"/>
          <w:sz w:val="22"/>
          <w:szCs w:val="26"/>
        </w:rPr>
        <w:t xml:space="preserve">to be less </w:t>
      </w:r>
      <w:r w:rsidR="00B173A9">
        <w:rPr>
          <w:rFonts w:ascii="Times New Roman" w:hAnsi="Times New Roman" w:cs="Times New Roman"/>
          <w:sz w:val="22"/>
          <w:szCs w:val="26"/>
        </w:rPr>
        <w:t>than 5%, then the use of the pooled regression</w:t>
      </w:r>
      <w:r>
        <w:rPr>
          <w:rFonts w:ascii="Times New Roman" w:hAnsi="Times New Roman" w:cs="Times New Roman"/>
          <w:sz w:val="22"/>
          <w:szCs w:val="26"/>
        </w:rPr>
        <w:t xml:space="preserve"> model would be found to be inappropriate </w:t>
      </w:r>
      <w:r w:rsidRPr="00B9033E">
        <w:rPr>
          <w:rFonts w:ascii="Times New Roman" w:hAnsi="Times New Roman" w:cs="Times New Roman"/>
          <w:sz w:val="22"/>
          <w:szCs w:val="26"/>
        </w:rPr>
        <w:t>(Chmelarova, 1995)</w:t>
      </w:r>
      <w:r>
        <w:rPr>
          <w:rFonts w:ascii="Times New Roman" w:hAnsi="Times New Roman" w:cs="Times New Roman"/>
          <w:sz w:val="22"/>
          <w:szCs w:val="26"/>
        </w:rPr>
        <w:t>. The results from the test showed a p-value of 0. This is suf</w:t>
      </w:r>
      <w:r w:rsidR="00B173A9">
        <w:rPr>
          <w:rFonts w:ascii="Times New Roman" w:hAnsi="Times New Roman" w:cs="Times New Roman"/>
          <w:sz w:val="22"/>
          <w:szCs w:val="26"/>
        </w:rPr>
        <w:t>ficient to conclude that the pooled regression</w:t>
      </w:r>
      <w:r>
        <w:rPr>
          <w:rFonts w:ascii="Times New Roman" w:hAnsi="Times New Roman" w:cs="Times New Roman"/>
          <w:sz w:val="22"/>
          <w:szCs w:val="26"/>
        </w:rPr>
        <w:t xml:space="preserve"> model is not a good predictor of results.</w:t>
      </w:r>
    </w:p>
    <w:p w14:paraId="37BF6751" w14:textId="5F75CC0A" w:rsidR="0044220A" w:rsidRDefault="005C3082"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Once again, t</w:t>
      </w:r>
      <w:r w:rsidR="0044220A">
        <w:rPr>
          <w:rFonts w:ascii="Times New Roman" w:hAnsi="Times New Roman" w:cs="Times New Roman"/>
          <w:sz w:val="22"/>
          <w:szCs w:val="26"/>
        </w:rPr>
        <w:t>he presence of</w:t>
      </w:r>
      <w:r w:rsidR="00B173A9">
        <w:rPr>
          <w:rFonts w:ascii="Times New Roman" w:hAnsi="Times New Roman" w:cs="Times New Roman"/>
          <w:sz w:val="22"/>
          <w:szCs w:val="26"/>
        </w:rPr>
        <w:t xml:space="preserve"> autocorrelation renders the pooled regression</w:t>
      </w:r>
      <w:r w:rsidR="0044220A">
        <w:rPr>
          <w:rFonts w:ascii="Times New Roman" w:hAnsi="Times New Roman" w:cs="Times New Roman"/>
          <w:sz w:val="22"/>
          <w:szCs w:val="26"/>
        </w:rPr>
        <w:t xml:space="preserve"> model inappropriate for this study.  Fixed effects models and random effects models are more suited for panel data containing autocorrelation (Baltagi, 2002). The choice between the most appropriate models to use, out of the two models discussed, is dependent on assumptions made about the error term </w:t>
      </w:r>
      <w:r w:rsidR="0044220A" w:rsidRPr="00D85CF8">
        <w:rPr>
          <w:rFonts w:ascii="Times New Roman" w:hAnsi="Times New Roman" w:cs="Times New Roman"/>
          <w:sz w:val="22"/>
          <w:szCs w:val="26"/>
        </w:rPr>
        <w:t>(Baltagi, 2002)</w:t>
      </w:r>
      <w:r w:rsidR="0044220A">
        <w:rPr>
          <w:rFonts w:ascii="Times New Roman" w:hAnsi="Times New Roman" w:cs="Times New Roman"/>
          <w:sz w:val="22"/>
          <w:szCs w:val="26"/>
        </w:rPr>
        <w:t xml:space="preserve">. This is because the random effects model assumes that the individual heterogeneity of the variables are random while the fixed effects model ignores the unit specific residual </w:t>
      </w:r>
      <w:r w:rsidR="0044220A" w:rsidRPr="00D85CF8">
        <w:rPr>
          <w:rFonts w:ascii="Times New Roman" w:hAnsi="Times New Roman" w:cs="Times New Roman"/>
          <w:sz w:val="22"/>
          <w:szCs w:val="26"/>
        </w:rPr>
        <w:t xml:space="preserve">(Gwatidzo </w:t>
      </w:r>
      <w:r w:rsidR="0044220A">
        <w:rPr>
          <w:rFonts w:ascii="Times New Roman" w:hAnsi="Times New Roman" w:cs="Times New Roman"/>
          <w:sz w:val="22"/>
          <w:szCs w:val="26"/>
        </w:rPr>
        <w:t>&amp;</w:t>
      </w:r>
      <w:r w:rsidR="0044220A" w:rsidRPr="00D85CF8">
        <w:rPr>
          <w:rFonts w:ascii="Times New Roman" w:hAnsi="Times New Roman" w:cs="Times New Roman"/>
          <w:sz w:val="22"/>
          <w:szCs w:val="26"/>
        </w:rPr>
        <w:t xml:space="preserve"> Ojah, 2009)</w:t>
      </w:r>
      <w:r w:rsidR="0044220A">
        <w:rPr>
          <w:rFonts w:ascii="Times New Roman" w:hAnsi="Times New Roman" w:cs="Times New Roman"/>
          <w:sz w:val="22"/>
          <w:szCs w:val="26"/>
        </w:rPr>
        <w:t xml:space="preserve">. In order to determine the more appropriate of the two models to be used, the Hausman Test was performed </w:t>
      </w:r>
      <w:r w:rsidR="0044220A" w:rsidRPr="00FD34EB">
        <w:rPr>
          <w:rFonts w:ascii="Times New Roman" w:hAnsi="Times New Roman" w:cs="Times New Roman"/>
          <w:sz w:val="22"/>
          <w:szCs w:val="26"/>
        </w:rPr>
        <w:t>(Baltagi, 2002)</w:t>
      </w:r>
      <w:r w:rsidR="0044220A">
        <w:rPr>
          <w:rFonts w:ascii="Times New Roman" w:hAnsi="Times New Roman" w:cs="Times New Roman"/>
          <w:sz w:val="22"/>
          <w:szCs w:val="26"/>
        </w:rPr>
        <w:t>. The results from the Hausman Test are shown in Figure G</w:t>
      </w:r>
      <w:r w:rsidR="004B0C16">
        <w:rPr>
          <w:rFonts w:ascii="Times New Roman" w:hAnsi="Times New Roman" w:cs="Times New Roman"/>
          <w:sz w:val="22"/>
          <w:szCs w:val="26"/>
        </w:rPr>
        <w:t xml:space="preserve"> of Appendix A</w:t>
      </w:r>
      <w:r w:rsidR="0044220A">
        <w:rPr>
          <w:rFonts w:ascii="Times New Roman" w:hAnsi="Times New Roman" w:cs="Times New Roman"/>
          <w:sz w:val="22"/>
          <w:szCs w:val="26"/>
        </w:rPr>
        <w:t xml:space="preserve">. They demonstrate that the fixed effects model would be the superior model to use for the purposes of conducting the test. This is because the Beta coefficients under the fixed effects model were higher than that under the </w:t>
      </w:r>
      <w:r w:rsidR="0044220A">
        <w:rPr>
          <w:rFonts w:ascii="Times New Roman" w:hAnsi="Times New Roman" w:cs="Times New Roman"/>
          <w:sz w:val="22"/>
          <w:szCs w:val="26"/>
        </w:rPr>
        <w:lastRenderedPageBreak/>
        <w:t xml:space="preserve">random effects model. One of the benefits of using the fixed effects for panel data is that it will control for autocorrelation </w:t>
      </w:r>
      <w:r w:rsidR="0044220A" w:rsidRPr="00E10023">
        <w:rPr>
          <w:rFonts w:ascii="Times New Roman" w:hAnsi="Times New Roman" w:cs="Times New Roman"/>
          <w:sz w:val="22"/>
          <w:szCs w:val="26"/>
        </w:rPr>
        <w:t>(Baltagi, 2002)</w:t>
      </w:r>
      <w:r w:rsidR="0044220A">
        <w:rPr>
          <w:rFonts w:ascii="Times New Roman" w:hAnsi="Times New Roman" w:cs="Times New Roman"/>
          <w:sz w:val="22"/>
          <w:szCs w:val="26"/>
        </w:rPr>
        <w:t>. This is appropriate as the Woolridge Test did in fact show autocorrelation to exist within certain variables over time</w:t>
      </w:r>
      <w:r w:rsidR="00667B06">
        <w:rPr>
          <w:rFonts w:ascii="Times New Roman" w:hAnsi="Times New Roman" w:cs="Times New Roman"/>
          <w:sz w:val="22"/>
          <w:szCs w:val="26"/>
        </w:rPr>
        <w:t xml:space="preserve"> (</w:t>
      </w:r>
      <w:r>
        <w:rPr>
          <w:rFonts w:ascii="Times New Roman" w:hAnsi="Times New Roman" w:cs="Times New Roman"/>
          <w:sz w:val="22"/>
          <w:szCs w:val="26"/>
        </w:rPr>
        <w:t>Figure</w:t>
      </w:r>
      <w:r w:rsidR="00667B06">
        <w:rPr>
          <w:rFonts w:ascii="Times New Roman" w:hAnsi="Times New Roman" w:cs="Times New Roman"/>
          <w:sz w:val="22"/>
          <w:szCs w:val="26"/>
        </w:rPr>
        <w:t xml:space="preserve"> E of Appendix A)</w:t>
      </w:r>
      <w:r w:rsidR="0044220A">
        <w:rPr>
          <w:rFonts w:ascii="Times New Roman" w:hAnsi="Times New Roman" w:cs="Times New Roman"/>
          <w:sz w:val="22"/>
          <w:szCs w:val="26"/>
        </w:rPr>
        <w:t xml:space="preserve">. </w:t>
      </w:r>
    </w:p>
    <w:p w14:paraId="3BD3561C" w14:textId="095F16D1" w:rsidR="0044220A" w:rsidRDefault="007A0383"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next step was to check the suitability of the fixed effects model by running regressions for both a balanced and an unbalanced panel. </w:t>
      </w:r>
      <w:r w:rsidR="00525647">
        <w:rPr>
          <w:rFonts w:ascii="Times New Roman" w:hAnsi="Times New Roman" w:cs="Times New Roman"/>
          <w:sz w:val="22"/>
          <w:szCs w:val="26"/>
        </w:rPr>
        <w:t>Upon inspection of the results from both the balanced and unbalanced panel regression performed, it is still seen that the</w:t>
      </w:r>
      <w:r w:rsidR="0044220A">
        <w:rPr>
          <w:rFonts w:ascii="Times New Roman" w:hAnsi="Times New Roman" w:cs="Times New Roman"/>
          <w:sz w:val="22"/>
          <w:szCs w:val="26"/>
        </w:rPr>
        <w:t xml:space="preserve"> R-squared for</w:t>
      </w:r>
      <w:r w:rsidR="00525647">
        <w:rPr>
          <w:rFonts w:ascii="Times New Roman" w:hAnsi="Times New Roman" w:cs="Times New Roman"/>
          <w:sz w:val="22"/>
          <w:szCs w:val="26"/>
        </w:rPr>
        <w:t xml:space="preserve"> both</w:t>
      </w:r>
      <w:r w:rsidR="0044220A">
        <w:rPr>
          <w:rFonts w:ascii="Times New Roman" w:hAnsi="Times New Roman" w:cs="Times New Roman"/>
          <w:sz w:val="22"/>
          <w:szCs w:val="26"/>
        </w:rPr>
        <w:t xml:space="preserve"> the balanced and unbalanced panel</w:t>
      </w:r>
      <w:r w:rsidR="00525647">
        <w:rPr>
          <w:rFonts w:ascii="Times New Roman" w:hAnsi="Times New Roman" w:cs="Times New Roman"/>
          <w:sz w:val="22"/>
          <w:szCs w:val="26"/>
        </w:rPr>
        <w:t>s remains extremely low</w:t>
      </w:r>
      <w:r w:rsidR="005C3082">
        <w:rPr>
          <w:rFonts w:ascii="Times New Roman" w:hAnsi="Times New Roman" w:cs="Times New Roman"/>
          <w:sz w:val="22"/>
          <w:szCs w:val="26"/>
        </w:rPr>
        <w:t xml:space="preserve"> (see Figure J of Appendix A)</w:t>
      </w:r>
      <w:r w:rsidR="0044220A">
        <w:rPr>
          <w:rFonts w:ascii="Times New Roman" w:hAnsi="Times New Roman" w:cs="Times New Roman"/>
          <w:sz w:val="22"/>
          <w:szCs w:val="26"/>
        </w:rPr>
        <w:t>.</w:t>
      </w:r>
      <w:r w:rsidR="00525647">
        <w:rPr>
          <w:rFonts w:ascii="Times New Roman" w:hAnsi="Times New Roman" w:cs="Times New Roman"/>
          <w:sz w:val="22"/>
          <w:szCs w:val="26"/>
        </w:rPr>
        <w:t xml:space="preserve"> The R-squared </w:t>
      </w:r>
      <w:r w:rsidR="00A552BB">
        <w:rPr>
          <w:rFonts w:ascii="Times New Roman" w:hAnsi="Times New Roman" w:cs="Times New Roman"/>
          <w:sz w:val="22"/>
          <w:szCs w:val="26"/>
        </w:rPr>
        <w:t>using the balanced panel is 7.2%</w:t>
      </w:r>
      <w:r w:rsidR="005C3082">
        <w:rPr>
          <w:rFonts w:ascii="Times New Roman" w:hAnsi="Times New Roman" w:cs="Times New Roman"/>
          <w:sz w:val="22"/>
          <w:szCs w:val="26"/>
        </w:rPr>
        <w:t xml:space="preserve"> (Regression labelled BFE_ND in Figure J)</w:t>
      </w:r>
      <w:r w:rsidR="00A552BB">
        <w:rPr>
          <w:rFonts w:ascii="Times New Roman" w:hAnsi="Times New Roman" w:cs="Times New Roman"/>
          <w:sz w:val="22"/>
          <w:szCs w:val="26"/>
        </w:rPr>
        <w:t xml:space="preserve"> and that of the unbalanced panel is 5.4%</w:t>
      </w:r>
      <w:r w:rsidR="005C3082">
        <w:rPr>
          <w:rFonts w:ascii="Times New Roman" w:hAnsi="Times New Roman" w:cs="Times New Roman"/>
          <w:sz w:val="22"/>
          <w:szCs w:val="26"/>
        </w:rPr>
        <w:t xml:space="preserve"> (Regression labelled UFE_ND in Figure J)</w:t>
      </w:r>
      <w:r w:rsidR="00A552BB">
        <w:rPr>
          <w:rFonts w:ascii="Times New Roman" w:hAnsi="Times New Roman" w:cs="Times New Roman"/>
          <w:sz w:val="22"/>
          <w:szCs w:val="26"/>
        </w:rPr>
        <w:t>.</w:t>
      </w:r>
      <w:r w:rsidR="0044220A">
        <w:rPr>
          <w:rFonts w:ascii="Times New Roman" w:hAnsi="Times New Roman" w:cs="Times New Roman"/>
          <w:sz w:val="22"/>
          <w:szCs w:val="26"/>
        </w:rPr>
        <w:t xml:space="preserve"> This, once again, indicates that the independent variables are a bad predictor of the dependent variable. As this problem cannot be a result of multicollinearity or autocorrelation, which has already been tested and treated for, it could be due to the existence of heteroscedasticity</w:t>
      </w:r>
      <w:r w:rsidR="00AD7E28">
        <w:rPr>
          <w:rFonts w:ascii="Times New Roman" w:hAnsi="Times New Roman" w:cs="Times New Roman"/>
          <w:sz w:val="22"/>
          <w:szCs w:val="26"/>
        </w:rPr>
        <w:t xml:space="preserve"> in the panel data used</w:t>
      </w:r>
      <w:r w:rsidR="0044220A">
        <w:rPr>
          <w:rFonts w:ascii="Times New Roman" w:hAnsi="Times New Roman" w:cs="Times New Roman"/>
          <w:sz w:val="22"/>
          <w:szCs w:val="26"/>
        </w:rPr>
        <w:t>.</w:t>
      </w:r>
      <w:r w:rsidR="00AD7E28">
        <w:rPr>
          <w:rFonts w:ascii="Times New Roman" w:hAnsi="Times New Roman" w:cs="Times New Roman"/>
          <w:sz w:val="22"/>
          <w:szCs w:val="26"/>
        </w:rPr>
        <w:t xml:space="preserve"> </w:t>
      </w:r>
      <w:r w:rsidR="00AD7E28" w:rsidRPr="00AD7E28">
        <w:rPr>
          <w:rFonts w:ascii="Times New Roman" w:hAnsi="Times New Roman" w:cs="Times New Roman"/>
          <w:sz w:val="22"/>
          <w:szCs w:val="26"/>
        </w:rPr>
        <w:t xml:space="preserve">Heteroscedasticity can be described as a circumstance in which the variability of a particular variable is unequal across the range of values of the second variable that is used to predict it (Gujarati, 2009). </w:t>
      </w:r>
      <w:r w:rsidR="0044220A">
        <w:rPr>
          <w:rFonts w:ascii="Times New Roman" w:hAnsi="Times New Roman" w:cs="Times New Roman"/>
          <w:sz w:val="22"/>
          <w:szCs w:val="26"/>
        </w:rPr>
        <w:t xml:space="preserve"> </w:t>
      </w:r>
    </w:p>
    <w:p w14:paraId="359B4CA2" w14:textId="795CF381" w:rsidR="0044220A" w:rsidRDefault="0044220A" w:rsidP="00536234">
      <w:pPr>
        <w:autoSpaceDE w:val="0"/>
        <w:autoSpaceDN w:val="0"/>
        <w:adjustRightInd w:val="0"/>
        <w:spacing w:after="0" w:line="480" w:lineRule="auto"/>
        <w:ind w:left="0" w:firstLine="0"/>
        <w:rPr>
          <w:rFonts w:ascii="Times New Roman" w:eastAsiaTheme="minorHAnsi" w:hAnsi="Times New Roman" w:cs="Times New Roman"/>
          <w:color w:val="auto"/>
          <w:sz w:val="22"/>
          <w:lang w:eastAsia="en-US"/>
        </w:rPr>
      </w:pPr>
      <w:r>
        <w:rPr>
          <w:rFonts w:ascii="Times New Roman" w:eastAsiaTheme="minorHAnsi" w:hAnsi="Times New Roman" w:cs="Times New Roman"/>
          <w:color w:val="auto"/>
          <w:sz w:val="22"/>
          <w:lang w:eastAsia="en-US"/>
        </w:rPr>
        <w:t xml:space="preserve">In order to test for heteroscedasticity in the fixed effects model, the Modified Wald Test was used </w:t>
      </w:r>
      <w:r w:rsidRPr="006C7247">
        <w:rPr>
          <w:rFonts w:ascii="Times New Roman" w:eastAsiaTheme="minorHAnsi" w:hAnsi="Times New Roman" w:cs="Times New Roman"/>
          <w:color w:val="auto"/>
          <w:sz w:val="22"/>
          <w:lang w:eastAsia="en-US"/>
        </w:rPr>
        <w:t>(Woolridge, 2002)</w:t>
      </w:r>
      <w:r>
        <w:rPr>
          <w:rFonts w:ascii="Times New Roman" w:eastAsiaTheme="minorHAnsi" w:hAnsi="Times New Roman" w:cs="Times New Roman"/>
          <w:color w:val="auto"/>
          <w:sz w:val="22"/>
          <w:lang w:eastAsia="en-US"/>
        </w:rPr>
        <w:t xml:space="preserve">. The results for the Modified Wald Test have been shown in Figure </w:t>
      </w:r>
      <w:r w:rsidR="005C3082">
        <w:rPr>
          <w:rFonts w:ascii="Times New Roman" w:eastAsiaTheme="minorHAnsi" w:hAnsi="Times New Roman" w:cs="Times New Roman"/>
          <w:color w:val="auto"/>
          <w:sz w:val="22"/>
          <w:lang w:eastAsia="en-US"/>
        </w:rPr>
        <w:t>H</w:t>
      </w:r>
      <w:r>
        <w:rPr>
          <w:rFonts w:ascii="Times New Roman" w:eastAsiaTheme="minorHAnsi" w:hAnsi="Times New Roman" w:cs="Times New Roman"/>
          <w:color w:val="auto"/>
          <w:sz w:val="22"/>
          <w:lang w:eastAsia="en-US"/>
        </w:rPr>
        <w:t xml:space="preserve"> of Appendix A. The null hypothesis for this test is that the variables are homoscedastic </w:t>
      </w:r>
      <w:r w:rsidRPr="00285A14">
        <w:rPr>
          <w:rFonts w:ascii="Times New Roman" w:eastAsiaTheme="minorHAnsi" w:hAnsi="Times New Roman" w:cs="Times New Roman"/>
          <w:color w:val="auto"/>
          <w:sz w:val="22"/>
          <w:lang w:eastAsia="en-US"/>
        </w:rPr>
        <w:t>(Woolridge, 2002)</w:t>
      </w:r>
      <w:r>
        <w:rPr>
          <w:rFonts w:ascii="Times New Roman" w:eastAsiaTheme="minorHAnsi" w:hAnsi="Times New Roman" w:cs="Times New Roman"/>
          <w:color w:val="auto"/>
          <w:sz w:val="22"/>
          <w:lang w:eastAsia="en-US"/>
        </w:rPr>
        <w:t xml:space="preserve">.  In order for heteroscedasticity to be successfully detected from this test, a Prob&gt;Chi2 of less than 5% will need to have been shown </w:t>
      </w:r>
      <w:r w:rsidRPr="00285A14">
        <w:rPr>
          <w:rFonts w:ascii="Times New Roman" w:eastAsiaTheme="minorHAnsi" w:hAnsi="Times New Roman" w:cs="Times New Roman"/>
          <w:color w:val="auto"/>
          <w:sz w:val="22"/>
          <w:lang w:eastAsia="en-US"/>
        </w:rPr>
        <w:t>(Woolridge, 2002)</w:t>
      </w:r>
      <w:r>
        <w:rPr>
          <w:rFonts w:ascii="Times New Roman" w:eastAsiaTheme="minorHAnsi" w:hAnsi="Times New Roman" w:cs="Times New Roman"/>
          <w:color w:val="auto"/>
          <w:sz w:val="22"/>
          <w:lang w:eastAsia="en-US"/>
        </w:rPr>
        <w:t>. The results from the test actually showed a Prob&gt;C</w:t>
      </w:r>
      <w:r w:rsidRPr="00FB1E9C">
        <w:rPr>
          <w:rFonts w:ascii="Times New Roman" w:eastAsiaTheme="minorHAnsi" w:hAnsi="Times New Roman" w:cs="Times New Roman"/>
          <w:color w:val="auto"/>
          <w:sz w:val="22"/>
          <w:lang w:eastAsia="en-US"/>
        </w:rPr>
        <w:t>hi2</w:t>
      </w:r>
      <w:r>
        <w:rPr>
          <w:rFonts w:ascii="Times New Roman" w:eastAsiaTheme="minorHAnsi" w:hAnsi="Times New Roman" w:cs="Times New Roman"/>
          <w:color w:val="auto"/>
          <w:sz w:val="22"/>
          <w:lang w:eastAsia="en-US"/>
        </w:rPr>
        <w:t xml:space="preserve"> equal to 0%. As the actual results of 0% were less than the 5% needed to indicate heteroscedasticity, the results therefore showed that heteroscedasticity d</w:t>
      </w:r>
      <w:r w:rsidR="005C3082">
        <w:rPr>
          <w:rFonts w:ascii="Times New Roman" w:eastAsiaTheme="minorHAnsi" w:hAnsi="Times New Roman" w:cs="Times New Roman"/>
          <w:color w:val="auto"/>
          <w:sz w:val="22"/>
          <w:lang w:eastAsia="en-US"/>
        </w:rPr>
        <w:t>id</w:t>
      </w:r>
      <w:r>
        <w:rPr>
          <w:rFonts w:ascii="Times New Roman" w:eastAsiaTheme="minorHAnsi" w:hAnsi="Times New Roman" w:cs="Times New Roman"/>
          <w:color w:val="auto"/>
          <w:sz w:val="22"/>
          <w:lang w:eastAsia="en-US"/>
        </w:rPr>
        <w:t xml:space="preserve"> in fact exist.</w:t>
      </w:r>
    </w:p>
    <w:p w14:paraId="21D7C23D" w14:textId="77777777" w:rsidR="0044220A" w:rsidRPr="00DA6515" w:rsidRDefault="0044220A" w:rsidP="00536234">
      <w:pPr>
        <w:autoSpaceDE w:val="0"/>
        <w:autoSpaceDN w:val="0"/>
        <w:adjustRightInd w:val="0"/>
        <w:spacing w:after="0" w:line="480" w:lineRule="auto"/>
        <w:ind w:left="0" w:firstLine="0"/>
        <w:rPr>
          <w:rFonts w:ascii="Times New Roman" w:eastAsiaTheme="minorHAnsi" w:hAnsi="Times New Roman" w:cs="Times New Roman"/>
          <w:color w:val="auto"/>
          <w:sz w:val="8"/>
          <w:lang w:eastAsia="en-US"/>
        </w:rPr>
      </w:pPr>
    </w:p>
    <w:p w14:paraId="6D435A66" w14:textId="776F59B2" w:rsidR="0044220A" w:rsidRDefault="0044220A" w:rsidP="00536234">
      <w:pPr>
        <w:autoSpaceDE w:val="0"/>
        <w:autoSpaceDN w:val="0"/>
        <w:adjustRightInd w:val="0"/>
        <w:spacing w:after="0" w:line="480" w:lineRule="auto"/>
        <w:ind w:left="0" w:firstLine="0"/>
        <w:rPr>
          <w:rFonts w:ascii="Times New Roman" w:eastAsiaTheme="minorHAnsi" w:hAnsi="Times New Roman" w:cs="Times New Roman"/>
          <w:color w:val="auto"/>
          <w:sz w:val="22"/>
          <w:lang w:eastAsia="en-US"/>
        </w:rPr>
      </w:pPr>
      <w:r>
        <w:rPr>
          <w:rFonts w:ascii="Times New Roman" w:eastAsiaTheme="minorHAnsi" w:hAnsi="Times New Roman" w:cs="Times New Roman"/>
          <w:color w:val="auto"/>
          <w:sz w:val="22"/>
          <w:lang w:eastAsia="en-US"/>
        </w:rPr>
        <w:t>In order to further confirm the existence of heteroscedasticity in the data set, a</w:t>
      </w:r>
      <w:r w:rsidR="00AD7E28">
        <w:rPr>
          <w:rFonts w:ascii="Times New Roman" w:eastAsiaTheme="minorHAnsi" w:hAnsi="Times New Roman" w:cs="Times New Roman"/>
          <w:color w:val="auto"/>
          <w:sz w:val="22"/>
          <w:lang w:eastAsia="en-US"/>
        </w:rPr>
        <w:t xml:space="preserve"> heteroscedastic</w:t>
      </w:r>
      <w:r>
        <w:rPr>
          <w:rFonts w:ascii="Times New Roman" w:eastAsiaTheme="minorHAnsi" w:hAnsi="Times New Roman" w:cs="Times New Roman"/>
          <w:color w:val="auto"/>
          <w:sz w:val="22"/>
          <w:lang w:eastAsia="en-US"/>
        </w:rPr>
        <w:t xml:space="preserve"> test can</w:t>
      </w:r>
      <w:r w:rsidR="00B173A9">
        <w:rPr>
          <w:rFonts w:ascii="Times New Roman" w:eastAsiaTheme="minorHAnsi" w:hAnsi="Times New Roman" w:cs="Times New Roman"/>
          <w:color w:val="auto"/>
          <w:sz w:val="22"/>
          <w:lang w:eastAsia="en-US"/>
        </w:rPr>
        <w:t xml:space="preserve"> also be performed under the pooled regression</w:t>
      </w:r>
      <w:r>
        <w:rPr>
          <w:rFonts w:ascii="Times New Roman" w:eastAsiaTheme="minorHAnsi" w:hAnsi="Times New Roman" w:cs="Times New Roman"/>
          <w:color w:val="auto"/>
          <w:sz w:val="22"/>
          <w:lang w:eastAsia="en-US"/>
        </w:rPr>
        <w:t xml:space="preserve"> model</w:t>
      </w:r>
      <w:r w:rsidRPr="00FB1E9C">
        <w:rPr>
          <w:rFonts w:ascii="Times New Roman" w:eastAsiaTheme="minorHAnsi" w:hAnsi="Times New Roman" w:cs="Times New Roman"/>
          <w:color w:val="auto"/>
          <w:sz w:val="22"/>
          <w:lang w:eastAsia="en-US"/>
        </w:rPr>
        <w:t xml:space="preserve">. </w:t>
      </w:r>
      <w:r>
        <w:rPr>
          <w:rFonts w:ascii="Times New Roman" w:eastAsiaTheme="minorHAnsi" w:hAnsi="Times New Roman" w:cs="Times New Roman"/>
          <w:color w:val="auto"/>
          <w:sz w:val="22"/>
          <w:lang w:eastAsia="en-US"/>
        </w:rPr>
        <w:t xml:space="preserve">This test to </w:t>
      </w:r>
      <w:r w:rsidRPr="00FB1E9C">
        <w:rPr>
          <w:rFonts w:ascii="Times New Roman" w:eastAsiaTheme="minorHAnsi" w:hAnsi="Times New Roman" w:cs="Times New Roman"/>
          <w:color w:val="auto"/>
          <w:sz w:val="22"/>
          <w:lang w:eastAsia="en-US"/>
        </w:rPr>
        <w:t>detect heteros</w:t>
      </w:r>
      <w:r>
        <w:rPr>
          <w:rFonts w:ascii="Times New Roman" w:eastAsiaTheme="minorHAnsi" w:hAnsi="Times New Roman" w:cs="Times New Roman"/>
          <w:color w:val="auto"/>
          <w:sz w:val="22"/>
          <w:lang w:eastAsia="en-US"/>
        </w:rPr>
        <w:t>c</w:t>
      </w:r>
      <w:r w:rsidRPr="00FB1E9C">
        <w:rPr>
          <w:rFonts w:ascii="Times New Roman" w:eastAsiaTheme="minorHAnsi" w:hAnsi="Times New Roman" w:cs="Times New Roman"/>
          <w:color w:val="auto"/>
          <w:sz w:val="22"/>
          <w:lang w:eastAsia="en-US"/>
        </w:rPr>
        <w:t xml:space="preserve">edasticity in the </w:t>
      </w:r>
      <w:r w:rsidR="00140B2E">
        <w:rPr>
          <w:rFonts w:ascii="Times New Roman" w:eastAsiaTheme="minorHAnsi" w:hAnsi="Times New Roman" w:cs="Times New Roman"/>
          <w:color w:val="auto"/>
          <w:sz w:val="22"/>
          <w:lang w:eastAsia="en-US"/>
        </w:rPr>
        <w:t>pooled</w:t>
      </w:r>
      <w:r w:rsidRPr="00FB1E9C">
        <w:rPr>
          <w:rFonts w:ascii="Times New Roman" w:eastAsiaTheme="minorHAnsi" w:hAnsi="Times New Roman" w:cs="Times New Roman"/>
          <w:color w:val="auto"/>
          <w:sz w:val="22"/>
          <w:lang w:eastAsia="en-US"/>
        </w:rPr>
        <w:t xml:space="preserve"> regression model is </w:t>
      </w:r>
      <w:r>
        <w:rPr>
          <w:rFonts w:ascii="Times New Roman" w:eastAsiaTheme="minorHAnsi" w:hAnsi="Times New Roman" w:cs="Times New Roman"/>
          <w:color w:val="auto"/>
          <w:sz w:val="22"/>
          <w:lang w:eastAsia="en-US"/>
        </w:rPr>
        <w:t>known as</w:t>
      </w:r>
      <w:r w:rsidRPr="00FB1E9C">
        <w:rPr>
          <w:rFonts w:ascii="Times New Roman" w:eastAsiaTheme="minorHAnsi" w:hAnsi="Times New Roman" w:cs="Times New Roman"/>
          <w:color w:val="auto"/>
          <w:sz w:val="22"/>
          <w:lang w:eastAsia="en-US"/>
        </w:rPr>
        <w:t xml:space="preserve"> the Breusch-Pagan / Cook-Weisberg test for heteros</w:t>
      </w:r>
      <w:r>
        <w:rPr>
          <w:rFonts w:ascii="Times New Roman" w:eastAsiaTheme="minorHAnsi" w:hAnsi="Times New Roman" w:cs="Times New Roman"/>
          <w:color w:val="auto"/>
          <w:sz w:val="22"/>
          <w:lang w:eastAsia="en-US"/>
        </w:rPr>
        <w:t>c</w:t>
      </w:r>
      <w:r w:rsidRPr="00FB1E9C">
        <w:rPr>
          <w:rFonts w:ascii="Times New Roman" w:eastAsiaTheme="minorHAnsi" w:hAnsi="Times New Roman" w:cs="Times New Roman"/>
          <w:color w:val="auto"/>
          <w:sz w:val="22"/>
          <w:lang w:eastAsia="en-US"/>
        </w:rPr>
        <w:t>edasticity</w:t>
      </w:r>
      <w:r>
        <w:rPr>
          <w:rFonts w:ascii="Times New Roman" w:eastAsiaTheme="minorHAnsi" w:hAnsi="Times New Roman" w:cs="Times New Roman"/>
          <w:color w:val="auto"/>
          <w:sz w:val="22"/>
          <w:lang w:eastAsia="en-US"/>
        </w:rPr>
        <w:t xml:space="preserve"> </w:t>
      </w:r>
      <w:r w:rsidRPr="00285A14">
        <w:rPr>
          <w:rFonts w:ascii="Times New Roman" w:eastAsiaTheme="minorHAnsi" w:hAnsi="Times New Roman" w:cs="Times New Roman"/>
          <w:color w:val="auto"/>
          <w:sz w:val="22"/>
          <w:lang w:eastAsia="en-US"/>
        </w:rPr>
        <w:t>(Gujarati, 2009)</w:t>
      </w:r>
      <w:r w:rsidRPr="00FB1E9C">
        <w:rPr>
          <w:rFonts w:ascii="Times New Roman" w:eastAsiaTheme="minorHAnsi" w:hAnsi="Times New Roman" w:cs="Times New Roman"/>
          <w:color w:val="auto"/>
          <w:sz w:val="22"/>
          <w:lang w:eastAsia="en-US"/>
        </w:rPr>
        <w:t>.</w:t>
      </w:r>
      <w:r>
        <w:rPr>
          <w:rFonts w:ascii="Times New Roman" w:eastAsiaTheme="minorHAnsi" w:hAnsi="Times New Roman" w:cs="Times New Roman"/>
          <w:color w:val="auto"/>
          <w:sz w:val="22"/>
          <w:lang w:eastAsia="en-US"/>
        </w:rPr>
        <w:t xml:space="preserve"> The results for this test have been presented in</w:t>
      </w:r>
      <w:r w:rsidR="005C3082">
        <w:rPr>
          <w:rFonts w:ascii="Times New Roman" w:eastAsiaTheme="minorHAnsi" w:hAnsi="Times New Roman" w:cs="Times New Roman"/>
          <w:color w:val="auto"/>
          <w:sz w:val="22"/>
          <w:lang w:eastAsia="en-US"/>
        </w:rPr>
        <w:t xml:space="preserve"> Figur</w:t>
      </w:r>
      <w:r>
        <w:rPr>
          <w:rFonts w:ascii="Times New Roman" w:eastAsiaTheme="minorHAnsi" w:hAnsi="Times New Roman" w:cs="Times New Roman"/>
          <w:color w:val="auto"/>
          <w:sz w:val="22"/>
          <w:lang w:eastAsia="en-US"/>
        </w:rPr>
        <w:t xml:space="preserve">e </w:t>
      </w:r>
      <w:r w:rsidR="005C3082">
        <w:rPr>
          <w:rFonts w:ascii="Times New Roman" w:eastAsiaTheme="minorHAnsi" w:hAnsi="Times New Roman" w:cs="Times New Roman"/>
          <w:color w:val="auto"/>
          <w:sz w:val="22"/>
          <w:lang w:eastAsia="en-US"/>
        </w:rPr>
        <w:t>I</w:t>
      </w:r>
      <w:r>
        <w:rPr>
          <w:rFonts w:ascii="Times New Roman" w:eastAsiaTheme="minorHAnsi" w:hAnsi="Times New Roman" w:cs="Times New Roman"/>
          <w:color w:val="auto"/>
          <w:sz w:val="22"/>
          <w:lang w:eastAsia="en-US"/>
        </w:rPr>
        <w:t xml:space="preserve"> of Appendix A.</w:t>
      </w:r>
      <w:r w:rsidRPr="00FB1E9C">
        <w:rPr>
          <w:rFonts w:ascii="Times New Roman" w:eastAsiaTheme="minorHAnsi" w:hAnsi="Times New Roman" w:cs="Times New Roman"/>
          <w:color w:val="auto"/>
          <w:sz w:val="22"/>
          <w:lang w:eastAsia="en-US"/>
        </w:rPr>
        <w:t xml:space="preserve"> The null hypothesis in this test is that the variance of each variable remains constant over time</w:t>
      </w:r>
      <w:r>
        <w:rPr>
          <w:rFonts w:ascii="Times New Roman" w:eastAsiaTheme="minorHAnsi" w:hAnsi="Times New Roman" w:cs="Times New Roman"/>
          <w:color w:val="auto"/>
          <w:sz w:val="22"/>
          <w:lang w:eastAsia="en-US"/>
        </w:rPr>
        <w:t xml:space="preserve"> </w:t>
      </w:r>
      <w:r w:rsidRPr="00285A14">
        <w:rPr>
          <w:rFonts w:ascii="Times New Roman" w:eastAsiaTheme="minorHAnsi" w:hAnsi="Times New Roman" w:cs="Times New Roman"/>
          <w:color w:val="auto"/>
          <w:sz w:val="22"/>
          <w:lang w:eastAsia="en-US"/>
        </w:rPr>
        <w:t>(Gujarati, 2009)</w:t>
      </w:r>
      <w:r w:rsidRPr="00FB1E9C">
        <w:rPr>
          <w:rFonts w:ascii="Times New Roman" w:eastAsiaTheme="minorHAnsi" w:hAnsi="Times New Roman" w:cs="Times New Roman"/>
          <w:color w:val="auto"/>
          <w:sz w:val="22"/>
          <w:lang w:eastAsia="en-US"/>
        </w:rPr>
        <w:t xml:space="preserve">. The results </w:t>
      </w:r>
      <w:r w:rsidRPr="00FB1E9C">
        <w:rPr>
          <w:rFonts w:ascii="Times New Roman" w:eastAsiaTheme="minorHAnsi" w:hAnsi="Times New Roman" w:cs="Times New Roman"/>
          <w:color w:val="auto"/>
          <w:sz w:val="22"/>
          <w:lang w:eastAsia="en-US"/>
        </w:rPr>
        <w:lastRenderedPageBreak/>
        <w:t>from the test showed Prob &gt; chi2 to be equal to zero which will lead us to reject the null hypothesis</w:t>
      </w:r>
      <w:r>
        <w:rPr>
          <w:rFonts w:ascii="Times New Roman" w:eastAsiaTheme="minorHAnsi" w:hAnsi="Times New Roman" w:cs="Times New Roman"/>
          <w:color w:val="auto"/>
          <w:sz w:val="22"/>
          <w:lang w:eastAsia="en-US"/>
        </w:rPr>
        <w:t xml:space="preserve"> </w:t>
      </w:r>
      <w:r w:rsidRPr="00285A14">
        <w:rPr>
          <w:rFonts w:ascii="Times New Roman" w:eastAsiaTheme="minorHAnsi" w:hAnsi="Times New Roman" w:cs="Times New Roman"/>
          <w:color w:val="auto"/>
          <w:sz w:val="22"/>
          <w:lang w:eastAsia="en-US"/>
        </w:rPr>
        <w:t>(Gujarati, 2009)</w:t>
      </w:r>
      <w:r>
        <w:rPr>
          <w:rFonts w:ascii="Times New Roman" w:eastAsiaTheme="minorHAnsi" w:hAnsi="Times New Roman" w:cs="Times New Roman"/>
          <w:color w:val="auto"/>
          <w:sz w:val="22"/>
          <w:lang w:eastAsia="en-US"/>
        </w:rPr>
        <w:t>.</w:t>
      </w:r>
      <w:r w:rsidRPr="00FB1E9C">
        <w:rPr>
          <w:rFonts w:ascii="Times New Roman" w:eastAsiaTheme="minorHAnsi" w:hAnsi="Times New Roman" w:cs="Times New Roman"/>
          <w:color w:val="auto"/>
          <w:sz w:val="22"/>
          <w:lang w:eastAsia="en-US"/>
        </w:rPr>
        <w:t xml:space="preserve"> This is because heteros</w:t>
      </w:r>
      <w:r>
        <w:rPr>
          <w:rFonts w:ascii="Times New Roman" w:eastAsiaTheme="minorHAnsi" w:hAnsi="Times New Roman" w:cs="Times New Roman"/>
          <w:color w:val="auto"/>
          <w:sz w:val="22"/>
          <w:lang w:eastAsia="en-US"/>
        </w:rPr>
        <w:t>c</w:t>
      </w:r>
      <w:r w:rsidRPr="00FB1E9C">
        <w:rPr>
          <w:rFonts w:ascii="Times New Roman" w:eastAsiaTheme="minorHAnsi" w:hAnsi="Times New Roman" w:cs="Times New Roman"/>
          <w:color w:val="auto"/>
          <w:sz w:val="22"/>
          <w:lang w:eastAsia="en-US"/>
        </w:rPr>
        <w:t xml:space="preserve">edasticity in the model </w:t>
      </w:r>
      <w:r>
        <w:rPr>
          <w:rFonts w:ascii="Times New Roman" w:eastAsiaTheme="minorHAnsi" w:hAnsi="Times New Roman" w:cs="Times New Roman"/>
          <w:color w:val="auto"/>
          <w:sz w:val="22"/>
          <w:lang w:eastAsia="en-US"/>
        </w:rPr>
        <w:t>is shown to exist, which is consistent with the results of the Wald Test</w:t>
      </w:r>
      <w:r w:rsidRPr="00FB1E9C">
        <w:rPr>
          <w:rFonts w:ascii="Times New Roman" w:eastAsiaTheme="minorHAnsi" w:hAnsi="Times New Roman" w:cs="Times New Roman"/>
          <w:color w:val="auto"/>
          <w:sz w:val="22"/>
          <w:lang w:eastAsia="en-US"/>
        </w:rPr>
        <w:t>.</w:t>
      </w:r>
    </w:p>
    <w:p w14:paraId="4BEFFCC1" w14:textId="77777777" w:rsidR="0044220A" w:rsidRPr="00730A96" w:rsidRDefault="0044220A" w:rsidP="00536234">
      <w:pPr>
        <w:autoSpaceDE w:val="0"/>
        <w:autoSpaceDN w:val="0"/>
        <w:adjustRightInd w:val="0"/>
        <w:spacing w:after="0" w:line="480" w:lineRule="auto"/>
        <w:ind w:left="0" w:firstLine="0"/>
        <w:rPr>
          <w:rFonts w:ascii="Times New Roman" w:eastAsiaTheme="minorHAnsi" w:hAnsi="Times New Roman" w:cs="Times New Roman"/>
          <w:color w:val="auto"/>
          <w:sz w:val="8"/>
          <w:lang w:eastAsia="en-US"/>
        </w:rPr>
      </w:pPr>
    </w:p>
    <w:p w14:paraId="6069C7AF" w14:textId="77777777" w:rsidR="00D81217" w:rsidRDefault="0044220A" w:rsidP="00536234">
      <w:pPr>
        <w:autoSpaceDE w:val="0"/>
        <w:autoSpaceDN w:val="0"/>
        <w:adjustRightInd w:val="0"/>
        <w:spacing w:after="0" w:line="480" w:lineRule="auto"/>
        <w:ind w:left="0" w:firstLine="0"/>
        <w:rPr>
          <w:rFonts w:ascii="Times New Roman" w:eastAsiaTheme="minorHAnsi" w:hAnsi="Times New Roman" w:cs="Times New Roman"/>
          <w:color w:val="auto"/>
          <w:sz w:val="22"/>
          <w:lang w:eastAsia="en-US"/>
        </w:rPr>
      </w:pPr>
      <w:r>
        <w:rPr>
          <w:rFonts w:ascii="Times New Roman" w:eastAsiaTheme="minorHAnsi" w:hAnsi="Times New Roman" w:cs="Times New Roman"/>
          <w:color w:val="auto"/>
          <w:sz w:val="22"/>
          <w:lang w:eastAsia="en-US"/>
        </w:rPr>
        <w:t>In order to counter for the effects of heteroscedasticity,</w:t>
      </w:r>
      <w:r w:rsidR="00AD7E28">
        <w:rPr>
          <w:rFonts w:ascii="Times New Roman" w:eastAsiaTheme="minorHAnsi" w:hAnsi="Times New Roman" w:cs="Times New Roman"/>
          <w:color w:val="auto"/>
          <w:sz w:val="22"/>
          <w:lang w:eastAsia="en-US"/>
        </w:rPr>
        <w:t xml:space="preserve"> together with the problems of autocorrelation mentioned above,</w:t>
      </w:r>
      <w:r>
        <w:rPr>
          <w:rFonts w:ascii="Times New Roman" w:eastAsiaTheme="minorHAnsi" w:hAnsi="Times New Roman" w:cs="Times New Roman"/>
          <w:color w:val="auto"/>
          <w:sz w:val="22"/>
          <w:lang w:eastAsia="en-US"/>
        </w:rPr>
        <w:t xml:space="preserve"> a</w:t>
      </w:r>
      <w:r w:rsidR="00AD7E28">
        <w:rPr>
          <w:rFonts w:ascii="Times New Roman" w:eastAsiaTheme="minorHAnsi" w:hAnsi="Times New Roman" w:cs="Times New Roman"/>
          <w:color w:val="auto"/>
          <w:sz w:val="22"/>
          <w:lang w:eastAsia="en-US"/>
        </w:rPr>
        <w:t xml:space="preserve"> fixed effects</w:t>
      </w:r>
      <w:r>
        <w:rPr>
          <w:rFonts w:ascii="Times New Roman" w:eastAsiaTheme="minorHAnsi" w:hAnsi="Times New Roman" w:cs="Times New Roman"/>
          <w:color w:val="auto"/>
          <w:sz w:val="22"/>
          <w:lang w:eastAsia="en-US"/>
        </w:rPr>
        <w:t xml:space="preserve"> weighted least squares model has been used (Baltagi, 2008). This model weighs the error term and, by doing this, removes variations which may exist within the variables across time. It is also important to note that this model can only be prepared with the use of a balanced panel </w:t>
      </w:r>
      <w:r w:rsidRPr="00D85CF8">
        <w:rPr>
          <w:rFonts w:ascii="Times New Roman" w:eastAsiaTheme="minorHAnsi" w:hAnsi="Times New Roman" w:cs="Times New Roman"/>
          <w:color w:val="auto"/>
          <w:sz w:val="22"/>
          <w:lang w:eastAsia="en-US"/>
        </w:rPr>
        <w:t>(Baltagi, 2008)</w:t>
      </w:r>
      <w:r>
        <w:rPr>
          <w:rFonts w:ascii="Times New Roman" w:eastAsiaTheme="minorHAnsi" w:hAnsi="Times New Roman" w:cs="Times New Roman"/>
          <w:color w:val="auto"/>
          <w:sz w:val="22"/>
          <w:lang w:eastAsia="en-US"/>
        </w:rPr>
        <w:t>. However, there has been limited variation in results between the balanced and unbalanced panel models shown above,</w:t>
      </w:r>
      <w:r w:rsidR="00D81217">
        <w:rPr>
          <w:rFonts w:ascii="Times New Roman" w:eastAsiaTheme="minorHAnsi" w:hAnsi="Times New Roman" w:cs="Times New Roman"/>
          <w:color w:val="auto"/>
          <w:sz w:val="22"/>
          <w:lang w:eastAsia="en-US"/>
        </w:rPr>
        <w:t xml:space="preserve"> which leads to the conclusion that</w:t>
      </w:r>
      <w:r>
        <w:rPr>
          <w:rFonts w:ascii="Times New Roman" w:eastAsiaTheme="minorHAnsi" w:hAnsi="Times New Roman" w:cs="Times New Roman"/>
          <w:color w:val="auto"/>
          <w:sz w:val="22"/>
          <w:lang w:eastAsia="en-US"/>
        </w:rPr>
        <w:t xml:space="preserve"> using</w:t>
      </w:r>
      <w:r w:rsidR="00D81217">
        <w:rPr>
          <w:rFonts w:ascii="Times New Roman" w:eastAsiaTheme="minorHAnsi" w:hAnsi="Times New Roman" w:cs="Times New Roman"/>
          <w:color w:val="auto"/>
          <w:sz w:val="22"/>
          <w:lang w:eastAsia="en-US"/>
        </w:rPr>
        <w:t xml:space="preserve"> only</w:t>
      </w:r>
      <w:r>
        <w:rPr>
          <w:rFonts w:ascii="Times New Roman" w:eastAsiaTheme="minorHAnsi" w:hAnsi="Times New Roman" w:cs="Times New Roman"/>
          <w:color w:val="auto"/>
          <w:sz w:val="22"/>
          <w:lang w:eastAsia="en-US"/>
        </w:rPr>
        <w:t xml:space="preserve"> a balanced panel</w:t>
      </w:r>
      <w:r w:rsidR="00D81217">
        <w:rPr>
          <w:rFonts w:ascii="Times New Roman" w:eastAsiaTheme="minorHAnsi" w:hAnsi="Times New Roman" w:cs="Times New Roman"/>
          <w:color w:val="auto"/>
          <w:sz w:val="22"/>
          <w:lang w:eastAsia="en-US"/>
        </w:rPr>
        <w:t xml:space="preserve"> to perform the next regression</w:t>
      </w:r>
      <w:r>
        <w:rPr>
          <w:rFonts w:ascii="Times New Roman" w:eastAsiaTheme="minorHAnsi" w:hAnsi="Times New Roman" w:cs="Times New Roman"/>
          <w:color w:val="auto"/>
          <w:sz w:val="22"/>
          <w:lang w:eastAsia="en-US"/>
        </w:rPr>
        <w:t xml:space="preserve"> is unlikely to significantly bias the results. </w:t>
      </w:r>
    </w:p>
    <w:p w14:paraId="46C9E7F6" w14:textId="77777777" w:rsidR="00D81217" w:rsidRPr="008E5542" w:rsidRDefault="00D81217" w:rsidP="008E5542">
      <w:pPr>
        <w:autoSpaceDE w:val="0"/>
        <w:autoSpaceDN w:val="0"/>
        <w:adjustRightInd w:val="0"/>
        <w:spacing w:after="0" w:line="480" w:lineRule="auto"/>
        <w:ind w:left="0" w:firstLine="0"/>
        <w:rPr>
          <w:rFonts w:ascii="Times New Roman" w:eastAsiaTheme="minorHAnsi" w:hAnsi="Times New Roman" w:cs="Times New Roman"/>
          <w:color w:val="auto"/>
          <w:sz w:val="10"/>
          <w:lang w:eastAsia="en-US"/>
        </w:rPr>
      </w:pPr>
    </w:p>
    <w:p w14:paraId="7F81B360" w14:textId="32519ED1" w:rsidR="0001776A" w:rsidRDefault="0001776A" w:rsidP="008E5542">
      <w:pPr>
        <w:autoSpaceDE w:val="0"/>
        <w:autoSpaceDN w:val="0"/>
        <w:adjustRightInd w:val="0"/>
        <w:spacing w:after="0" w:line="480" w:lineRule="auto"/>
        <w:ind w:left="0" w:firstLine="0"/>
        <w:rPr>
          <w:rFonts w:ascii="Times New Roman" w:hAnsi="Times New Roman" w:cs="Times New Roman"/>
          <w:sz w:val="22"/>
        </w:rPr>
      </w:pPr>
      <w:r>
        <w:rPr>
          <w:rFonts w:ascii="Times New Roman" w:hAnsi="Times New Roman" w:cs="Times New Roman"/>
          <w:sz w:val="22"/>
          <w:szCs w:val="26"/>
        </w:rPr>
        <w:t>The results for the weighted least squares model are labelled FE</w:t>
      </w:r>
      <w:r>
        <w:rPr>
          <w:rFonts w:ascii="Times New Roman" w:hAnsi="Times New Roman" w:cs="Times New Roman"/>
          <w:sz w:val="22"/>
        </w:rPr>
        <w:t>B</w:t>
      </w:r>
      <w:r w:rsidRPr="00730A96">
        <w:rPr>
          <w:rFonts w:ascii="Times New Roman" w:hAnsi="Times New Roman" w:cs="Times New Roman"/>
          <w:sz w:val="22"/>
        </w:rPr>
        <w:t>XTGLS_D</w:t>
      </w:r>
      <w:r>
        <w:rPr>
          <w:rFonts w:ascii="Times New Roman" w:hAnsi="Times New Roman" w:cs="Times New Roman"/>
          <w:sz w:val="22"/>
        </w:rPr>
        <w:t xml:space="preserve"> in</w:t>
      </w:r>
      <w:r w:rsidR="00D81217">
        <w:rPr>
          <w:rFonts w:ascii="Times New Roman" w:hAnsi="Times New Roman" w:cs="Times New Roman"/>
          <w:sz w:val="22"/>
        </w:rPr>
        <w:t xml:space="preserve"> Table </w:t>
      </w:r>
      <w:r w:rsidR="00416D57">
        <w:rPr>
          <w:rFonts w:ascii="Times New Roman" w:hAnsi="Times New Roman" w:cs="Times New Roman"/>
          <w:sz w:val="22"/>
        </w:rPr>
        <w:t>12</w:t>
      </w:r>
      <w:r>
        <w:rPr>
          <w:rFonts w:ascii="Times New Roman" w:hAnsi="Times New Roman" w:cs="Times New Roman"/>
          <w:sz w:val="22"/>
        </w:rPr>
        <w:t xml:space="preserve">. The results from this model show 11 of the 13 independent variables to be significant. This is a significant relative improvement from the initial models used. The Prob&gt;F in this model supports the significance of the results provided by this model. This is because a Prob&gt;F value of 0.000 indicates that the independent variables are a significant predictor of the dependent variable and this can be said with a 99.9 percent degree of confidence (Baltagi, 2008). </w:t>
      </w:r>
    </w:p>
    <w:p w14:paraId="2DCB61D6" w14:textId="77777777" w:rsidR="0001776A" w:rsidRDefault="0001776A" w:rsidP="0001776A">
      <w:pPr>
        <w:spacing w:line="480" w:lineRule="auto"/>
        <w:ind w:left="0"/>
        <w:rPr>
          <w:rFonts w:ascii="Times New Roman" w:hAnsi="Times New Roman" w:cs="Times New Roman"/>
          <w:sz w:val="22"/>
        </w:rPr>
      </w:pPr>
      <w:r>
        <w:rPr>
          <w:rFonts w:ascii="Times New Roman" w:hAnsi="Times New Roman" w:cs="Times New Roman"/>
          <w:sz w:val="22"/>
        </w:rPr>
        <w:t>This is further supported by the Rho value seen in the above table. The Rho value provides the same information as the R-Squared value in detailing the movement of the dependent variable explained by the independent variables used in the model. A value of 64.59 percent is significantly greater than that previously obtained under the two previous models. This highlights the superiority of the above model in providing the most accurate results out of all the models run in this section. As a result of the fact that this model appears to provide the most accurate results, it will be the model used to report and answer the research question regarding the influence of BBBEE deals on the dividend pay-out ratios of companies.</w:t>
      </w:r>
    </w:p>
    <w:p w14:paraId="2E249AE4" w14:textId="77777777" w:rsidR="008F2EC9" w:rsidRDefault="008F2EC9" w:rsidP="0001776A">
      <w:pPr>
        <w:spacing w:line="480" w:lineRule="auto"/>
        <w:ind w:left="0"/>
        <w:rPr>
          <w:rFonts w:ascii="Times New Roman" w:hAnsi="Times New Roman" w:cs="Times New Roman"/>
          <w:sz w:val="22"/>
        </w:rPr>
      </w:pPr>
    </w:p>
    <w:p w14:paraId="4D56EBCD" w14:textId="77777777" w:rsidR="008F2EC9" w:rsidRDefault="008F2EC9" w:rsidP="0001776A">
      <w:pPr>
        <w:spacing w:line="480" w:lineRule="auto"/>
        <w:ind w:left="0"/>
        <w:rPr>
          <w:rFonts w:ascii="Times New Roman" w:hAnsi="Times New Roman" w:cs="Times New Roman"/>
          <w:sz w:val="22"/>
        </w:rPr>
      </w:pPr>
    </w:p>
    <w:p w14:paraId="3CDBF12E" w14:textId="00468AE0" w:rsidR="0044220A" w:rsidRDefault="0044220A"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lastRenderedPageBreak/>
        <w:t xml:space="preserve">Table </w:t>
      </w:r>
      <w:r w:rsidRPr="00AD7E28">
        <w:rPr>
          <w:rFonts w:ascii="Times New Roman" w:hAnsi="Times New Roman" w:cs="Times New Roman"/>
          <w:b/>
          <w:sz w:val="22"/>
          <w:szCs w:val="26"/>
          <w:u w:val="single"/>
        </w:rPr>
        <w:t>1</w:t>
      </w:r>
      <w:r w:rsidR="008F2EC9">
        <w:rPr>
          <w:rFonts w:ascii="Times New Roman" w:hAnsi="Times New Roman" w:cs="Times New Roman"/>
          <w:b/>
          <w:sz w:val="22"/>
          <w:szCs w:val="26"/>
          <w:u w:val="single"/>
        </w:rPr>
        <w:t>2</w:t>
      </w:r>
      <w:r w:rsidRPr="00AD7E28">
        <w:rPr>
          <w:rFonts w:ascii="Times New Roman" w:hAnsi="Times New Roman" w:cs="Times New Roman"/>
          <w:b/>
          <w:sz w:val="22"/>
          <w:szCs w:val="26"/>
          <w:u w:val="single"/>
        </w:rPr>
        <w:t>-</w:t>
      </w:r>
      <w:r w:rsidRPr="00AD7E28">
        <w:rPr>
          <w:u w:val="single"/>
        </w:rPr>
        <w:t xml:space="preserve"> </w:t>
      </w:r>
      <w:r w:rsidRPr="00AD7E28">
        <w:rPr>
          <w:rFonts w:ascii="Times New Roman" w:hAnsi="Times New Roman" w:cs="Times New Roman"/>
          <w:b/>
          <w:sz w:val="22"/>
          <w:szCs w:val="26"/>
          <w:u w:val="single"/>
        </w:rPr>
        <w:t>Weighted</w:t>
      </w:r>
      <w:r w:rsidRPr="001D13CA">
        <w:rPr>
          <w:rFonts w:ascii="Times New Roman" w:hAnsi="Times New Roman" w:cs="Times New Roman"/>
          <w:b/>
          <w:sz w:val="22"/>
          <w:szCs w:val="26"/>
          <w:u w:val="single"/>
        </w:rPr>
        <w:t xml:space="preserve"> </w:t>
      </w:r>
      <w:r w:rsidR="00D431C5">
        <w:rPr>
          <w:rFonts w:ascii="Times New Roman" w:hAnsi="Times New Roman" w:cs="Times New Roman"/>
          <w:b/>
          <w:sz w:val="22"/>
          <w:szCs w:val="26"/>
          <w:u w:val="single"/>
        </w:rPr>
        <w:t>Least Squares Regression Model Prepared U</w:t>
      </w:r>
      <w:r w:rsidRPr="001D13CA">
        <w:rPr>
          <w:rFonts w:ascii="Times New Roman" w:hAnsi="Times New Roman" w:cs="Times New Roman"/>
          <w:b/>
          <w:sz w:val="22"/>
          <w:szCs w:val="26"/>
          <w:u w:val="single"/>
        </w:rPr>
        <w:t>sing a Balanced Panel</w:t>
      </w:r>
      <w:r w:rsidRPr="00077A69">
        <w:rPr>
          <w:rFonts w:ascii="Times New Roman" w:hAnsi="Times New Roman" w:cs="Times New Roman"/>
          <w:b/>
          <w:sz w:val="22"/>
          <w:szCs w:val="26"/>
          <w:u w:val="single"/>
        </w:rPr>
        <w:t>:</w:t>
      </w:r>
    </w:p>
    <w:tbl>
      <w:tblPr>
        <w:tblW w:w="8930" w:type="dxa"/>
        <w:jc w:val="center"/>
        <w:tblLayout w:type="fixed"/>
        <w:tblCellMar>
          <w:left w:w="75" w:type="dxa"/>
          <w:right w:w="75" w:type="dxa"/>
        </w:tblCellMar>
        <w:tblLook w:val="0000" w:firstRow="0" w:lastRow="0" w:firstColumn="0" w:lastColumn="0" w:noHBand="0" w:noVBand="0"/>
      </w:tblPr>
      <w:tblGrid>
        <w:gridCol w:w="5411"/>
        <w:gridCol w:w="3519"/>
      </w:tblGrid>
      <w:tr w:rsidR="0044220A" w14:paraId="7C924A29" w14:textId="77777777" w:rsidTr="00B173A9">
        <w:trPr>
          <w:trHeight w:val="259"/>
          <w:jc w:val="center"/>
        </w:trPr>
        <w:tc>
          <w:tcPr>
            <w:tcW w:w="5411" w:type="dxa"/>
            <w:tcBorders>
              <w:top w:val="single" w:sz="6" w:space="0" w:color="auto"/>
              <w:left w:val="nil"/>
              <w:bottom w:val="nil"/>
              <w:right w:val="nil"/>
            </w:tcBorders>
          </w:tcPr>
          <w:p w14:paraId="5CC0561D"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single" w:sz="6" w:space="0" w:color="auto"/>
              <w:left w:val="nil"/>
              <w:bottom w:val="nil"/>
              <w:right w:val="nil"/>
            </w:tcBorders>
          </w:tcPr>
          <w:p w14:paraId="59B47FA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w:t>
            </w:r>
            <w:r>
              <w:rPr>
                <w:rFonts w:ascii="Times New Roman" w:hAnsi="Times New Roman" w:cs="Times New Roman"/>
                <w:sz w:val="22"/>
              </w:rPr>
              <w:t>5</w:t>
            </w:r>
            <w:r w:rsidRPr="00730A96">
              <w:rPr>
                <w:rFonts w:ascii="Times New Roman" w:hAnsi="Times New Roman" w:cs="Times New Roman"/>
                <w:sz w:val="22"/>
              </w:rPr>
              <w:t>)</w:t>
            </w:r>
          </w:p>
        </w:tc>
      </w:tr>
      <w:tr w:rsidR="0044220A" w14:paraId="7A092C37" w14:textId="77777777" w:rsidTr="00B173A9">
        <w:trPr>
          <w:trHeight w:val="259"/>
          <w:jc w:val="center"/>
        </w:trPr>
        <w:tc>
          <w:tcPr>
            <w:tcW w:w="5411" w:type="dxa"/>
            <w:tcBorders>
              <w:top w:val="nil"/>
              <w:left w:val="nil"/>
              <w:bottom w:val="single" w:sz="6" w:space="0" w:color="auto"/>
              <w:right w:val="nil"/>
            </w:tcBorders>
          </w:tcPr>
          <w:p w14:paraId="133409F2"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VARIABLES</w:t>
            </w:r>
          </w:p>
        </w:tc>
        <w:tc>
          <w:tcPr>
            <w:tcW w:w="3519" w:type="dxa"/>
            <w:tcBorders>
              <w:top w:val="nil"/>
              <w:left w:val="nil"/>
              <w:bottom w:val="single" w:sz="6" w:space="0" w:color="auto"/>
              <w:right w:val="nil"/>
            </w:tcBorders>
          </w:tcPr>
          <w:p w14:paraId="4E6E56EA" w14:textId="77777777" w:rsidR="0044220A" w:rsidRPr="00730A96" w:rsidRDefault="00AD7E28"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hAnsi="Times New Roman" w:cs="Times New Roman"/>
                <w:sz w:val="22"/>
              </w:rPr>
              <w:t>FE</w:t>
            </w:r>
            <w:r w:rsidR="0044220A">
              <w:rPr>
                <w:rFonts w:ascii="Times New Roman" w:hAnsi="Times New Roman" w:cs="Times New Roman"/>
                <w:sz w:val="22"/>
              </w:rPr>
              <w:t>B</w:t>
            </w:r>
            <w:r w:rsidR="0044220A" w:rsidRPr="00730A96">
              <w:rPr>
                <w:rFonts w:ascii="Times New Roman" w:hAnsi="Times New Roman" w:cs="Times New Roman"/>
                <w:sz w:val="22"/>
              </w:rPr>
              <w:t>XTGLS_D</w:t>
            </w:r>
          </w:p>
        </w:tc>
      </w:tr>
      <w:tr w:rsidR="0044220A" w14:paraId="4B8C88D5" w14:textId="77777777" w:rsidTr="00B173A9">
        <w:trPr>
          <w:trHeight w:val="259"/>
          <w:jc w:val="center"/>
        </w:trPr>
        <w:tc>
          <w:tcPr>
            <w:tcW w:w="5411" w:type="dxa"/>
            <w:tcBorders>
              <w:top w:val="nil"/>
              <w:left w:val="nil"/>
              <w:bottom w:val="nil"/>
              <w:right w:val="nil"/>
            </w:tcBorders>
          </w:tcPr>
          <w:p w14:paraId="4CF238AF"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0375716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r>
      <w:tr w:rsidR="0044220A" w14:paraId="55EBF3C1" w14:textId="77777777" w:rsidTr="00B173A9">
        <w:trPr>
          <w:trHeight w:val="259"/>
          <w:jc w:val="center"/>
        </w:trPr>
        <w:tc>
          <w:tcPr>
            <w:tcW w:w="5411" w:type="dxa"/>
            <w:tcBorders>
              <w:top w:val="nil"/>
              <w:left w:val="nil"/>
              <w:bottom w:val="nil"/>
              <w:right w:val="nil"/>
            </w:tcBorders>
          </w:tcPr>
          <w:p w14:paraId="696A3C5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Deal</w:t>
            </w:r>
          </w:p>
        </w:tc>
        <w:tc>
          <w:tcPr>
            <w:tcW w:w="3519" w:type="dxa"/>
            <w:tcBorders>
              <w:top w:val="nil"/>
              <w:left w:val="nil"/>
              <w:bottom w:val="nil"/>
              <w:right w:val="nil"/>
            </w:tcBorders>
          </w:tcPr>
          <w:p w14:paraId="2B9A34E5"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0.079***</w:t>
            </w:r>
          </w:p>
        </w:tc>
      </w:tr>
      <w:tr w:rsidR="0044220A" w14:paraId="029DBCF4" w14:textId="77777777" w:rsidTr="00B173A9">
        <w:trPr>
          <w:trHeight w:val="259"/>
          <w:jc w:val="center"/>
        </w:trPr>
        <w:tc>
          <w:tcPr>
            <w:tcW w:w="5411" w:type="dxa"/>
            <w:tcBorders>
              <w:top w:val="nil"/>
              <w:left w:val="nil"/>
              <w:bottom w:val="nil"/>
              <w:right w:val="nil"/>
            </w:tcBorders>
          </w:tcPr>
          <w:p w14:paraId="57F326A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261EB1F5"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(8.34063e-03)</w:t>
            </w:r>
          </w:p>
        </w:tc>
      </w:tr>
      <w:tr w:rsidR="0044220A" w14:paraId="09BDDEE3" w14:textId="77777777" w:rsidTr="00B173A9">
        <w:trPr>
          <w:trHeight w:val="259"/>
          <w:jc w:val="center"/>
        </w:trPr>
        <w:tc>
          <w:tcPr>
            <w:tcW w:w="5411" w:type="dxa"/>
            <w:tcBorders>
              <w:top w:val="nil"/>
              <w:left w:val="nil"/>
              <w:bottom w:val="nil"/>
              <w:right w:val="nil"/>
            </w:tcBorders>
          </w:tcPr>
          <w:p w14:paraId="786691E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Profit</w:t>
            </w:r>
            <w:r>
              <w:rPr>
                <w:rFonts w:ascii="Times New Roman" w:hAnsi="Times New Roman" w:cs="Times New Roman"/>
                <w:sz w:val="22"/>
              </w:rPr>
              <w:t>ability</w:t>
            </w:r>
          </w:p>
        </w:tc>
        <w:tc>
          <w:tcPr>
            <w:tcW w:w="3519" w:type="dxa"/>
            <w:tcBorders>
              <w:top w:val="nil"/>
              <w:left w:val="nil"/>
              <w:bottom w:val="nil"/>
              <w:right w:val="nil"/>
            </w:tcBorders>
          </w:tcPr>
          <w:p w14:paraId="11F89D7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0.002***</w:t>
            </w:r>
          </w:p>
        </w:tc>
      </w:tr>
      <w:tr w:rsidR="0044220A" w14:paraId="79F02CFB" w14:textId="77777777" w:rsidTr="00B173A9">
        <w:trPr>
          <w:trHeight w:val="259"/>
          <w:jc w:val="center"/>
        </w:trPr>
        <w:tc>
          <w:tcPr>
            <w:tcW w:w="5411" w:type="dxa"/>
            <w:tcBorders>
              <w:top w:val="nil"/>
              <w:left w:val="nil"/>
              <w:bottom w:val="nil"/>
              <w:right w:val="nil"/>
            </w:tcBorders>
          </w:tcPr>
          <w:p w14:paraId="541C5938"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5E97A05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(6.44579e-04)</w:t>
            </w:r>
          </w:p>
        </w:tc>
      </w:tr>
      <w:tr w:rsidR="0044220A" w14:paraId="4A4251E2" w14:textId="77777777" w:rsidTr="00B173A9">
        <w:trPr>
          <w:trHeight w:val="259"/>
          <w:jc w:val="center"/>
        </w:trPr>
        <w:tc>
          <w:tcPr>
            <w:tcW w:w="5411" w:type="dxa"/>
            <w:tcBorders>
              <w:top w:val="nil"/>
              <w:left w:val="nil"/>
              <w:bottom w:val="nil"/>
              <w:right w:val="nil"/>
            </w:tcBorders>
          </w:tcPr>
          <w:p w14:paraId="0DFA9C8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C</w:t>
            </w:r>
            <w:r>
              <w:rPr>
                <w:rFonts w:ascii="Times New Roman" w:hAnsi="Times New Roman" w:cs="Times New Roman"/>
                <w:sz w:val="22"/>
              </w:rPr>
              <w:t xml:space="preserve">apital </w:t>
            </w:r>
            <w:r w:rsidRPr="00730A96">
              <w:rPr>
                <w:rFonts w:ascii="Times New Roman" w:hAnsi="Times New Roman" w:cs="Times New Roman"/>
                <w:sz w:val="22"/>
              </w:rPr>
              <w:t>S</w:t>
            </w:r>
            <w:r>
              <w:rPr>
                <w:rFonts w:ascii="Times New Roman" w:hAnsi="Times New Roman" w:cs="Times New Roman"/>
                <w:sz w:val="22"/>
              </w:rPr>
              <w:t>tructure</w:t>
            </w:r>
          </w:p>
        </w:tc>
        <w:tc>
          <w:tcPr>
            <w:tcW w:w="3519" w:type="dxa"/>
            <w:tcBorders>
              <w:top w:val="nil"/>
              <w:left w:val="nil"/>
              <w:bottom w:val="nil"/>
              <w:right w:val="nil"/>
            </w:tcBorders>
          </w:tcPr>
          <w:p w14:paraId="6253F74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-0.006***</w:t>
            </w:r>
          </w:p>
        </w:tc>
      </w:tr>
      <w:tr w:rsidR="0044220A" w14:paraId="22B27B40" w14:textId="77777777" w:rsidTr="00B173A9">
        <w:trPr>
          <w:trHeight w:val="259"/>
          <w:jc w:val="center"/>
        </w:trPr>
        <w:tc>
          <w:tcPr>
            <w:tcW w:w="5411" w:type="dxa"/>
            <w:tcBorders>
              <w:top w:val="nil"/>
              <w:left w:val="nil"/>
              <w:bottom w:val="nil"/>
              <w:right w:val="nil"/>
            </w:tcBorders>
          </w:tcPr>
          <w:p w14:paraId="6D4C24F0"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1D32033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(1.54733e-03)</w:t>
            </w:r>
          </w:p>
        </w:tc>
      </w:tr>
      <w:tr w:rsidR="0044220A" w14:paraId="4B61C486" w14:textId="77777777" w:rsidTr="00B173A9">
        <w:trPr>
          <w:trHeight w:val="259"/>
          <w:jc w:val="center"/>
        </w:trPr>
        <w:tc>
          <w:tcPr>
            <w:tcW w:w="5411" w:type="dxa"/>
            <w:tcBorders>
              <w:top w:val="nil"/>
              <w:left w:val="nil"/>
              <w:bottom w:val="nil"/>
              <w:right w:val="nil"/>
            </w:tcBorders>
          </w:tcPr>
          <w:p w14:paraId="342EFC0D"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Growth</w:t>
            </w:r>
          </w:p>
        </w:tc>
        <w:tc>
          <w:tcPr>
            <w:tcW w:w="3519" w:type="dxa"/>
            <w:tcBorders>
              <w:top w:val="nil"/>
              <w:left w:val="nil"/>
              <w:bottom w:val="nil"/>
              <w:right w:val="nil"/>
            </w:tcBorders>
          </w:tcPr>
          <w:p w14:paraId="0988423D"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0.009***</w:t>
            </w:r>
          </w:p>
        </w:tc>
      </w:tr>
      <w:tr w:rsidR="0044220A" w14:paraId="670BD84C" w14:textId="77777777" w:rsidTr="00B173A9">
        <w:trPr>
          <w:trHeight w:val="259"/>
          <w:jc w:val="center"/>
        </w:trPr>
        <w:tc>
          <w:tcPr>
            <w:tcW w:w="5411" w:type="dxa"/>
            <w:tcBorders>
              <w:top w:val="nil"/>
              <w:left w:val="nil"/>
              <w:bottom w:val="nil"/>
              <w:right w:val="nil"/>
            </w:tcBorders>
          </w:tcPr>
          <w:p w14:paraId="00BD2286"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72E219FC"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(1.82523e-03)</w:t>
            </w:r>
          </w:p>
        </w:tc>
      </w:tr>
      <w:tr w:rsidR="0044220A" w14:paraId="71D6B32F" w14:textId="77777777" w:rsidTr="00B173A9">
        <w:trPr>
          <w:trHeight w:val="259"/>
          <w:jc w:val="center"/>
        </w:trPr>
        <w:tc>
          <w:tcPr>
            <w:tcW w:w="5411" w:type="dxa"/>
            <w:tcBorders>
              <w:top w:val="nil"/>
              <w:left w:val="nil"/>
              <w:bottom w:val="nil"/>
              <w:right w:val="nil"/>
            </w:tcBorders>
          </w:tcPr>
          <w:p w14:paraId="4C75DBD0"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Liquidity</w:t>
            </w:r>
          </w:p>
        </w:tc>
        <w:tc>
          <w:tcPr>
            <w:tcW w:w="3519" w:type="dxa"/>
            <w:tcBorders>
              <w:top w:val="nil"/>
              <w:left w:val="nil"/>
              <w:bottom w:val="nil"/>
              <w:right w:val="nil"/>
            </w:tcBorders>
          </w:tcPr>
          <w:p w14:paraId="607E8C3C"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0.008</w:t>
            </w:r>
          </w:p>
        </w:tc>
      </w:tr>
      <w:tr w:rsidR="0044220A" w14:paraId="6B453491" w14:textId="77777777" w:rsidTr="00B173A9">
        <w:trPr>
          <w:trHeight w:val="259"/>
          <w:jc w:val="center"/>
        </w:trPr>
        <w:tc>
          <w:tcPr>
            <w:tcW w:w="5411" w:type="dxa"/>
            <w:tcBorders>
              <w:top w:val="nil"/>
              <w:left w:val="nil"/>
              <w:bottom w:val="nil"/>
              <w:right w:val="nil"/>
            </w:tcBorders>
          </w:tcPr>
          <w:p w14:paraId="54A506A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59FD7382"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(7.38881e-03)</w:t>
            </w:r>
          </w:p>
        </w:tc>
      </w:tr>
      <w:tr w:rsidR="0044220A" w14:paraId="10F4621C" w14:textId="77777777" w:rsidTr="00B173A9">
        <w:trPr>
          <w:trHeight w:val="259"/>
          <w:jc w:val="center"/>
        </w:trPr>
        <w:tc>
          <w:tcPr>
            <w:tcW w:w="5411" w:type="dxa"/>
            <w:tcBorders>
              <w:top w:val="nil"/>
              <w:left w:val="nil"/>
              <w:bottom w:val="nil"/>
              <w:right w:val="nil"/>
            </w:tcBorders>
          </w:tcPr>
          <w:p w14:paraId="58FE7F8F"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Size</w:t>
            </w:r>
          </w:p>
        </w:tc>
        <w:tc>
          <w:tcPr>
            <w:tcW w:w="3519" w:type="dxa"/>
            <w:tcBorders>
              <w:top w:val="nil"/>
              <w:left w:val="nil"/>
              <w:bottom w:val="nil"/>
              <w:right w:val="nil"/>
            </w:tcBorders>
          </w:tcPr>
          <w:p w14:paraId="3670658B"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0.006</w:t>
            </w:r>
          </w:p>
        </w:tc>
      </w:tr>
      <w:tr w:rsidR="0044220A" w14:paraId="2B57DFC9" w14:textId="77777777" w:rsidTr="00B173A9">
        <w:trPr>
          <w:trHeight w:val="259"/>
          <w:jc w:val="center"/>
        </w:trPr>
        <w:tc>
          <w:tcPr>
            <w:tcW w:w="5411" w:type="dxa"/>
            <w:tcBorders>
              <w:top w:val="nil"/>
              <w:left w:val="nil"/>
              <w:bottom w:val="nil"/>
              <w:right w:val="nil"/>
            </w:tcBorders>
          </w:tcPr>
          <w:p w14:paraId="0A649322"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4F6D335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(4.67716e-03)</w:t>
            </w:r>
          </w:p>
        </w:tc>
      </w:tr>
      <w:tr w:rsidR="0044220A" w14:paraId="3AD3FD5C" w14:textId="77777777" w:rsidTr="00B173A9">
        <w:trPr>
          <w:trHeight w:val="259"/>
          <w:jc w:val="center"/>
        </w:trPr>
        <w:tc>
          <w:tcPr>
            <w:tcW w:w="5411" w:type="dxa"/>
            <w:tcBorders>
              <w:top w:val="nil"/>
              <w:left w:val="nil"/>
              <w:bottom w:val="nil"/>
              <w:right w:val="nil"/>
            </w:tcBorders>
          </w:tcPr>
          <w:p w14:paraId="6530DE8F"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hAnsi="Times New Roman" w:cs="Times New Roman"/>
                <w:sz w:val="22"/>
              </w:rPr>
              <w:t>S</w:t>
            </w:r>
            <w:r w:rsidRPr="00730A96">
              <w:rPr>
                <w:rFonts w:ascii="Times New Roman" w:hAnsi="Times New Roman" w:cs="Times New Roman"/>
                <w:sz w:val="22"/>
              </w:rPr>
              <w:t>ect</w:t>
            </w:r>
            <w:r>
              <w:rPr>
                <w:rFonts w:ascii="Times New Roman" w:hAnsi="Times New Roman" w:cs="Times New Roman"/>
                <w:sz w:val="22"/>
              </w:rPr>
              <w:t xml:space="preserve">or </w:t>
            </w:r>
            <w:r w:rsidRPr="00730A96">
              <w:rPr>
                <w:rFonts w:ascii="Times New Roman" w:hAnsi="Times New Roman" w:cs="Times New Roman"/>
                <w:sz w:val="22"/>
              </w:rPr>
              <w:t>1</w:t>
            </w:r>
          </w:p>
        </w:tc>
        <w:tc>
          <w:tcPr>
            <w:tcW w:w="3519" w:type="dxa"/>
            <w:tcBorders>
              <w:top w:val="nil"/>
              <w:left w:val="nil"/>
              <w:bottom w:val="nil"/>
              <w:right w:val="nil"/>
            </w:tcBorders>
          </w:tcPr>
          <w:p w14:paraId="1ED70B2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-0.137***</w:t>
            </w:r>
          </w:p>
        </w:tc>
      </w:tr>
      <w:tr w:rsidR="0044220A" w14:paraId="7C027F41" w14:textId="77777777" w:rsidTr="00B173A9">
        <w:trPr>
          <w:trHeight w:val="259"/>
          <w:jc w:val="center"/>
        </w:trPr>
        <w:tc>
          <w:tcPr>
            <w:tcW w:w="5411" w:type="dxa"/>
            <w:tcBorders>
              <w:top w:val="nil"/>
              <w:left w:val="nil"/>
              <w:bottom w:val="nil"/>
              <w:right w:val="nil"/>
            </w:tcBorders>
          </w:tcPr>
          <w:p w14:paraId="71AB879D"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5C7E800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(3.09678e-02)</w:t>
            </w:r>
          </w:p>
        </w:tc>
      </w:tr>
      <w:tr w:rsidR="0044220A" w14:paraId="63F98E92" w14:textId="77777777" w:rsidTr="00B173A9">
        <w:trPr>
          <w:trHeight w:val="259"/>
          <w:jc w:val="center"/>
        </w:trPr>
        <w:tc>
          <w:tcPr>
            <w:tcW w:w="5411" w:type="dxa"/>
            <w:tcBorders>
              <w:top w:val="nil"/>
              <w:left w:val="nil"/>
              <w:bottom w:val="nil"/>
              <w:right w:val="nil"/>
            </w:tcBorders>
          </w:tcPr>
          <w:p w14:paraId="06D8E45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hAnsi="Times New Roman" w:cs="Times New Roman"/>
                <w:sz w:val="22"/>
              </w:rPr>
              <w:t>S</w:t>
            </w:r>
            <w:r w:rsidRPr="00730A96">
              <w:rPr>
                <w:rFonts w:ascii="Times New Roman" w:hAnsi="Times New Roman" w:cs="Times New Roman"/>
                <w:sz w:val="22"/>
              </w:rPr>
              <w:t>ect</w:t>
            </w:r>
            <w:r>
              <w:rPr>
                <w:rFonts w:ascii="Times New Roman" w:hAnsi="Times New Roman" w:cs="Times New Roman"/>
                <w:sz w:val="22"/>
              </w:rPr>
              <w:t xml:space="preserve">or </w:t>
            </w:r>
            <w:r w:rsidRPr="00730A96">
              <w:rPr>
                <w:rFonts w:ascii="Times New Roman" w:hAnsi="Times New Roman" w:cs="Times New Roman"/>
                <w:sz w:val="22"/>
              </w:rPr>
              <w:t>2</w:t>
            </w:r>
          </w:p>
        </w:tc>
        <w:tc>
          <w:tcPr>
            <w:tcW w:w="3519" w:type="dxa"/>
            <w:tcBorders>
              <w:top w:val="nil"/>
              <w:left w:val="nil"/>
              <w:bottom w:val="nil"/>
              <w:right w:val="nil"/>
            </w:tcBorders>
          </w:tcPr>
          <w:p w14:paraId="49BC9DAB"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-0.031**</w:t>
            </w:r>
          </w:p>
        </w:tc>
      </w:tr>
      <w:tr w:rsidR="0044220A" w14:paraId="305389D6" w14:textId="77777777" w:rsidTr="00B173A9">
        <w:trPr>
          <w:trHeight w:val="259"/>
          <w:jc w:val="center"/>
        </w:trPr>
        <w:tc>
          <w:tcPr>
            <w:tcW w:w="5411" w:type="dxa"/>
            <w:tcBorders>
              <w:top w:val="nil"/>
              <w:left w:val="nil"/>
              <w:bottom w:val="nil"/>
              <w:right w:val="nil"/>
            </w:tcBorders>
          </w:tcPr>
          <w:p w14:paraId="77DF74F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52981B13"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(1.47340e-02)</w:t>
            </w:r>
          </w:p>
        </w:tc>
      </w:tr>
      <w:tr w:rsidR="0044220A" w14:paraId="40F70A36" w14:textId="77777777" w:rsidTr="00B173A9">
        <w:trPr>
          <w:trHeight w:val="259"/>
          <w:jc w:val="center"/>
        </w:trPr>
        <w:tc>
          <w:tcPr>
            <w:tcW w:w="5411" w:type="dxa"/>
            <w:tcBorders>
              <w:top w:val="nil"/>
              <w:left w:val="nil"/>
              <w:bottom w:val="nil"/>
              <w:right w:val="nil"/>
            </w:tcBorders>
          </w:tcPr>
          <w:p w14:paraId="0FDB99BB"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hAnsi="Times New Roman" w:cs="Times New Roman"/>
                <w:sz w:val="22"/>
              </w:rPr>
              <w:t>S</w:t>
            </w:r>
            <w:r w:rsidRPr="00730A96">
              <w:rPr>
                <w:rFonts w:ascii="Times New Roman" w:hAnsi="Times New Roman" w:cs="Times New Roman"/>
                <w:sz w:val="22"/>
              </w:rPr>
              <w:t>ect</w:t>
            </w:r>
            <w:r>
              <w:rPr>
                <w:rFonts w:ascii="Times New Roman" w:hAnsi="Times New Roman" w:cs="Times New Roman"/>
                <w:sz w:val="22"/>
              </w:rPr>
              <w:t xml:space="preserve">or </w:t>
            </w:r>
            <w:r w:rsidRPr="00730A96">
              <w:rPr>
                <w:rFonts w:ascii="Times New Roman" w:hAnsi="Times New Roman" w:cs="Times New Roman"/>
                <w:sz w:val="22"/>
              </w:rPr>
              <w:t>3</w:t>
            </w:r>
          </w:p>
        </w:tc>
        <w:tc>
          <w:tcPr>
            <w:tcW w:w="3519" w:type="dxa"/>
            <w:tcBorders>
              <w:top w:val="nil"/>
              <w:left w:val="nil"/>
              <w:bottom w:val="nil"/>
              <w:right w:val="nil"/>
            </w:tcBorders>
          </w:tcPr>
          <w:p w14:paraId="76A55D3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0.019***</w:t>
            </w:r>
          </w:p>
        </w:tc>
      </w:tr>
      <w:tr w:rsidR="0044220A" w14:paraId="79DC247A" w14:textId="77777777" w:rsidTr="00B173A9">
        <w:trPr>
          <w:trHeight w:val="259"/>
          <w:jc w:val="center"/>
        </w:trPr>
        <w:tc>
          <w:tcPr>
            <w:tcW w:w="5411" w:type="dxa"/>
            <w:tcBorders>
              <w:top w:val="nil"/>
              <w:left w:val="nil"/>
              <w:bottom w:val="nil"/>
              <w:right w:val="nil"/>
            </w:tcBorders>
          </w:tcPr>
          <w:p w14:paraId="604F88A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663AD3CC"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(5.26090e-03)</w:t>
            </w:r>
          </w:p>
        </w:tc>
      </w:tr>
      <w:tr w:rsidR="0044220A" w14:paraId="2C51C1CC" w14:textId="77777777" w:rsidTr="00B173A9">
        <w:trPr>
          <w:trHeight w:val="259"/>
          <w:jc w:val="center"/>
        </w:trPr>
        <w:tc>
          <w:tcPr>
            <w:tcW w:w="5411" w:type="dxa"/>
            <w:tcBorders>
              <w:top w:val="nil"/>
              <w:left w:val="nil"/>
              <w:bottom w:val="nil"/>
              <w:right w:val="nil"/>
            </w:tcBorders>
          </w:tcPr>
          <w:p w14:paraId="0D7067B1"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Sect</w:t>
            </w:r>
            <w:r>
              <w:rPr>
                <w:rFonts w:ascii="Times New Roman" w:hAnsi="Times New Roman" w:cs="Times New Roman"/>
                <w:sz w:val="22"/>
              </w:rPr>
              <w:t xml:space="preserve">or </w:t>
            </w:r>
            <w:r w:rsidRPr="00730A96">
              <w:rPr>
                <w:rFonts w:ascii="Times New Roman" w:hAnsi="Times New Roman" w:cs="Times New Roman"/>
                <w:sz w:val="22"/>
              </w:rPr>
              <w:t>4</w:t>
            </w:r>
          </w:p>
        </w:tc>
        <w:tc>
          <w:tcPr>
            <w:tcW w:w="3519" w:type="dxa"/>
            <w:tcBorders>
              <w:top w:val="nil"/>
              <w:left w:val="nil"/>
              <w:bottom w:val="nil"/>
              <w:right w:val="nil"/>
            </w:tcBorders>
          </w:tcPr>
          <w:p w14:paraId="2C469F15"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-0.013***</w:t>
            </w:r>
          </w:p>
        </w:tc>
      </w:tr>
      <w:tr w:rsidR="0044220A" w14:paraId="5EECF61E" w14:textId="77777777" w:rsidTr="00B173A9">
        <w:trPr>
          <w:trHeight w:val="259"/>
          <w:jc w:val="center"/>
        </w:trPr>
        <w:tc>
          <w:tcPr>
            <w:tcW w:w="5411" w:type="dxa"/>
            <w:tcBorders>
              <w:top w:val="nil"/>
              <w:left w:val="nil"/>
              <w:bottom w:val="nil"/>
              <w:right w:val="nil"/>
            </w:tcBorders>
          </w:tcPr>
          <w:p w14:paraId="5784686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0DA71C14"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(4.82537e-03)</w:t>
            </w:r>
          </w:p>
        </w:tc>
      </w:tr>
      <w:tr w:rsidR="0044220A" w14:paraId="426DC493" w14:textId="77777777" w:rsidTr="00B173A9">
        <w:trPr>
          <w:trHeight w:val="259"/>
          <w:jc w:val="center"/>
        </w:trPr>
        <w:tc>
          <w:tcPr>
            <w:tcW w:w="5411" w:type="dxa"/>
            <w:tcBorders>
              <w:top w:val="nil"/>
              <w:left w:val="nil"/>
              <w:bottom w:val="nil"/>
              <w:right w:val="nil"/>
            </w:tcBorders>
          </w:tcPr>
          <w:p w14:paraId="43AAC85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Sect</w:t>
            </w:r>
            <w:r>
              <w:rPr>
                <w:rFonts w:ascii="Times New Roman" w:hAnsi="Times New Roman" w:cs="Times New Roman"/>
                <w:sz w:val="22"/>
              </w:rPr>
              <w:t xml:space="preserve">or </w:t>
            </w:r>
            <w:r w:rsidRPr="00730A96">
              <w:rPr>
                <w:rFonts w:ascii="Times New Roman" w:hAnsi="Times New Roman" w:cs="Times New Roman"/>
                <w:sz w:val="22"/>
              </w:rPr>
              <w:t>5</w:t>
            </w:r>
          </w:p>
        </w:tc>
        <w:tc>
          <w:tcPr>
            <w:tcW w:w="3519" w:type="dxa"/>
            <w:tcBorders>
              <w:top w:val="nil"/>
              <w:left w:val="nil"/>
              <w:bottom w:val="nil"/>
              <w:right w:val="nil"/>
            </w:tcBorders>
          </w:tcPr>
          <w:p w14:paraId="09D4C3F2"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-0.063***</w:t>
            </w:r>
          </w:p>
        </w:tc>
      </w:tr>
      <w:tr w:rsidR="0044220A" w14:paraId="07EF58FF" w14:textId="77777777" w:rsidTr="00B173A9">
        <w:trPr>
          <w:trHeight w:val="259"/>
          <w:jc w:val="center"/>
        </w:trPr>
        <w:tc>
          <w:tcPr>
            <w:tcW w:w="5411" w:type="dxa"/>
            <w:tcBorders>
              <w:top w:val="nil"/>
              <w:left w:val="nil"/>
              <w:bottom w:val="nil"/>
              <w:right w:val="nil"/>
            </w:tcBorders>
          </w:tcPr>
          <w:p w14:paraId="081B14F2"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11FF3DB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(7.92167e-03)</w:t>
            </w:r>
          </w:p>
        </w:tc>
      </w:tr>
      <w:tr w:rsidR="0044220A" w14:paraId="4E931BC7" w14:textId="77777777" w:rsidTr="00B173A9">
        <w:trPr>
          <w:trHeight w:val="259"/>
          <w:jc w:val="center"/>
        </w:trPr>
        <w:tc>
          <w:tcPr>
            <w:tcW w:w="5411" w:type="dxa"/>
            <w:tcBorders>
              <w:top w:val="nil"/>
              <w:left w:val="nil"/>
              <w:bottom w:val="nil"/>
              <w:right w:val="nil"/>
            </w:tcBorders>
          </w:tcPr>
          <w:p w14:paraId="0435D501"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Sect</w:t>
            </w:r>
            <w:r>
              <w:rPr>
                <w:rFonts w:ascii="Times New Roman" w:hAnsi="Times New Roman" w:cs="Times New Roman"/>
                <w:sz w:val="22"/>
              </w:rPr>
              <w:t xml:space="preserve">or </w:t>
            </w:r>
            <w:r w:rsidRPr="00730A96">
              <w:rPr>
                <w:rFonts w:ascii="Times New Roman" w:hAnsi="Times New Roman" w:cs="Times New Roman"/>
                <w:sz w:val="22"/>
              </w:rPr>
              <w:t>6</w:t>
            </w:r>
          </w:p>
        </w:tc>
        <w:tc>
          <w:tcPr>
            <w:tcW w:w="3519" w:type="dxa"/>
            <w:tcBorders>
              <w:top w:val="nil"/>
              <w:left w:val="nil"/>
              <w:bottom w:val="nil"/>
              <w:right w:val="nil"/>
            </w:tcBorders>
          </w:tcPr>
          <w:p w14:paraId="20393AD7"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-0.008**</w:t>
            </w:r>
          </w:p>
        </w:tc>
      </w:tr>
      <w:tr w:rsidR="0044220A" w14:paraId="6419D939" w14:textId="77777777" w:rsidTr="00B173A9">
        <w:trPr>
          <w:trHeight w:val="259"/>
          <w:jc w:val="center"/>
        </w:trPr>
        <w:tc>
          <w:tcPr>
            <w:tcW w:w="5411" w:type="dxa"/>
            <w:tcBorders>
              <w:top w:val="nil"/>
              <w:left w:val="nil"/>
              <w:bottom w:val="nil"/>
              <w:right w:val="nil"/>
            </w:tcBorders>
          </w:tcPr>
          <w:p w14:paraId="7C9D7AA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407859CD"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(3.53461e-03)</w:t>
            </w:r>
          </w:p>
        </w:tc>
      </w:tr>
      <w:tr w:rsidR="0044220A" w14:paraId="024A5A0C" w14:textId="77777777" w:rsidTr="00B173A9">
        <w:trPr>
          <w:trHeight w:val="259"/>
          <w:jc w:val="center"/>
        </w:trPr>
        <w:tc>
          <w:tcPr>
            <w:tcW w:w="5411" w:type="dxa"/>
            <w:tcBorders>
              <w:top w:val="nil"/>
              <w:left w:val="nil"/>
              <w:bottom w:val="nil"/>
              <w:right w:val="nil"/>
            </w:tcBorders>
          </w:tcPr>
          <w:p w14:paraId="4EAF520C"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Sect</w:t>
            </w:r>
            <w:r>
              <w:rPr>
                <w:rFonts w:ascii="Times New Roman" w:hAnsi="Times New Roman" w:cs="Times New Roman"/>
                <w:sz w:val="22"/>
              </w:rPr>
              <w:t xml:space="preserve">or </w:t>
            </w:r>
            <w:r w:rsidRPr="00730A96">
              <w:rPr>
                <w:rFonts w:ascii="Times New Roman" w:hAnsi="Times New Roman" w:cs="Times New Roman"/>
                <w:sz w:val="22"/>
              </w:rPr>
              <w:t>7</w:t>
            </w:r>
          </w:p>
        </w:tc>
        <w:tc>
          <w:tcPr>
            <w:tcW w:w="3519" w:type="dxa"/>
            <w:tcBorders>
              <w:top w:val="nil"/>
              <w:left w:val="nil"/>
              <w:bottom w:val="nil"/>
              <w:right w:val="nil"/>
            </w:tcBorders>
          </w:tcPr>
          <w:p w14:paraId="36EB773E"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-0.050***</w:t>
            </w:r>
          </w:p>
        </w:tc>
      </w:tr>
      <w:tr w:rsidR="0044220A" w14:paraId="079E991A" w14:textId="77777777" w:rsidTr="00B173A9">
        <w:trPr>
          <w:trHeight w:val="259"/>
          <w:jc w:val="center"/>
        </w:trPr>
        <w:tc>
          <w:tcPr>
            <w:tcW w:w="5411" w:type="dxa"/>
            <w:tcBorders>
              <w:top w:val="nil"/>
              <w:left w:val="nil"/>
              <w:bottom w:val="nil"/>
              <w:right w:val="nil"/>
            </w:tcBorders>
          </w:tcPr>
          <w:p w14:paraId="796D2DA3"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6C7CB7A8"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(3.95652e-03)</w:t>
            </w:r>
          </w:p>
        </w:tc>
      </w:tr>
      <w:tr w:rsidR="0044220A" w14:paraId="3D3885B4" w14:textId="77777777" w:rsidTr="00B173A9">
        <w:trPr>
          <w:trHeight w:val="259"/>
          <w:jc w:val="center"/>
        </w:trPr>
        <w:tc>
          <w:tcPr>
            <w:tcW w:w="5411" w:type="dxa"/>
            <w:tcBorders>
              <w:top w:val="nil"/>
              <w:left w:val="nil"/>
              <w:bottom w:val="nil"/>
              <w:right w:val="nil"/>
            </w:tcBorders>
          </w:tcPr>
          <w:p w14:paraId="6A6431AA"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Constant</w:t>
            </w:r>
          </w:p>
        </w:tc>
        <w:tc>
          <w:tcPr>
            <w:tcW w:w="3519" w:type="dxa"/>
            <w:tcBorders>
              <w:top w:val="nil"/>
              <w:left w:val="nil"/>
              <w:bottom w:val="nil"/>
              <w:right w:val="nil"/>
            </w:tcBorders>
          </w:tcPr>
          <w:p w14:paraId="20D241F1"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0.258***</w:t>
            </w:r>
          </w:p>
        </w:tc>
      </w:tr>
      <w:tr w:rsidR="0044220A" w14:paraId="3434D9D0" w14:textId="77777777" w:rsidTr="00B173A9">
        <w:trPr>
          <w:trHeight w:val="259"/>
          <w:jc w:val="center"/>
        </w:trPr>
        <w:tc>
          <w:tcPr>
            <w:tcW w:w="5411" w:type="dxa"/>
            <w:tcBorders>
              <w:top w:val="nil"/>
              <w:left w:val="nil"/>
              <w:bottom w:val="nil"/>
              <w:right w:val="nil"/>
            </w:tcBorders>
          </w:tcPr>
          <w:p w14:paraId="3C6E2B59"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6981D0D1"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(8.54626e-02)</w:t>
            </w:r>
          </w:p>
        </w:tc>
      </w:tr>
      <w:tr w:rsidR="0044220A" w14:paraId="2AFBA7BD" w14:textId="77777777" w:rsidTr="00B173A9">
        <w:trPr>
          <w:trHeight w:val="259"/>
          <w:jc w:val="center"/>
        </w:trPr>
        <w:tc>
          <w:tcPr>
            <w:tcW w:w="5411" w:type="dxa"/>
            <w:tcBorders>
              <w:top w:val="nil"/>
              <w:left w:val="nil"/>
              <w:bottom w:val="nil"/>
              <w:right w:val="nil"/>
            </w:tcBorders>
          </w:tcPr>
          <w:p w14:paraId="6A94CC03"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c>
          <w:tcPr>
            <w:tcW w:w="3519" w:type="dxa"/>
            <w:tcBorders>
              <w:top w:val="nil"/>
              <w:left w:val="nil"/>
              <w:bottom w:val="nil"/>
              <w:right w:val="nil"/>
            </w:tcBorders>
          </w:tcPr>
          <w:p w14:paraId="69638BEB"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p>
        </w:tc>
      </w:tr>
      <w:tr w:rsidR="0044220A" w14:paraId="6E4A2F9E" w14:textId="77777777" w:rsidTr="00B173A9">
        <w:trPr>
          <w:trHeight w:val="259"/>
          <w:jc w:val="center"/>
        </w:trPr>
        <w:tc>
          <w:tcPr>
            <w:tcW w:w="5411" w:type="dxa"/>
            <w:tcBorders>
              <w:top w:val="nil"/>
              <w:left w:val="nil"/>
              <w:bottom w:val="nil"/>
              <w:right w:val="nil"/>
            </w:tcBorders>
          </w:tcPr>
          <w:p w14:paraId="135ED0AF" w14:textId="77777777" w:rsidR="00525647"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Observations</w:t>
            </w:r>
          </w:p>
          <w:p w14:paraId="377886F1"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eastAsiaTheme="minorHAnsi" w:hAnsi="Times New Roman" w:cs="Times New Roman"/>
                <w:color w:val="auto"/>
                <w:sz w:val="22"/>
                <w:lang w:eastAsia="en-US"/>
              </w:rPr>
              <w:t>Prob&gt;F</w:t>
            </w:r>
          </w:p>
        </w:tc>
        <w:tc>
          <w:tcPr>
            <w:tcW w:w="3519" w:type="dxa"/>
            <w:tcBorders>
              <w:top w:val="nil"/>
              <w:left w:val="nil"/>
              <w:bottom w:val="nil"/>
              <w:right w:val="nil"/>
            </w:tcBorders>
          </w:tcPr>
          <w:p w14:paraId="25DD9C53" w14:textId="77777777" w:rsidR="00525647" w:rsidRDefault="0044220A" w:rsidP="00536234">
            <w:pPr>
              <w:autoSpaceDE w:val="0"/>
              <w:autoSpaceDN w:val="0"/>
              <w:adjustRightInd w:val="0"/>
              <w:spacing w:after="0" w:line="240" w:lineRule="auto"/>
              <w:ind w:left="0" w:firstLine="0"/>
              <w:jc w:val="center"/>
              <w:rPr>
                <w:rFonts w:ascii="Times New Roman" w:hAnsi="Times New Roman" w:cs="Times New Roman"/>
                <w:sz w:val="22"/>
              </w:rPr>
            </w:pPr>
            <w:r w:rsidRPr="00730A96">
              <w:rPr>
                <w:rFonts w:ascii="Times New Roman" w:hAnsi="Times New Roman" w:cs="Times New Roman"/>
                <w:sz w:val="22"/>
              </w:rPr>
              <w:t>488</w:t>
            </w:r>
          </w:p>
          <w:p w14:paraId="41C2EEA6" w14:textId="77777777" w:rsidR="0044220A" w:rsidRPr="00730A96" w:rsidRDefault="0044220A" w:rsidP="00536234">
            <w:pPr>
              <w:autoSpaceDE w:val="0"/>
              <w:autoSpaceDN w:val="0"/>
              <w:adjustRightInd w:val="0"/>
              <w:spacing w:after="0" w:line="240" w:lineRule="auto"/>
              <w:ind w:left="0" w:firstLine="0"/>
              <w:jc w:val="center"/>
              <w:rPr>
                <w:rFonts w:ascii="Times New Roman" w:eastAsiaTheme="minorHAnsi" w:hAnsi="Times New Roman" w:cs="Times New Roman"/>
                <w:color w:val="auto"/>
                <w:sz w:val="22"/>
                <w:lang w:eastAsia="en-US"/>
              </w:rPr>
            </w:pPr>
            <w:r>
              <w:rPr>
                <w:rFonts w:ascii="Times New Roman" w:eastAsiaTheme="minorHAnsi" w:hAnsi="Times New Roman" w:cs="Times New Roman"/>
                <w:color w:val="auto"/>
                <w:sz w:val="22"/>
                <w:lang w:eastAsia="en-US"/>
              </w:rPr>
              <w:t>0.0000</w:t>
            </w:r>
          </w:p>
        </w:tc>
      </w:tr>
      <w:tr w:rsidR="0044220A" w14:paraId="46A8C2C6" w14:textId="77777777" w:rsidTr="00B173A9">
        <w:trPr>
          <w:trHeight w:val="259"/>
          <w:jc w:val="center"/>
        </w:trPr>
        <w:tc>
          <w:tcPr>
            <w:tcW w:w="5411" w:type="dxa"/>
            <w:tcBorders>
              <w:top w:val="nil"/>
              <w:left w:val="nil"/>
              <w:bottom w:val="nil"/>
              <w:right w:val="nil"/>
            </w:tcBorders>
          </w:tcPr>
          <w:p w14:paraId="2F11AE05"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Number of companynum</w:t>
            </w:r>
          </w:p>
        </w:tc>
        <w:tc>
          <w:tcPr>
            <w:tcW w:w="3519" w:type="dxa"/>
            <w:tcBorders>
              <w:top w:val="nil"/>
              <w:left w:val="nil"/>
              <w:bottom w:val="nil"/>
              <w:right w:val="nil"/>
            </w:tcBorders>
          </w:tcPr>
          <w:p w14:paraId="544DC5C4"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61</w:t>
            </w:r>
          </w:p>
        </w:tc>
      </w:tr>
      <w:tr w:rsidR="0044220A" w14:paraId="6BB9BB43" w14:textId="77777777" w:rsidTr="00B173A9">
        <w:tblPrEx>
          <w:tblBorders>
            <w:bottom w:val="single" w:sz="6" w:space="0" w:color="auto"/>
          </w:tblBorders>
        </w:tblPrEx>
        <w:trPr>
          <w:trHeight w:val="271"/>
          <w:jc w:val="center"/>
        </w:trPr>
        <w:tc>
          <w:tcPr>
            <w:tcW w:w="5411" w:type="dxa"/>
            <w:tcBorders>
              <w:top w:val="nil"/>
              <w:left w:val="nil"/>
              <w:bottom w:val="single" w:sz="6" w:space="0" w:color="auto"/>
              <w:right w:val="nil"/>
            </w:tcBorders>
          </w:tcPr>
          <w:p w14:paraId="53450636" w14:textId="77777777" w:rsidR="0044220A"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Wald-chi2</w:t>
            </w:r>
          </w:p>
          <w:p w14:paraId="1A0C2F1E" w14:textId="77777777" w:rsidR="00AD7E28" w:rsidRPr="00730A96" w:rsidRDefault="00AD7E28" w:rsidP="00536234">
            <w:pPr>
              <w:widowControl w:val="0"/>
              <w:autoSpaceDE w:val="0"/>
              <w:autoSpaceDN w:val="0"/>
              <w:adjustRightInd w:val="0"/>
              <w:spacing w:after="0" w:line="240" w:lineRule="auto"/>
              <w:ind w:left="0"/>
              <w:jc w:val="center"/>
              <w:rPr>
                <w:rFonts w:ascii="Times New Roman" w:hAnsi="Times New Roman" w:cs="Times New Roman"/>
                <w:sz w:val="22"/>
              </w:rPr>
            </w:pPr>
            <w:r>
              <w:rPr>
                <w:rFonts w:ascii="Times New Roman" w:hAnsi="Times New Roman" w:cs="Times New Roman"/>
                <w:sz w:val="22"/>
              </w:rPr>
              <w:t>Rho</w:t>
            </w:r>
          </w:p>
        </w:tc>
        <w:tc>
          <w:tcPr>
            <w:tcW w:w="3519" w:type="dxa"/>
            <w:tcBorders>
              <w:top w:val="nil"/>
              <w:left w:val="nil"/>
              <w:bottom w:val="single" w:sz="6" w:space="0" w:color="auto"/>
              <w:right w:val="nil"/>
            </w:tcBorders>
          </w:tcPr>
          <w:p w14:paraId="60786225" w14:textId="77777777" w:rsidR="0044220A" w:rsidRDefault="0044220A" w:rsidP="00536234">
            <w:pPr>
              <w:widowControl w:val="0"/>
              <w:autoSpaceDE w:val="0"/>
              <w:autoSpaceDN w:val="0"/>
              <w:adjustRightInd w:val="0"/>
              <w:spacing w:after="0" w:line="240" w:lineRule="auto"/>
              <w:ind w:left="0"/>
              <w:jc w:val="center"/>
              <w:rPr>
                <w:rFonts w:ascii="Times New Roman" w:hAnsi="Times New Roman" w:cs="Times New Roman"/>
                <w:sz w:val="22"/>
              </w:rPr>
            </w:pPr>
            <w:r w:rsidRPr="00730A96">
              <w:rPr>
                <w:rFonts w:ascii="Times New Roman" w:hAnsi="Times New Roman" w:cs="Times New Roman"/>
                <w:sz w:val="22"/>
              </w:rPr>
              <w:t>683.1</w:t>
            </w:r>
          </w:p>
          <w:p w14:paraId="055A13E4" w14:textId="77777777" w:rsidR="00AD7E28" w:rsidRPr="00730A96" w:rsidRDefault="00AD7E28" w:rsidP="00536234">
            <w:pPr>
              <w:widowControl w:val="0"/>
              <w:autoSpaceDE w:val="0"/>
              <w:autoSpaceDN w:val="0"/>
              <w:adjustRightInd w:val="0"/>
              <w:spacing w:after="0" w:line="240" w:lineRule="auto"/>
              <w:ind w:left="0"/>
              <w:jc w:val="center"/>
              <w:rPr>
                <w:rFonts w:ascii="Times New Roman" w:hAnsi="Times New Roman" w:cs="Times New Roman"/>
                <w:sz w:val="22"/>
              </w:rPr>
            </w:pPr>
            <w:r w:rsidRPr="00AD7E28">
              <w:rPr>
                <w:rFonts w:ascii="Times New Roman" w:hAnsi="Times New Roman" w:cs="Times New Roman"/>
                <w:sz w:val="22"/>
              </w:rPr>
              <w:t xml:space="preserve">  .64588224</w:t>
            </w:r>
          </w:p>
        </w:tc>
      </w:tr>
    </w:tbl>
    <w:p w14:paraId="4F51E456"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sz w:val="22"/>
          <w:szCs w:val="24"/>
        </w:rPr>
      </w:pPr>
      <w:r w:rsidRPr="00730A96">
        <w:rPr>
          <w:rFonts w:ascii="Times New Roman" w:hAnsi="Times New Roman"/>
          <w:sz w:val="22"/>
          <w:szCs w:val="24"/>
        </w:rPr>
        <w:t>Standard errors in parentheses</w:t>
      </w:r>
    </w:p>
    <w:p w14:paraId="13B19FC5" w14:textId="77777777" w:rsidR="0044220A" w:rsidRPr="00730A96" w:rsidRDefault="0044220A" w:rsidP="00536234">
      <w:pPr>
        <w:widowControl w:val="0"/>
        <w:autoSpaceDE w:val="0"/>
        <w:autoSpaceDN w:val="0"/>
        <w:adjustRightInd w:val="0"/>
        <w:spacing w:after="0" w:line="240" w:lineRule="auto"/>
        <w:ind w:left="0"/>
        <w:jc w:val="center"/>
        <w:rPr>
          <w:rFonts w:ascii="Times New Roman" w:hAnsi="Times New Roman"/>
          <w:sz w:val="22"/>
          <w:szCs w:val="24"/>
        </w:rPr>
      </w:pPr>
      <w:r w:rsidRPr="00730A96">
        <w:rPr>
          <w:rFonts w:ascii="Times New Roman" w:hAnsi="Times New Roman"/>
          <w:sz w:val="22"/>
          <w:szCs w:val="24"/>
        </w:rPr>
        <w:t>*** p&lt;0.01, ** p&lt;0.05, * p&lt;0.1</w:t>
      </w:r>
    </w:p>
    <w:p w14:paraId="204B0AF5" w14:textId="77777777" w:rsidR="0044220A" w:rsidRDefault="0044220A" w:rsidP="00536234">
      <w:pPr>
        <w:spacing w:line="480" w:lineRule="auto"/>
        <w:ind w:left="0"/>
        <w:jc w:val="right"/>
        <w:rPr>
          <w:rFonts w:ascii="Times New Roman" w:hAnsi="Times New Roman" w:cs="Times New Roman"/>
          <w:sz w:val="22"/>
          <w:szCs w:val="26"/>
        </w:rPr>
      </w:pPr>
      <w:r w:rsidRPr="00012FB2">
        <w:rPr>
          <w:rFonts w:ascii="Times New Roman" w:hAnsi="Times New Roman" w:cs="Times New Roman"/>
          <w:sz w:val="22"/>
          <w:szCs w:val="26"/>
        </w:rPr>
        <w:t>(Source: Stata)</w:t>
      </w:r>
    </w:p>
    <w:p w14:paraId="5DF0182A" w14:textId="77777777" w:rsidR="0044220A" w:rsidRPr="00507D0D" w:rsidRDefault="0044220A" w:rsidP="00536234">
      <w:pPr>
        <w:pStyle w:val="Heading2"/>
        <w:ind w:left="0"/>
        <w:rPr>
          <w:rFonts w:ascii="Times New Roman" w:hAnsi="Times New Roman" w:cs="Times New Roman"/>
          <w:b/>
          <w:color w:val="auto"/>
          <w:sz w:val="24"/>
        </w:rPr>
      </w:pPr>
      <w:bookmarkStart w:id="56" w:name="_Toc506717801"/>
      <w:r w:rsidRPr="00507D0D">
        <w:rPr>
          <w:rFonts w:ascii="Times New Roman" w:hAnsi="Times New Roman" w:cs="Times New Roman"/>
          <w:b/>
          <w:color w:val="auto"/>
          <w:sz w:val="24"/>
        </w:rPr>
        <w:t>4.3</w:t>
      </w:r>
      <w:r w:rsidRPr="00507D0D">
        <w:rPr>
          <w:rFonts w:ascii="Times New Roman" w:hAnsi="Times New Roman" w:cs="Times New Roman"/>
          <w:b/>
          <w:color w:val="auto"/>
          <w:sz w:val="24"/>
        </w:rPr>
        <w:tab/>
        <w:t>Findings</w:t>
      </w:r>
      <w:bookmarkEnd w:id="56"/>
    </w:p>
    <w:p w14:paraId="5EDBEB1B" w14:textId="77777777" w:rsidR="0044220A" w:rsidRPr="00507D0D" w:rsidRDefault="00766427" w:rsidP="00536234">
      <w:pPr>
        <w:pStyle w:val="Heading3"/>
        <w:ind w:left="0"/>
        <w:rPr>
          <w:rFonts w:ascii="Times New Roman" w:hAnsi="Times New Roman" w:cs="Times New Roman"/>
          <w:i/>
          <w:color w:val="auto"/>
          <w:sz w:val="22"/>
        </w:rPr>
      </w:pPr>
      <w:bookmarkStart w:id="57" w:name="_Toc506717802"/>
      <w:r>
        <w:rPr>
          <w:rFonts w:ascii="Times New Roman" w:hAnsi="Times New Roman" w:cs="Times New Roman"/>
          <w:i/>
          <w:color w:val="auto"/>
          <w:sz w:val="22"/>
        </w:rPr>
        <w:t>4.3.1</w:t>
      </w:r>
      <w:r>
        <w:rPr>
          <w:rFonts w:ascii="Times New Roman" w:hAnsi="Times New Roman" w:cs="Times New Roman"/>
          <w:i/>
          <w:color w:val="auto"/>
          <w:sz w:val="22"/>
        </w:rPr>
        <w:tab/>
      </w:r>
      <w:r w:rsidR="0044220A" w:rsidRPr="00507D0D">
        <w:rPr>
          <w:rFonts w:ascii="Times New Roman" w:hAnsi="Times New Roman" w:cs="Times New Roman"/>
          <w:i/>
          <w:color w:val="auto"/>
          <w:sz w:val="22"/>
        </w:rPr>
        <w:t>Deals</w:t>
      </w:r>
      <w:bookmarkEnd w:id="57"/>
    </w:p>
    <w:p w14:paraId="35D76192" w14:textId="49758D88"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results in Table 12 show that companies with BBBEE deals in place do in fact pay higher dividends than companies without a deal in place, when controlling for other potential determinants of dividend pay-outs. The Deal variable was found to significant at the 1% level. Moreover, the size of the </w:t>
      </w:r>
      <w:r>
        <w:rPr>
          <w:rFonts w:ascii="Times New Roman" w:hAnsi="Times New Roman" w:cs="Times New Roman"/>
          <w:sz w:val="22"/>
          <w:szCs w:val="26"/>
        </w:rPr>
        <w:lastRenderedPageBreak/>
        <w:t>coefficient was</w:t>
      </w:r>
      <w:r w:rsidR="00416D57">
        <w:rPr>
          <w:rFonts w:ascii="Times New Roman" w:hAnsi="Times New Roman" w:cs="Times New Roman"/>
          <w:sz w:val="22"/>
          <w:szCs w:val="26"/>
        </w:rPr>
        <w:t xml:space="preserve"> found to be</w:t>
      </w:r>
      <w:r>
        <w:rPr>
          <w:rFonts w:ascii="Times New Roman" w:hAnsi="Times New Roman" w:cs="Times New Roman"/>
          <w:sz w:val="22"/>
          <w:szCs w:val="26"/>
        </w:rPr>
        <w:t xml:space="preserve"> material. Having a BBBEE deal in place was, on average, found to increase a firm’s dividend pay-out ratio by 0.0</w:t>
      </w:r>
      <w:r w:rsidR="00DE52DA">
        <w:rPr>
          <w:rFonts w:ascii="Times New Roman" w:hAnsi="Times New Roman" w:cs="Times New Roman"/>
          <w:sz w:val="22"/>
          <w:szCs w:val="26"/>
        </w:rPr>
        <w:t>79</w:t>
      </w:r>
      <w:r>
        <w:rPr>
          <w:rFonts w:ascii="Times New Roman" w:hAnsi="Times New Roman" w:cs="Times New Roman"/>
          <w:sz w:val="22"/>
          <w:szCs w:val="26"/>
        </w:rPr>
        <w:t xml:space="preserve"> (21.92% of the average for the control group), holding everything else equal.  </w:t>
      </w:r>
      <w:r w:rsidRPr="006E1FE1">
        <w:rPr>
          <w:rFonts w:ascii="Times New Roman" w:hAnsi="Times New Roman" w:cs="Times New Roman"/>
          <w:sz w:val="22"/>
          <w:szCs w:val="26"/>
        </w:rPr>
        <w:t>This is consistent with</w:t>
      </w:r>
      <w:r>
        <w:rPr>
          <w:rFonts w:ascii="Times New Roman" w:hAnsi="Times New Roman" w:cs="Times New Roman"/>
          <w:sz w:val="22"/>
          <w:szCs w:val="26"/>
        </w:rPr>
        <w:t xml:space="preserve"> the finding of</w:t>
      </w:r>
      <w:r w:rsidRPr="006E1FE1">
        <w:rPr>
          <w:rFonts w:ascii="Times New Roman" w:hAnsi="Times New Roman" w:cs="Times New Roman"/>
          <w:sz w:val="22"/>
          <w:szCs w:val="26"/>
        </w:rPr>
        <w:t xml:space="preserve"> the literature review in Chapter 2, which </w:t>
      </w:r>
      <w:r>
        <w:rPr>
          <w:rFonts w:ascii="Times New Roman" w:hAnsi="Times New Roman" w:cs="Times New Roman"/>
          <w:sz w:val="22"/>
          <w:szCs w:val="26"/>
        </w:rPr>
        <w:t>found</w:t>
      </w:r>
      <w:r w:rsidRPr="006E1FE1">
        <w:rPr>
          <w:rFonts w:ascii="Times New Roman" w:hAnsi="Times New Roman" w:cs="Times New Roman"/>
          <w:sz w:val="22"/>
          <w:szCs w:val="26"/>
        </w:rPr>
        <w:t xml:space="preserve"> that companies with BBBEE deals in place were under pressure to assist beneficiaries in the funding of the deal</w:t>
      </w:r>
      <w:r>
        <w:rPr>
          <w:rFonts w:ascii="Times New Roman" w:hAnsi="Times New Roman" w:cs="Times New Roman"/>
          <w:sz w:val="22"/>
          <w:szCs w:val="26"/>
        </w:rPr>
        <w:t xml:space="preserve"> through higher dividends</w:t>
      </w:r>
      <w:r w:rsidRPr="006E1FE1">
        <w:rPr>
          <w:rFonts w:ascii="Times New Roman" w:hAnsi="Times New Roman" w:cs="Times New Roman"/>
          <w:sz w:val="22"/>
          <w:szCs w:val="26"/>
        </w:rPr>
        <w:t xml:space="preserve"> (Nhlapo, 2008; Plaatjies, 2014). </w:t>
      </w:r>
    </w:p>
    <w:p w14:paraId="22C6F40F" w14:textId="77777777" w:rsidR="0044220A" w:rsidRPr="00507D0D" w:rsidRDefault="00766427" w:rsidP="00536234">
      <w:pPr>
        <w:pStyle w:val="Heading3"/>
        <w:ind w:left="0"/>
        <w:rPr>
          <w:rFonts w:ascii="Times New Roman" w:hAnsi="Times New Roman" w:cs="Times New Roman"/>
          <w:i/>
          <w:color w:val="auto"/>
          <w:sz w:val="22"/>
        </w:rPr>
      </w:pPr>
      <w:bookmarkStart w:id="58" w:name="_Toc506717803"/>
      <w:r>
        <w:rPr>
          <w:rFonts w:ascii="Times New Roman" w:hAnsi="Times New Roman" w:cs="Times New Roman"/>
          <w:i/>
          <w:color w:val="auto"/>
          <w:sz w:val="22"/>
        </w:rPr>
        <w:t>4.3.2</w:t>
      </w:r>
      <w:r>
        <w:rPr>
          <w:rFonts w:ascii="Times New Roman" w:hAnsi="Times New Roman" w:cs="Times New Roman"/>
          <w:i/>
          <w:color w:val="auto"/>
          <w:sz w:val="22"/>
        </w:rPr>
        <w:tab/>
      </w:r>
      <w:r w:rsidR="0044220A" w:rsidRPr="00507D0D">
        <w:rPr>
          <w:rFonts w:ascii="Times New Roman" w:hAnsi="Times New Roman" w:cs="Times New Roman"/>
          <w:i/>
          <w:color w:val="auto"/>
          <w:sz w:val="22"/>
        </w:rPr>
        <w:t>Profitability</w:t>
      </w:r>
      <w:bookmarkEnd w:id="58"/>
      <w:r w:rsidR="0044220A" w:rsidRPr="00507D0D">
        <w:rPr>
          <w:rFonts w:ascii="Times New Roman" w:hAnsi="Times New Roman" w:cs="Times New Roman"/>
          <w:i/>
          <w:color w:val="auto"/>
          <w:sz w:val="22"/>
        </w:rPr>
        <w:t xml:space="preserve"> </w:t>
      </w:r>
    </w:p>
    <w:p w14:paraId="458DAB01" w14:textId="67921179" w:rsidR="0044220A" w:rsidRPr="003F4933"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Consistent with prior literature, profitability has been found to be a significant and positive determinant of dividend pay-outs </w:t>
      </w:r>
      <w:r w:rsidRPr="003F4933">
        <w:rPr>
          <w:rFonts w:ascii="Times New Roman" w:hAnsi="Times New Roman" w:cs="Times New Roman"/>
          <w:sz w:val="22"/>
          <w:szCs w:val="26"/>
        </w:rPr>
        <w:t>(</w:t>
      </w:r>
      <w:r w:rsidR="00754828">
        <w:rPr>
          <w:rFonts w:ascii="Times New Roman" w:hAnsi="Times New Roman" w:cs="Times New Roman"/>
          <w:sz w:val="22"/>
          <w:szCs w:val="26"/>
        </w:rPr>
        <w:t xml:space="preserve">H.K. </w:t>
      </w:r>
      <w:r w:rsidRPr="003F4933">
        <w:rPr>
          <w:rFonts w:ascii="Times New Roman" w:hAnsi="Times New Roman" w:cs="Times New Roman"/>
          <w:sz w:val="22"/>
          <w:szCs w:val="26"/>
        </w:rPr>
        <w:t>Kato</w:t>
      </w:r>
      <w:r w:rsidR="00754828">
        <w:rPr>
          <w:rFonts w:ascii="Times New Roman" w:hAnsi="Times New Roman" w:cs="Times New Roman"/>
          <w:sz w:val="22"/>
          <w:szCs w:val="26"/>
        </w:rPr>
        <w:t xml:space="preserve"> et al.</w:t>
      </w:r>
      <w:r w:rsidRPr="003F4933">
        <w:rPr>
          <w:rFonts w:ascii="Times New Roman" w:hAnsi="Times New Roman" w:cs="Times New Roman"/>
          <w:sz w:val="22"/>
          <w:szCs w:val="26"/>
        </w:rPr>
        <w:t>, 2016).</w:t>
      </w:r>
      <w:r>
        <w:rPr>
          <w:rFonts w:ascii="Times New Roman" w:hAnsi="Times New Roman" w:cs="Times New Roman"/>
          <w:sz w:val="22"/>
          <w:szCs w:val="26"/>
        </w:rPr>
        <w:t xml:space="preserve"> This variable is significant at the 1% level with a positive coefficient of 0.2%. This coefficient indicates that, on average, a 1% increase in a company’s return on assets will result in a 0.002 increase in its dividend pay-out ratio. This is a small amount and indicates that profitability consideration by the companies included in the sample is not a major contributor towards the dividend pay-out ratios of these companies. </w:t>
      </w:r>
      <w:r w:rsidR="008E5542">
        <w:rPr>
          <w:rFonts w:ascii="Times New Roman" w:hAnsi="Times New Roman" w:cs="Times New Roman"/>
          <w:sz w:val="22"/>
          <w:szCs w:val="26"/>
        </w:rPr>
        <w:t>Further, the relationship trend between dividends and earnings being observed, being that dividends lag earnings</w:t>
      </w:r>
      <w:r w:rsidR="00B83FE0">
        <w:rPr>
          <w:rFonts w:ascii="Times New Roman" w:hAnsi="Times New Roman" w:cs="Times New Roman"/>
          <w:sz w:val="22"/>
          <w:szCs w:val="26"/>
        </w:rPr>
        <w:t>, exists</w:t>
      </w:r>
      <w:r w:rsidR="008E5542">
        <w:rPr>
          <w:rFonts w:ascii="Times New Roman" w:hAnsi="Times New Roman" w:cs="Times New Roman"/>
          <w:sz w:val="22"/>
          <w:szCs w:val="26"/>
        </w:rPr>
        <w:t xml:space="preserve"> as profitability will need to first increase be</w:t>
      </w:r>
      <w:r w:rsidR="00B83FE0">
        <w:rPr>
          <w:rFonts w:ascii="Times New Roman" w:hAnsi="Times New Roman" w:cs="Times New Roman"/>
          <w:sz w:val="22"/>
          <w:szCs w:val="26"/>
        </w:rPr>
        <w:t>fore there can be an increase i</w:t>
      </w:r>
      <w:r w:rsidR="008E5542">
        <w:rPr>
          <w:rFonts w:ascii="Times New Roman" w:hAnsi="Times New Roman" w:cs="Times New Roman"/>
          <w:sz w:val="22"/>
          <w:szCs w:val="26"/>
        </w:rPr>
        <w:t>n dividends (Fama &amp; Babiak, 1968)</w:t>
      </w:r>
    </w:p>
    <w:p w14:paraId="66E6311C" w14:textId="77777777" w:rsidR="0044220A" w:rsidRPr="00507D0D" w:rsidRDefault="00766427" w:rsidP="00536234">
      <w:pPr>
        <w:pStyle w:val="Heading3"/>
        <w:ind w:left="0"/>
        <w:rPr>
          <w:rFonts w:ascii="Times New Roman" w:hAnsi="Times New Roman" w:cs="Times New Roman"/>
          <w:i/>
          <w:color w:val="auto"/>
          <w:sz w:val="22"/>
        </w:rPr>
      </w:pPr>
      <w:bookmarkStart w:id="59" w:name="_Toc506717804"/>
      <w:r>
        <w:rPr>
          <w:rFonts w:ascii="Times New Roman" w:hAnsi="Times New Roman" w:cs="Times New Roman"/>
          <w:i/>
          <w:color w:val="auto"/>
          <w:sz w:val="22"/>
        </w:rPr>
        <w:t>4.3.3</w:t>
      </w:r>
      <w:r>
        <w:rPr>
          <w:rFonts w:ascii="Times New Roman" w:hAnsi="Times New Roman" w:cs="Times New Roman"/>
          <w:i/>
          <w:color w:val="auto"/>
          <w:sz w:val="22"/>
        </w:rPr>
        <w:tab/>
      </w:r>
      <w:r w:rsidR="0044220A" w:rsidRPr="00507D0D">
        <w:rPr>
          <w:rFonts w:ascii="Times New Roman" w:hAnsi="Times New Roman" w:cs="Times New Roman"/>
          <w:i/>
          <w:color w:val="auto"/>
          <w:sz w:val="22"/>
        </w:rPr>
        <w:t>Capital Structure</w:t>
      </w:r>
      <w:bookmarkEnd w:id="59"/>
      <w:r w:rsidR="0044220A" w:rsidRPr="00507D0D">
        <w:rPr>
          <w:rFonts w:ascii="Times New Roman" w:hAnsi="Times New Roman" w:cs="Times New Roman"/>
          <w:i/>
          <w:color w:val="auto"/>
          <w:sz w:val="22"/>
        </w:rPr>
        <w:t xml:space="preserve"> </w:t>
      </w:r>
    </w:p>
    <w:p w14:paraId="27F6E0A8" w14:textId="77777777"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 accordance with prior literature, capital structure has also been found to be a significant determinant of dividend pay-out </w:t>
      </w:r>
      <w:r w:rsidRPr="00541434">
        <w:rPr>
          <w:rFonts w:ascii="Times New Roman" w:hAnsi="Times New Roman" w:cs="Times New Roman"/>
          <w:sz w:val="22"/>
          <w:szCs w:val="26"/>
        </w:rPr>
        <w:t>(Kumar, 2006</w:t>
      </w:r>
      <w:r>
        <w:rPr>
          <w:rFonts w:ascii="Times New Roman" w:hAnsi="Times New Roman" w:cs="Times New Roman"/>
          <w:sz w:val="22"/>
          <w:szCs w:val="26"/>
        </w:rPr>
        <w:t>; Myers</w:t>
      </w:r>
      <w:r w:rsidRPr="00541434">
        <w:rPr>
          <w:rFonts w:ascii="Times New Roman" w:hAnsi="Times New Roman" w:cs="Times New Roman"/>
          <w:sz w:val="22"/>
          <w:szCs w:val="26"/>
        </w:rPr>
        <w:t>, 1984)</w:t>
      </w:r>
      <w:r>
        <w:rPr>
          <w:rFonts w:ascii="Times New Roman" w:hAnsi="Times New Roman" w:cs="Times New Roman"/>
          <w:sz w:val="22"/>
          <w:szCs w:val="26"/>
        </w:rPr>
        <w:t xml:space="preserve">. For the purpose of this study, capital structure has been found to be significant at the 1% level. Also, consistent with prior literature is the negative relationship between the amount of debt in the capital structure of a company and the amount of dividends paid by them </w:t>
      </w:r>
      <w:r w:rsidRPr="00E91386">
        <w:rPr>
          <w:rFonts w:ascii="Times New Roman" w:hAnsi="Times New Roman" w:cs="Times New Roman"/>
          <w:sz w:val="22"/>
          <w:szCs w:val="26"/>
        </w:rPr>
        <w:t>(Kumar, 2006)</w:t>
      </w:r>
      <w:r>
        <w:rPr>
          <w:rFonts w:ascii="Times New Roman" w:hAnsi="Times New Roman" w:cs="Times New Roman"/>
          <w:sz w:val="22"/>
          <w:szCs w:val="26"/>
        </w:rPr>
        <w:t>. However, the impact is relatively small. Based on the results, an increase in a company’s debt to equity ratio of 1 (i.e. going from 2 to 3), will on average cause the dividend pay-out ratio to only fall by 0.006. This could potentially be due to the fact that South African companies are generally profitable and, as such, have no problems with meeting their interest commitments. This will mean that they will not have to sacrifice dividend payments much in order to meet increased interest commitments from higher debt levels.</w:t>
      </w:r>
    </w:p>
    <w:p w14:paraId="45154C92" w14:textId="77777777" w:rsidR="0044220A" w:rsidRPr="00507D0D" w:rsidRDefault="00766427" w:rsidP="00536234">
      <w:pPr>
        <w:pStyle w:val="Heading3"/>
        <w:ind w:left="0"/>
        <w:rPr>
          <w:rFonts w:ascii="Times New Roman" w:hAnsi="Times New Roman" w:cs="Times New Roman"/>
          <w:i/>
          <w:color w:val="auto"/>
          <w:sz w:val="22"/>
        </w:rPr>
      </w:pPr>
      <w:bookmarkStart w:id="60" w:name="_Toc506717805"/>
      <w:r>
        <w:rPr>
          <w:rFonts w:ascii="Times New Roman" w:hAnsi="Times New Roman" w:cs="Times New Roman"/>
          <w:i/>
          <w:color w:val="auto"/>
          <w:sz w:val="22"/>
        </w:rPr>
        <w:lastRenderedPageBreak/>
        <w:t>4.3.4</w:t>
      </w:r>
      <w:r>
        <w:rPr>
          <w:rFonts w:ascii="Times New Roman" w:hAnsi="Times New Roman" w:cs="Times New Roman"/>
          <w:i/>
          <w:color w:val="auto"/>
          <w:sz w:val="22"/>
        </w:rPr>
        <w:tab/>
      </w:r>
      <w:r w:rsidR="0044220A" w:rsidRPr="00507D0D">
        <w:rPr>
          <w:rFonts w:ascii="Times New Roman" w:hAnsi="Times New Roman" w:cs="Times New Roman"/>
          <w:i/>
          <w:color w:val="auto"/>
          <w:sz w:val="22"/>
        </w:rPr>
        <w:t>Growth</w:t>
      </w:r>
      <w:bookmarkEnd w:id="60"/>
      <w:r w:rsidR="0044220A" w:rsidRPr="00507D0D">
        <w:rPr>
          <w:rFonts w:ascii="Times New Roman" w:hAnsi="Times New Roman" w:cs="Times New Roman"/>
          <w:i/>
          <w:color w:val="auto"/>
          <w:sz w:val="22"/>
        </w:rPr>
        <w:t xml:space="preserve"> </w:t>
      </w:r>
    </w:p>
    <w:p w14:paraId="26A12B1E" w14:textId="177FA774" w:rsidR="00C71B3F"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Growth, on the other hand, is one of the variables that </w:t>
      </w:r>
      <w:r w:rsidR="00C71B3F">
        <w:rPr>
          <w:rFonts w:ascii="Times New Roman" w:hAnsi="Times New Roman" w:cs="Times New Roman"/>
          <w:sz w:val="22"/>
          <w:szCs w:val="26"/>
        </w:rPr>
        <w:t>has been</w:t>
      </w:r>
      <w:r>
        <w:rPr>
          <w:rFonts w:ascii="Times New Roman" w:hAnsi="Times New Roman" w:cs="Times New Roman"/>
          <w:sz w:val="22"/>
          <w:szCs w:val="26"/>
        </w:rPr>
        <w:t xml:space="preserve"> found to be inconsistent with prior literature. Prior literature found there to be a negative relationship between growth and dividend pay-out (</w:t>
      </w:r>
      <w:r w:rsidRPr="00553602">
        <w:rPr>
          <w:rFonts w:ascii="Times New Roman" w:hAnsi="Times New Roman" w:cs="Times New Roman"/>
          <w:sz w:val="22"/>
          <w:szCs w:val="26"/>
        </w:rPr>
        <w:t>Fama &amp; French, 2002)</w:t>
      </w:r>
      <w:r>
        <w:rPr>
          <w:rFonts w:ascii="Times New Roman" w:hAnsi="Times New Roman" w:cs="Times New Roman"/>
          <w:sz w:val="22"/>
          <w:szCs w:val="26"/>
        </w:rPr>
        <w:t>, whereas the results shown in Table 1</w:t>
      </w:r>
      <w:r w:rsidR="00CD3783">
        <w:rPr>
          <w:rFonts w:ascii="Times New Roman" w:hAnsi="Times New Roman" w:cs="Times New Roman"/>
          <w:sz w:val="22"/>
          <w:szCs w:val="26"/>
        </w:rPr>
        <w:t>2</w:t>
      </w:r>
      <w:r>
        <w:rPr>
          <w:rFonts w:ascii="Times New Roman" w:hAnsi="Times New Roman" w:cs="Times New Roman"/>
          <w:sz w:val="22"/>
          <w:szCs w:val="26"/>
        </w:rPr>
        <w:t xml:space="preserve"> show there to be a positive relationship between these two variables. This is because prior literature has shown that companies with higher growth opportunities, holding everything else constant, will choose to use internal reserves to fund these growth opportunities and</w:t>
      </w:r>
      <w:r w:rsidR="00C71B3F">
        <w:rPr>
          <w:rFonts w:ascii="Times New Roman" w:hAnsi="Times New Roman" w:cs="Times New Roman"/>
          <w:sz w:val="22"/>
          <w:szCs w:val="26"/>
        </w:rPr>
        <w:t>,</w:t>
      </w:r>
      <w:r>
        <w:rPr>
          <w:rFonts w:ascii="Times New Roman" w:hAnsi="Times New Roman" w:cs="Times New Roman"/>
          <w:sz w:val="22"/>
          <w:szCs w:val="26"/>
        </w:rPr>
        <w:t xml:space="preserve"> thus</w:t>
      </w:r>
      <w:r w:rsidR="00C71B3F">
        <w:rPr>
          <w:rFonts w:ascii="Times New Roman" w:hAnsi="Times New Roman" w:cs="Times New Roman"/>
          <w:sz w:val="22"/>
          <w:szCs w:val="26"/>
        </w:rPr>
        <w:t>, will</w:t>
      </w:r>
      <w:r>
        <w:rPr>
          <w:rFonts w:ascii="Times New Roman" w:hAnsi="Times New Roman" w:cs="Times New Roman"/>
          <w:sz w:val="22"/>
          <w:szCs w:val="26"/>
        </w:rPr>
        <w:t xml:space="preserve"> forego dividends </w:t>
      </w:r>
      <w:r w:rsidRPr="005C7036">
        <w:rPr>
          <w:rFonts w:ascii="Times New Roman" w:hAnsi="Times New Roman" w:cs="Times New Roman"/>
          <w:sz w:val="22"/>
          <w:szCs w:val="26"/>
        </w:rPr>
        <w:t>(Miller &amp; Modigliani, 1961)</w:t>
      </w:r>
      <w:r>
        <w:rPr>
          <w:rFonts w:ascii="Times New Roman" w:hAnsi="Times New Roman" w:cs="Times New Roman"/>
          <w:sz w:val="22"/>
          <w:szCs w:val="26"/>
        </w:rPr>
        <w:t>.</w:t>
      </w:r>
    </w:p>
    <w:p w14:paraId="496AC557" w14:textId="0056A141"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 Further, </w:t>
      </w:r>
      <w:r w:rsidR="00C71B3F">
        <w:rPr>
          <w:rFonts w:ascii="Times New Roman" w:hAnsi="Times New Roman" w:cs="Times New Roman"/>
          <w:sz w:val="22"/>
          <w:szCs w:val="26"/>
        </w:rPr>
        <w:t xml:space="preserve">and </w:t>
      </w:r>
      <w:r>
        <w:rPr>
          <w:rFonts w:ascii="Times New Roman" w:hAnsi="Times New Roman" w:cs="Times New Roman"/>
          <w:sz w:val="22"/>
          <w:szCs w:val="26"/>
        </w:rPr>
        <w:t>in analysing the results of this variable</w:t>
      </w:r>
      <w:r w:rsidR="00C71B3F">
        <w:rPr>
          <w:rFonts w:ascii="Times New Roman" w:hAnsi="Times New Roman" w:cs="Times New Roman"/>
          <w:sz w:val="22"/>
          <w:szCs w:val="26"/>
        </w:rPr>
        <w:t>,</w:t>
      </w:r>
      <w:r>
        <w:rPr>
          <w:rFonts w:ascii="Times New Roman" w:hAnsi="Times New Roman" w:cs="Times New Roman"/>
          <w:sz w:val="22"/>
          <w:szCs w:val="26"/>
        </w:rPr>
        <w:t xml:space="preserve"> it can be seen that </w:t>
      </w:r>
      <w:r w:rsidR="00C71B3F">
        <w:rPr>
          <w:rFonts w:ascii="Times New Roman" w:hAnsi="Times New Roman" w:cs="Times New Roman"/>
          <w:sz w:val="22"/>
          <w:szCs w:val="26"/>
        </w:rPr>
        <w:t>g</w:t>
      </w:r>
      <w:r>
        <w:rPr>
          <w:rFonts w:ascii="Times New Roman" w:hAnsi="Times New Roman" w:cs="Times New Roman"/>
          <w:sz w:val="22"/>
          <w:szCs w:val="26"/>
        </w:rPr>
        <w:t xml:space="preserve">rowth and </w:t>
      </w:r>
      <w:r w:rsidR="00C71B3F">
        <w:rPr>
          <w:rFonts w:ascii="Times New Roman" w:hAnsi="Times New Roman" w:cs="Times New Roman"/>
          <w:sz w:val="22"/>
          <w:szCs w:val="26"/>
        </w:rPr>
        <w:t>i</w:t>
      </w:r>
      <w:r>
        <w:rPr>
          <w:rFonts w:ascii="Times New Roman" w:hAnsi="Times New Roman" w:cs="Times New Roman"/>
          <w:sz w:val="22"/>
          <w:szCs w:val="26"/>
        </w:rPr>
        <w:t xml:space="preserve">nvestment </w:t>
      </w:r>
      <w:r w:rsidR="00C71B3F">
        <w:rPr>
          <w:rFonts w:ascii="Times New Roman" w:hAnsi="Times New Roman" w:cs="Times New Roman"/>
          <w:sz w:val="22"/>
          <w:szCs w:val="26"/>
        </w:rPr>
        <w:t>o</w:t>
      </w:r>
      <w:r>
        <w:rPr>
          <w:rFonts w:ascii="Times New Roman" w:hAnsi="Times New Roman" w:cs="Times New Roman"/>
          <w:sz w:val="22"/>
          <w:szCs w:val="26"/>
        </w:rPr>
        <w:t>pportunities are found, for the purpose of this study, to be significant at the 1% level. However, the size of the variable of 0.09 is considered to be small. The size of this variable indicates that a change in growth and investment opportunities for the companies included in the sample do</w:t>
      </w:r>
      <w:r w:rsidR="00C71B3F">
        <w:rPr>
          <w:rFonts w:ascii="Times New Roman" w:hAnsi="Times New Roman" w:cs="Times New Roman"/>
          <w:sz w:val="22"/>
          <w:szCs w:val="26"/>
        </w:rPr>
        <w:t>es</w:t>
      </w:r>
      <w:r>
        <w:rPr>
          <w:rFonts w:ascii="Times New Roman" w:hAnsi="Times New Roman" w:cs="Times New Roman"/>
          <w:sz w:val="22"/>
          <w:szCs w:val="26"/>
        </w:rPr>
        <w:t xml:space="preserve"> not have a major impact o</w:t>
      </w:r>
      <w:r w:rsidR="00C71B3F">
        <w:rPr>
          <w:rFonts w:ascii="Times New Roman" w:hAnsi="Times New Roman" w:cs="Times New Roman"/>
          <w:sz w:val="22"/>
          <w:szCs w:val="26"/>
        </w:rPr>
        <w:t>n</w:t>
      </w:r>
      <w:r>
        <w:rPr>
          <w:rFonts w:ascii="Times New Roman" w:hAnsi="Times New Roman" w:cs="Times New Roman"/>
          <w:sz w:val="22"/>
          <w:szCs w:val="26"/>
        </w:rPr>
        <w:t xml:space="preserve"> dividend pay-out ratios. For example, given a change in the price-to-book ratio from 2 to 3, which is considered large, </w:t>
      </w:r>
      <w:r w:rsidR="00C71B3F">
        <w:rPr>
          <w:rFonts w:ascii="Times New Roman" w:hAnsi="Times New Roman" w:cs="Times New Roman"/>
          <w:sz w:val="22"/>
          <w:szCs w:val="26"/>
        </w:rPr>
        <w:t>relating</w:t>
      </w:r>
      <w:r>
        <w:rPr>
          <w:rFonts w:ascii="Times New Roman" w:hAnsi="Times New Roman" w:cs="Times New Roman"/>
          <w:sz w:val="22"/>
          <w:szCs w:val="26"/>
        </w:rPr>
        <w:t xml:space="preserve"> dividend pay-out ratios would only reduce by 0.09. This effec</w:t>
      </w:r>
      <w:r w:rsidR="00C71B3F">
        <w:rPr>
          <w:rFonts w:ascii="Times New Roman" w:hAnsi="Times New Roman" w:cs="Times New Roman"/>
          <w:sz w:val="22"/>
          <w:szCs w:val="26"/>
        </w:rPr>
        <w:t>t</w:t>
      </w:r>
      <w:r w:rsidR="00594EFB">
        <w:rPr>
          <w:rFonts w:ascii="Times New Roman" w:hAnsi="Times New Roman" w:cs="Times New Roman"/>
          <w:sz w:val="22"/>
          <w:szCs w:val="26"/>
        </w:rPr>
        <w:t xml:space="preserve"> is</w:t>
      </w:r>
      <w:r w:rsidR="00C71B3F">
        <w:rPr>
          <w:rFonts w:ascii="Times New Roman" w:hAnsi="Times New Roman" w:cs="Times New Roman"/>
          <w:sz w:val="22"/>
          <w:szCs w:val="26"/>
        </w:rPr>
        <w:t xml:space="preserve"> also</w:t>
      </w:r>
      <w:r w:rsidR="00594EFB">
        <w:rPr>
          <w:rFonts w:ascii="Times New Roman" w:hAnsi="Times New Roman" w:cs="Times New Roman"/>
          <w:sz w:val="22"/>
          <w:szCs w:val="26"/>
        </w:rPr>
        <w:t xml:space="preserve"> likely the</w:t>
      </w:r>
      <w:r>
        <w:rPr>
          <w:rFonts w:ascii="Times New Roman" w:hAnsi="Times New Roman" w:cs="Times New Roman"/>
          <w:sz w:val="22"/>
          <w:szCs w:val="26"/>
        </w:rPr>
        <w:t xml:space="preserve"> consequence of reverse causation because firms that pay higher dividends are more attractive to investors and will thus trade at a higher premium above their book values (Gordon 1959</w:t>
      </w:r>
      <w:r w:rsidR="00766427">
        <w:rPr>
          <w:rFonts w:ascii="Times New Roman" w:hAnsi="Times New Roman" w:cs="Times New Roman"/>
          <w:sz w:val="22"/>
          <w:szCs w:val="26"/>
        </w:rPr>
        <w:t>;</w:t>
      </w:r>
      <w:r>
        <w:rPr>
          <w:rFonts w:ascii="Times New Roman" w:hAnsi="Times New Roman" w:cs="Times New Roman"/>
          <w:sz w:val="22"/>
          <w:szCs w:val="26"/>
        </w:rPr>
        <w:t xml:space="preserve"> Lintner, </w:t>
      </w:r>
      <w:r w:rsidRPr="009B0FE3">
        <w:rPr>
          <w:rFonts w:ascii="Times New Roman" w:hAnsi="Times New Roman" w:cs="Times New Roman"/>
          <w:sz w:val="22"/>
          <w:szCs w:val="26"/>
        </w:rPr>
        <w:t>1956)</w:t>
      </w:r>
      <w:r>
        <w:rPr>
          <w:rFonts w:ascii="Times New Roman" w:hAnsi="Times New Roman" w:cs="Times New Roman"/>
          <w:sz w:val="22"/>
          <w:szCs w:val="26"/>
        </w:rPr>
        <w:t xml:space="preserve">. </w:t>
      </w:r>
    </w:p>
    <w:p w14:paraId="20217EC9" w14:textId="77777777" w:rsidR="0044220A" w:rsidRPr="00507D0D" w:rsidRDefault="00766427" w:rsidP="00536234">
      <w:pPr>
        <w:pStyle w:val="Heading3"/>
        <w:ind w:left="0"/>
        <w:rPr>
          <w:rFonts w:ascii="Times New Roman" w:hAnsi="Times New Roman" w:cs="Times New Roman"/>
          <w:i/>
          <w:color w:val="auto"/>
          <w:sz w:val="22"/>
        </w:rPr>
      </w:pPr>
      <w:bookmarkStart w:id="61" w:name="_Toc506717806"/>
      <w:r>
        <w:rPr>
          <w:rFonts w:ascii="Times New Roman" w:hAnsi="Times New Roman" w:cs="Times New Roman"/>
          <w:i/>
          <w:color w:val="auto"/>
          <w:sz w:val="22"/>
        </w:rPr>
        <w:t>4.3.5</w:t>
      </w:r>
      <w:r>
        <w:rPr>
          <w:rFonts w:ascii="Times New Roman" w:hAnsi="Times New Roman" w:cs="Times New Roman"/>
          <w:i/>
          <w:color w:val="auto"/>
          <w:sz w:val="22"/>
        </w:rPr>
        <w:tab/>
      </w:r>
      <w:r w:rsidR="0044220A" w:rsidRPr="00507D0D">
        <w:rPr>
          <w:rFonts w:ascii="Times New Roman" w:hAnsi="Times New Roman" w:cs="Times New Roman"/>
          <w:i/>
          <w:color w:val="auto"/>
          <w:sz w:val="22"/>
        </w:rPr>
        <w:t>Liquidity</w:t>
      </w:r>
      <w:bookmarkEnd w:id="61"/>
    </w:p>
    <w:p w14:paraId="4009B93D" w14:textId="14F8D141"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Consistent with prior literature, companies </w:t>
      </w:r>
      <w:r w:rsidR="00C71B3F">
        <w:rPr>
          <w:rFonts w:ascii="Times New Roman" w:hAnsi="Times New Roman" w:cs="Times New Roman"/>
          <w:sz w:val="22"/>
          <w:szCs w:val="26"/>
        </w:rPr>
        <w:t>with</w:t>
      </w:r>
      <w:r>
        <w:rPr>
          <w:rFonts w:ascii="Times New Roman" w:hAnsi="Times New Roman" w:cs="Times New Roman"/>
          <w:sz w:val="22"/>
          <w:szCs w:val="26"/>
        </w:rPr>
        <w:t xml:space="preserve"> higher levels of liquidity were found to pay higher dividends (</w:t>
      </w:r>
      <w:r w:rsidR="00766427">
        <w:rPr>
          <w:rFonts w:ascii="Times New Roman" w:hAnsi="Times New Roman" w:cs="Times New Roman"/>
          <w:sz w:val="22"/>
          <w:szCs w:val="26"/>
        </w:rPr>
        <w:t xml:space="preserve">I. </w:t>
      </w:r>
      <w:r w:rsidRPr="00FE45FF">
        <w:rPr>
          <w:rFonts w:ascii="Times New Roman" w:hAnsi="Times New Roman" w:cs="Times New Roman"/>
          <w:sz w:val="22"/>
          <w:szCs w:val="26"/>
        </w:rPr>
        <w:t>Deniz</w:t>
      </w:r>
      <w:r w:rsidR="00766427">
        <w:rPr>
          <w:rFonts w:ascii="Times New Roman" w:hAnsi="Times New Roman" w:cs="Times New Roman"/>
          <w:sz w:val="22"/>
          <w:szCs w:val="26"/>
        </w:rPr>
        <w:t>,</w:t>
      </w:r>
      <w:r w:rsidRPr="00FE45FF">
        <w:rPr>
          <w:rFonts w:ascii="Times New Roman" w:hAnsi="Times New Roman" w:cs="Times New Roman"/>
          <w:sz w:val="22"/>
          <w:szCs w:val="26"/>
        </w:rPr>
        <w:t xml:space="preserve"> de Paula</w:t>
      </w:r>
      <w:r w:rsidR="00766427">
        <w:rPr>
          <w:rFonts w:ascii="Times New Roman" w:hAnsi="Times New Roman" w:cs="Times New Roman"/>
          <w:sz w:val="22"/>
          <w:szCs w:val="26"/>
        </w:rPr>
        <w:t>,</w:t>
      </w:r>
      <w:r w:rsidRPr="00FE45FF">
        <w:rPr>
          <w:rFonts w:ascii="Times New Roman" w:hAnsi="Times New Roman" w:cs="Times New Roman"/>
          <w:sz w:val="22"/>
          <w:szCs w:val="26"/>
        </w:rPr>
        <w:t xml:space="preserve"> </w:t>
      </w:r>
      <w:r>
        <w:rPr>
          <w:rFonts w:ascii="Times New Roman" w:hAnsi="Times New Roman" w:cs="Times New Roman"/>
          <w:sz w:val="22"/>
          <w:szCs w:val="26"/>
        </w:rPr>
        <w:t>&amp;</w:t>
      </w:r>
      <w:r w:rsidRPr="00FE45FF">
        <w:rPr>
          <w:rFonts w:ascii="Times New Roman" w:hAnsi="Times New Roman" w:cs="Times New Roman"/>
          <w:sz w:val="22"/>
          <w:szCs w:val="26"/>
        </w:rPr>
        <w:t xml:space="preserve"> Pinheiro</w:t>
      </w:r>
      <w:r>
        <w:rPr>
          <w:rFonts w:ascii="Times New Roman" w:hAnsi="Times New Roman" w:cs="Times New Roman"/>
          <w:sz w:val="22"/>
          <w:szCs w:val="26"/>
        </w:rPr>
        <w:t>,</w:t>
      </w:r>
      <w:r w:rsidRPr="00FE45FF">
        <w:rPr>
          <w:rFonts w:ascii="Times New Roman" w:hAnsi="Times New Roman" w:cs="Times New Roman"/>
          <w:sz w:val="22"/>
          <w:szCs w:val="26"/>
        </w:rPr>
        <w:t xml:space="preserve"> 2006</w:t>
      </w:r>
      <w:r>
        <w:rPr>
          <w:rFonts w:ascii="Times New Roman" w:hAnsi="Times New Roman" w:cs="Times New Roman"/>
          <w:sz w:val="22"/>
          <w:szCs w:val="26"/>
        </w:rPr>
        <w:t>). However, the results were not statistically significant. This could potentially be explained by the fact that most South African companies have been known to keep substantial cash reserves on hand</w:t>
      </w:r>
      <w:r w:rsidR="00594EFB">
        <w:rPr>
          <w:rFonts w:ascii="Times New Roman" w:hAnsi="Times New Roman" w:cs="Times New Roman"/>
          <w:sz w:val="22"/>
          <w:szCs w:val="26"/>
        </w:rPr>
        <w:t xml:space="preserve"> (Nyamgero, 2015)</w:t>
      </w:r>
      <w:r>
        <w:rPr>
          <w:rFonts w:ascii="Times New Roman" w:hAnsi="Times New Roman" w:cs="Times New Roman"/>
          <w:sz w:val="22"/>
          <w:szCs w:val="26"/>
        </w:rPr>
        <w:t>. The result of this would mean that a small change in the level of cash kept on hand would not materially</w:t>
      </w:r>
      <w:r w:rsidR="00C71B3F">
        <w:rPr>
          <w:rFonts w:ascii="Times New Roman" w:hAnsi="Times New Roman" w:cs="Times New Roman"/>
          <w:sz w:val="22"/>
          <w:szCs w:val="26"/>
        </w:rPr>
        <w:t xml:space="preserve"> on</w:t>
      </w:r>
      <w:r>
        <w:rPr>
          <w:rFonts w:ascii="Times New Roman" w:hAnsi="Times New Roman" w:cs="Times New Roman"/>
          <w:sz w:val="22"/>
          <w:szCs w:val="26"/>
        </w:rPr>
        <w:t xml:space="preserve"> impact the amount of dividends paid by the</w:t>
      </w:r>
      <w:r w:rsidR="00C71B3F">
        <w:rPr>
          <w:rFonts w:ascii="Times New Roman" w:hAnsi="Times New Roman" w:cs="Times New Roman"/>
          <w:sz w:val="22"/>
          <w:szCs w:val="26"/>
        </w:rPr>
        <w:t>se companies</w:t>
      </w:r>
      <w:r>
        <w:rPr>
          <w:rFonts w:ascii="Times New Roman" w:hAnsi="Times New Roman" w:cs="Times New Roman"/>
          <w:sz w:val="22"/>
          <w:szCs w:val="26"/>
        </w:rPr>
        <w:t>.</w:t>
      </w:r>
    </w:p>
    <w:p w14:paraId="5014394B" w14:textId="77777777" w:rsidR="0044220A" w:rsidRPr="00507D0D" w:rsidRDefault="00766427" w:rsidP="00536234">
      <w:pPr>
        <w:pStyle w:val="Heading3"/>
        <w:ind w:left="0"/>
        <w:rPr>
          <w:rFonts w:ascii="Times New Roman" w:hAnsi="Times New Roman" w:cs="Times New Roman"/>
          <w:i/>
          <w:color w:val="auto"/>
          <w:sz w:val="22"/>
        </w:rPr>
      </w:pPr>
      <w:bookmarkStart w:id="62" w:name="_Toc506717807"/>
      <w:r>
        <w:rPr>
          <w:rFonts w:ascii="Times New Roman" w:hAnsi="Times New Roman" w:cs="Times New Roman"/>
          <w:i/>
          <w:color w:val="auto"/>
          <w:sz w:val="22"/>
        </w:rPr>
        <w:t>4.3.6</w:t>
      </w:r>
      <w:r>
        <w:rPr>
          <w:rFonts w:ascii="Times New Roman" w:hAnsi="Times New Roman" w:cs="Times New Roman"/>
          <w:i/>
          <w:color w:val="auto"/>
          <w:sz w:val="22"/>
        </w:rPr>
        <w:tab/>
      </w:r>
      <w:r w:rsidR="0044220A" w:rsidRPr="00507D0D">
        <w:rPr>
          <w:rFonts w:ascii="Times New Roman" w:hAnsi="Times New Roman" w:cs="Times New Roman"/>
          <w:i/>
          <w:color w:val="auto"/>
          <w:sz w:val="22"/>
        </w:rPr>
        <w:t>Size</w:t>
      </w:r>
      <w:bookmarkEnd w:id="62"/>
    </w:p>
    <w:p w14:paraId="32E6CDCF" w14:textId="5C1B4041" w:rsidR="0044220A" w:rsidRPr="002F2582"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 accordance with existing literature, the results of the model show that larger companies pay more dividends (Fama &amp; French, </w:t>
      </w:r>
      <w:r w:rsidRPr="005330B4">
        <w:rPr>
          <w:rFonts w:ascii="Times New Roman" w:hAnsi="Times New Roman" w:cs="Times New Roman"/>
          <w:sz w:val="22"/>
          <w:szCs w:val="26"/>
        </w:rPr>
        <w:t>2001)</w:t>
      </w:r>
      <w:r>
        <w:rPr>
          <w:rFonts w:ascii="Times New Roman" w:hAnsi="Times New Roman" w:cs="Times New Roman"/>
          <w:sz w:val="22"/>
          <w:szCs w:val="26"/>
        </w:rPr>
        <w:t xml:space="preserve">. However, this relationship was not found to be statistically significant. The reason for this could be because the </w:t>
      </w:r>
      <w:r w:rsidR="00C71B3F">
        <w:rPr>
          <w:rFonts w:ascii="Times New Roman" w:hAnsi="Times New Roman" w:cs="Times New Roman"/>
          <w:sz w:val="22"/>
          <w:szCs w:val="26"/>
        </w:rPr>
        <w:t>s</w:t>
      </w:r>
      <w:r>
        <w:rPr>
          <w:rFonts w:ascii="Times New Roman" w:hAnsi="Times New Roman" w:cs="Times New Roman"/>
          <w:sz w:val="22"/>
          <w:szCs w:val="26"/>
        </w:rPr>
        <w:t xml:space="preserve">ize variable has been used as a proxy for the </w:t>
      </w:r>
      <w:r>
        <w:rPr>
          <w:rFonts w:ascii="Times New Roman" w:hAnsi="Times New Roman" w:cs="Times New Roman"/>
          <w:sz w:val="22"/>
          <w:szCs w:val="26"/>
        </w:rPr>
        <w:lastRenderedPageBreak/>
        <w:t>maturity and life cycle of a particular company. This would mean that during the growth phase of the life cycle it would be expected that less dividends would be paid out by that particular company. However, in the mature phase it would be expected that companies would pay a substantial amount of dividends. In considering this it is important to highlight that the sample used to conduct the study consists of the top 100 companies listed on the JSE. These top companies are all large in size. This would mean that they would all be in a similar stage of their life cycle and there would be no resulting variation from this factor. This lack of variation in the data makes the variable a less powerful explainer for the purpose of this particular study.</w:t>
      </w:r>
    </w:p>
    <w:p w14:paraId="5B7256B0" w14:textId="77777777" w:rsidR="0044220A" w:rsidRDefault="00766427" w:rsidP="00536234">
      <w:pPr>
        <w:pStyle w:val="Heading3"/>
        <w:ind w:left="0"/>
        <w:rPr>
          <w:rFonts w:ascii="Times New Roman" w:hAnsi="Times New Roman" w:cs="Times New Roman"/>
          <w:i/>
          <w:color w:val="auto"/>
          <w:sz w:val="22"/>
        </w:rPr>
      </w:pPr>
      <w:bookmarkStart w:id="63" w:name="_Toc506717808"/>
      <w:r>
        <w:rPr>
          <w:rFonts w:ascii="Times New Roman" w:hAnsi="Times New Roman" w:cs="Times New Roman"/>
          <w:i/>
          <w:color w:val="auto"/>
          <w:sz w:val="22"/>
        </w:rPr>
        <w:t>4.3.7</w:t>
      </w:r>
      <w:r>
        <w:rPr>
          <w:rFonts w:ascii="Times New Roman" w:hAnsi="Times New Roman" w:cs="Times New Roman"/>
          <w:i/>
          <w:color w:val="auto"/>
          <w:sz w:val="22"/>
        </w:rPr>
        <w:tab/>
      </w:r>
      <w:r w:rsidR="0044220A" w:rsidRPr="00507D0D">
        <w:rPr>
          <w:rFonts w:ascii="Times New Roman" w:hAnsi="Times New Roman" w:cs="Times New Roman"/>
          <w:i/>
          <w:color w:val="auto"/>
          <w:sz w:val="22"/>
        </w:rPr>
        <w:t>Sector</w:t>
      </w:r>
      <w:bookmarkEnd w:id="63"/>
    </w:p>
    <w:p w14:paraId="4C748BA2" w14:textId="5246BE5C" w:rsidR="00A552BB" w:rsidRPr="00A552BB" w:rsidRDefault="00A552BB" w:rsidP="00536234">
      <w:pPr>
        <w:spacing w:line="480" w:lineRule="auto"/>
        <w:ind w:left="0"/>
        <w:rPr>
          <w:rFonts w:ascii="Times New Roman" w:hAnsi="Times New Roman" w:cs="Times New Roman"/>
          <w:sz w:val="22"/>
        </w:rPr>
      </w:pPr>
      <w:r>
        <w:rPr>
          <w:rFonts w:ascii="Times New Roman" w:hAnsi="Times New Roman" w:cs="Times New Roman"/>
          <w:sz w:val="22"/>
        </w:rPr>
        <w:t xml:space="preserve">The results from the above table show Sector coefficients for seven sectors while the initial data included data for eight separate sectors. This is because one sector needed to be dropped for comparison purposes. The Stata programme selected </w:t>
      </w:r>
      <w:r w:rsidR="00C71B3F">
        <w:rPr>
          <w:rFonts w:ascii="Times New Roman" w:hAnsi="Times New Roman" w:cs="Times New Roman"/>
          <w:sz w:val="22"/>
        </w:rPr>
        <w:t>s</w:t>
      </w:r>
      <w:r>
        <w:rPr>
          <w:rFonts w:ascii="Times New Roman" w:hAnsi="Times New Roman" w:cs="Times New Roman"/>
          <w:sz w:val="22"/>
        </w:rPr>
        <w:t xml:space="preserve">ector </w:t>
      </w:r>
      <w:r w:rsidR="00C71B3F">
        <w:rPr>
          <w:rFonts w:ascii="Times New Roman" w:hAnsi="Times New Roman" w:cs="Times New Roman"/>
          <w:sz w:val="22"/>
        </w:rPr>
        <w:t>(</w:t>
      </w:r>
      <w:r>
        <w:rPr>
          <w:rFonts w:ascii="Times New Roman" w:hAnsi="Times New Roman" w:cs="Times New Roman"/>
          <w:sz w:val="22"/>
        </w:rPr>
        <w:t>8</w:t>
      </w:r>
      <w:r w:rsidR="00C71B3F">
        <w:rPr>
          <w:rFonts w:ascii="Times New Roman" w:hAnsi="Times New Roman" w:cs="Times New Roman"/>
          <w:sz w:val="22"/>
        </w:rPr>
        <w:t>)</w:t>
      </w:r>
      <w:r>
        <w:rPr>
          <w:rFonts w:ascii="Times New Roman" w:hAnsi="Times New Roman" w:cs="Times New Roman"/>
          <w:sz w:val="22"/>
        </w:rPr>
        <w:t xml:space="preserve"> to be dropped as it was found to be the sector that, once dropped, would provide the most significant comparative results between itself and the other seven sectors included in the study.</w:t>
      </w:r>
    </w:p>
    <w:p w14:paraId="2E1D9CB2" w14:textId="7EA4970D"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Consistent with prior research findings, industry sectors have been found to have a significant influence on the dividend payment made by companies </w:t>
      </w:r>
      <w:r w:rsidRPr="0001379A">
        <w:rPr>
          <w:rFonts w:ascii="Times New Roman" w:hAnsi="Times New Roman" w:cs="Times New Roman"/>
          <w:sz w:val="22"/>
          <w:szCs w:val="26"/>
        </w:rPr>
        <w:t>(Thanatawee, 2014)</w:t>
      </w:r>
      <w:r>
        <w:rPr>
          <w:rFonts w:ascii="Times New Roman" w:hAnsi="Times New Roman" w:cs="Times New Roman"/>
          <w:sz w:val="22"/>
          <w:szCs w:val="26"/>
        </w:rPr>
        <w:t>. As per the results of the research shown in Table 1</w:t>
      </w:r>
      <w:r w:rsidR="00CD3783">
        <w:rPr>
          <w:rFonts w:ascii="Times New Roman" w:hAnsi="Times New Roman" w:cs="Times New Roman"/>
          <w:sz w:val="22"/>
          <w:szCs w:val="26"/>
        </w:rPr>
        <w:t>2</w:t>
      </w:r>
      <w:r>
        <w:rPr>
          <w:rFonts w:ascii="Times New Roman" w:hAnsi="Times New Roman" w:cs="Times New Roman"/>
          <w:sz w:val="22"/>
          <w:szCs w:val="26"/>
        </w:rPr>
        <w:t xml:space="preserve">, all sector dummy variables have been shown to contribute significantly and at least at the 5% level to the payment of dividends. Sector </w:t>
      </w:r>
      <w:r w:rsidR="00A04D1A">
        <w:rPr>
          <w:rFonts w:ascii="Times New Roman" w:hAnsi="Times New Roman" w:cs="Times New Roman"/>
          <w:sz w:val="22"/>
          <w:szCs w:val="26"/>
        </w:rPr>
        <w:t>(</w:t>
      </w:r>
      <w:r>
        <w:rPr>
          <w:rFonts w:ascii="Times New Roman" w:hAnsi="Times New Roman" w:cs="Times New Roman"/>
          <w:sz w:val="22"/>
          <w:szCs w:val="26"/>
        </w:rPr>
        <w:t>1</w:t>
      </w:r>
      <w:r w:rsidR="00A04D1A">
        <w:rPr>
          <w:rFonts w:ascii="Times New Roman" w:hAnsi="Times New Roman" w:cs="Times New Roman"/>
          <w:sz w:val="22"/>
          <w:szCs w:val="26"/>
        </w:rPr>
        <w:t>)</w:t>
      </w:r>
      <w:r>
        <w:rPr>
          <w:rFonts w:ascii="Times New Roman" w:hAnsi="Times New Roman" w:cs="Times New Roman"/>
          <w:sz w:val="22"/>
          <w:szCs w:val="26"/>
        </w:rPr>
        <w:t xml:space="preserve"> appears to contribute the lowest amount to an increasing dividend pay-out ratio</w:t>
      </w:r>
      <w:r w:rsidR="00C71B3F">
        <w:rPr>
          <w:rFonts w:ascii="Times New Roman" w:hAnsi="Times New Roman" w:cs="Times New Roman"/>
          <w:sz w:val="22"/>
          <w:szCs w:val="26"/>
        </w:rPr>
        <w:t>,</w:t>
      </w:r>
      <w:r>
        <w:rPr>
          <w:rFonts w:ascii="Times New Roman" w:hAnsi="Times New Roman" w:cs="Times New Roman"/>
          <w:sz w:val="22"/>
          <w:szCs w:val="26"/>
        </w:rPr>
        <w:t xml:space="preserve"> while </w:t>
      </w:r>
      <w:r w:rsidR="00C71B3F">
        <w:rPr>
          <w:rFonts w:ascii="Times New Roman" w:hAnsi="Times New Roman" w:cs="Times New Roman"/>
          <w:sz w:val="22"/>
          <w:szCs w:val="26"/>
        </w:rPr>
        <w:t>s</w:t>
      </w:r>
      <w:r>
        <w:rPr>
          <w:rFonts w:ascii="Times New Roman" w:hAnsi="Times New Roman" w:cs="Times New Roman"/>
          <w:sz w:val="22"/>
          <w:szCs w:val="26"/>
        </w:rPr>
        <w:t xml:space="preserve">ector </w:t>
      </w:r>
      <w:r w:rsidR="00A04D1A">
        <w:rPr>
          <w:rFonts w:ascii="Times New Roman" w:hAnsi="Times New Roman" w:cs="Times New Roman"/>
          <w:sz w:val="22"/>
          <w:szCs w:val="26"/>
        </w:rPr>
        <w:t>(</w:t>
      </w:r>
      <w:r>
        <w:rPr>
          <w:rFonts w:ascii="Times New Roman" w:hAnsi="Times New Roman" w:cs="Times New Roman"/>
          <w:sz w:val="22"/>
          <w:szCs w:val="26"/>
        </w:rPr>
        <w:t>3</w:t>
      </w:r>
      <w:r w:rsidR="00A04D1A">
        <w:rPr>
          <w:rFonts w:ascii="Times New Roman" w:hAnsi="Times New Roman" w:cs="Times New Roman"/>
          <w:sz w:val="22"/>
          <w:szCs w:val="26"/>
        </w:rPr>
        <w:t>)</w:t>
      </w:r>
      <w:r>
        <w:rPr>
          <w:rFonts w:ascii="Times New Roman" w:hAnsi="Times New Roman" w:cs="Times New Roman"/>
          <w:sz w:val="22"/>
          <w:szCs w:val="26"/>
        </w:rPr>
        <w:t xml:space="preserve"> appears to contribute the highest amount. This is understandable as companies operating within a particular sector of the JSE tend to herd together and move in line with their competitors (Bikhchandi &amp; Sharma</w:t>
      </w:r>
      <w:r w:rsidRPr="00F5180B">
        <w:rPr>
          <w:rFonts w:ascii="Times New Roman" w:hAnsi="Times New Roman" w:cs="Times New Roman"/>
          <w:sz w:val="22"/>
          <w:szCs w:val="26"/>
        </w:rPr>
        <w:t>, 2001</w:t>
      </w:r>
      <w:r>
        <w:rPr>
          <w:rFonts w:ascii="Times New Roman" w:hAnsi="Times New Roman" w:cs="Times New Roman"/>
          <w:sz w:val="22"/>
          <w:szCs w:val="26"/>
        </w:rPr>
        <w:t xml:space="preserve">).  </w:t>
      </w:r>
    </w:p>
    <w:p w14:paraId="41112025" w14:textId="77777777" w:rsidR="0044220A" w:rsidRPr="00507D0D" w:rsidRDefault="00766427" w:rsidP="00536234">
      <w:pPr>
        <w:pStyle w:val="Heading3"/>
        <w:ind w:left="0"/>
        <w:rPr>
          <w:rFonts w:ascii="Times New Roman" w:hAnsi="Times New Roman" w:cs="Times New Roman"/>
          <w:i/>
          <w:color w:val="auto"/>
          <w:sz w:val="22"/>
        </w:rPr>
      </w:pPr>
      <w:bookmarkStart w:id="64" w:name="_Toc506717809"/>
      <w:r>
        <w:rPr>
          <w:rFonts w:ascii="Times New Roman" w:hAnsi="Times New Roman" w:cs="Times New Roman"/>
          <w:i/>
          <w:color w:val="auto"/>
          <w:sz w:val="22"/>
        </w:rPr>
        <w:t>4.3.8</w:t>
      </w:r>
      <w:r>
        <w:rPr>
          <w:rFonts w:ascii="Times New Roman" w:hAnsi="Times New Roman" w:cs="Times New Roman"/>
          <w:i/>
          <w:color w:val="auto"/>
          <w:sz w:val="22"/>
        </w:rPr>
        <w:tab/>
      </w:r>
      <w:r w:rsidR="0044220A" w:rsidRPr="00507D0D">
        <w:rPr>
          <w:rFonts w:ascii="Times New Roman" w:hAnsi="Times New Roman" w:cs="Times New Roman"/>
          <w:i/>
          <w:color w:val="auto"/>
          <w:sz w:val="22"/>
        </w:rPr>
        <w:t>Conclusion</w:t>
      </w:r>
      <w:bookmarkEnd w:id="64"/>
    </w:p>
    <w:p w14:paraId="490B1038" w14:textId="77777777"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 conclusion, it can be said that the research conducted found BBBEE deals to cause an overall increase in the dividend pay-out ratio of companies. The quality of the results can be justified by the Prob&gt;F of 0.000  obtained from the </w:t>
      </w:r>
      <w:r w:rsidR="00AD7E28">
        <w:rPr>
          <w:rFonts w:ascii="Times New Roman" w:hAnsi="Times New Roman" w:cs="Times New Roman"/>
          <w:sz w:val="22"/>
          <w:szCs w:val="26"/>
        </w:rPr>
        <w:t>FE</w:t>
      </w:r>
      <w:r>
        <w:rPr>
          <w:rFonts w:ascii="Times New Roman" w:hAnsi="Times New Roman" w:cs="Times New Roman"/>
          <w:sz w:val="22"/>
          <w:szCs w:val="26"/>
        </w:rPr>
        <w:t xml:space="preserve">BXTGLS_D model, together with the reasonableness of the results seen from the control variables used in the study. Therefore, it can be said that the results obtained provide a high level of confidence in support of the purpose of the study, which was to show that companies’ </w:t>
      </w:r>
      <w:r>
        <w:rPr>
          <w:rFonts w:ascii="Times New Roman" w:hAnsi="Times New Roman" w:cs="Times New Roman"/>
          <w:sz w:val="22"/>
          <w:szCs w:val="26"/>
        </w:rPr>
        <w:lastRenderedPageBreak/>
        <w:t>party to BBBEE transactions do in fact pay higher dividends as compared to those companies not party to this same transaction.</w:t>
      </w:r>
    </w:p>
    <w:p w14:paraId="487A19F2" w14:textId="77777777" w:rsidR="0044220A" w:rsidRPr="00507D0D" w:rsidRDefault="0044220A" w:rsidP="00536234">
      <w:pPr>
        <w:pStyle w:val="Heading2"/>
        <w:ind w:left="0"/>
        <w:rPr>
          <w:rFonts w:ascii="Times New Roman" w:hAnsi="Times New Roman" w:cs="Times New Roman"/>
          <w:b/>
          <w:color w:val="auto"/>
          <w:sz w:val="24"/>
        </w:rPr>
      </w:pPr>
      <w:bookmarkStart w:id="65" w:name="_Toc506717810"/>
      <w:r w:rsidRPr="00507D0D">
        <w:rPr>
          <w:rFonts w:ascii="Times New Roman" w:hAnsi="Times New Roman" w:cs="Times New Roman"/>
          <w:b/>
          <w:color w:val="auto"/>
          <w:sz w:val="24"/>
        </w:rPr>
        <w:t>4.4 Robustness</w:t>
      </w:r>
      <w:bookmarkEnd w:id="65"/>
    </w:p>
    <w:p w14:paraId="0F423E72" w14:textId="03F2ABF0" w:rsidR="004C7C28" w:rsidRDefault="00F16588"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B</w:t>
      </w:r>
      <w:r w:rsidR="00327506">
        <w:rPr>
          <w:rFonts w:ascii="Times New Roman" w:hAnsi="Times New Roman" w:cs="Times New Roman"/>
          <w:sz w:val="22"/>
          <w:szCs w:val="26"/>
        </w:rPr>
        <w:t>efore the</w:t>
      </w:r>
      <w:r w:rsidR="004C7C28">
        <w:rPr>
          <w:rFonts w:ascii="Times New Roman" w:hAnsi="Times New Roman" w:cs="Times New Roman"/>
          <w:sz w:val="22"/>
          <w:szCs w:val="26"/>
        </w:rPr>
        <w:t xml:space="preserve"> robustness checks considered </w:t>
      </w:r>
      <w:r w:rsidR="00327506">
        <w:rPr>
          <w:rFonts w:ascii="Times New Roman" w:hAnsi="Times New Roman" w:cs="Times New Roman"/>
          <w:sz w:val="22"/>
          <w:szCs w:val="26"/>
        </w:rPr>
        <w:t>for</w:t>
      </w:r>
      <w:r w:rsidR="004C7C28">
        <w:rPr>
          <w:rFonts w:ascii="Times New Roman" w:hAnsi="Times New Roman" w:cs="Times New Roman"/>
          <w:sz w:val="22"/>
          <w:szCs w:val="26"/>
        </w:rPr>
        <w:t xml:space="preserve"> this section are performed, it is important to </w:t>
      </w:r>
      <w:r>
        <w:rPr>
          <w:rFonts w:ascii="Times New Roman" w:hAnsi="Times New Roman" w:cs="Times New Roman"/>
          <w:sz w:val="22"/>
          <w:szCs w:val="26"/>
        </w:rPr>
        <w:t xml:space="preserve">provide a </w:t>
      </w:r>
      <w:r w:rsidR="00327506">
        <w:rPr>
          <w:rFonts w:ascii="Times New Roman" w:hAnsi="Times New Roman" w:cs="Times New Roman"/>
          <w:sz w:val="22"/>
          <w:szCs w:val="26"/>
        </w:rPr>
        <w:t xml:space="preserve">reminder of </w:t>
      </w:r>
      <w:r w:rsidR="004C7C28">
        <w:rPr>
          <w:rFonts w:ascii="Times New Roman" w:hAnsi="Times New Roman" w:cs="Times New Roman"/>
          <w:sz w:val="22"/>
          <w:szCs w:val="26"/>
        </w:rPr>
        <w:t xml:space="preserve">the diagnostic tests </w:t>
      </w:r>
      <w:r w:rsidR="00E76D86">
        <w:rPr>
          <w:rFonts w:ascii="Times New Roman" w:hAnsi="Times New Roman" w:cs="Times New Roman"/>
          <w:sz w:val="22"/>
          <w:szCs w:val="26"/>
        </w:rPr>
        <w:t>conducted</w:t>
      </w:r>
      <w:r w:rsidR="004C7C28">
        <w:rPr>
          <w:rFonts w:ascii="Times New Roman" w:hAnsi="Times New Roman" w:cs="Times New Roman"/>
          <w:sz w:val="22"/>
          <w:szCs w:val="26"/>
        </w:rPr>
        <w:t xml:space="preserve"> in the previous section of this Chapter. This is because those diagnostics performed</w:t>
      </w:r>
      <w:r w:rsidR="00327506">
        <w:rPr>
          <w:rFonts w:ascii="Times New Roman" w:hAnsi="Times New Roman" w:cs="Times New Roman"/>
          <w:sz w:val="22"/>
          <w:szCs w:val="26"/>
        </w:rPr>
        <w:t xml:space="preserve"> have</w:t>
      </w:r>
      <w:r w:rsidR="004C7C28">
        <w:rPr>
          <w:rFonts w:ascii="Times New Roman" w:hAnsi="Times New Roman" w:cs="Times New Roman"/>
          <w:sz w:val="22"/>
          <w:szCs w:val="26"/>
        </w:rPr>
        <w:t xml:space="preserve"> also </w:t>
      </w:r>
      <w:r>
        <w:rPr>
          <w:rFonts w:ascii="Times New Roman" w:hAnsi="Times New Roman" w:cs="Times New Roman"/>
          <w:sz w:val="22"/>
          <w:szCs w:val="26"/>
        </w:rPr>
        <w:t>played a role in</w:t>
      </w:r>
      <w:r w:rsidR="004C7C28">
        <w:rPr>
          <w:rFonts w:ascii="Times New Roman" w:hAnsi="Times New Roman" w:cs="Times New Roman"/>
          <w:sz w:val="22"/>
          <w:szCs w:val="26"/>
        </w:rPr>
        <w:t xml:space="preserve"> </w:t>
      </w:r>
      <w:r w:rsidR="00327506">
        <w:rPr>
          <w:rFonts w:ascii="Times New Roman" w:hAnsi="Times New Roman" w:cs="Times New Roman"/>
          <w:sz w:val="22"/>
          <w:szCs w:val="26"/>
        </w:rPr>
        <w:t>confirm</w:t>
      </w:r>
      <w:r>
        <w:rPr>
          <w:rFonts w:ascii="Times New Roman" w:hAnsi="Times New Roman" w:cs="Times New Roman"/>
          <w:sz w:val="22"/>
          <w:szCs w:val="26"/>
        </w:rPr>
        <w:t>ing</w:t>
      </w:r>
      <w:r w:rsidR="00327506">
        <w:rPr>
          <w:rFonts w:ascii="Times New Roman" w:hAnsi="Times New Roman" w:cs="Times New Roman"/>
          <w:sz w:val="22"/>
          <w:szCs w:val="26"/>
        </w:rPr>
        <w:t xml:space="preserve"> the robustness of the results provided, and ensur</w:t>
      </w:r>
      <w:r w:rsidR="00C71B3F">
        <w:rPr>
          <w:rFonts w:ascii="Times New Roman" w:hAnsi="Times New Roman" w:cs="Times New Roman"/>
          <w:sz w:val="22"/>
          <w:szCs w:val="26"/>
        </w:rPr>
        <w:t>ing</w:t>
      </w:r>
      <w:r w:rsidR="00327506">
        <w:rPr>
          <w:rFonts w:ascii="Times New Roman" w:hAnsi="Times New Roman" w:cs="Times New Roman"/>
          <w:sz w:val="22"/>
          <w:szCs w:val="26"/>
        </w:rPr>
        <w:t xml:space="preserve"> validity of the findings reported. Based on the outcomes of those diagnostic tests conducted, a good degree of confidence</w:t>
      </w:r>
      <w:r w:rsidR="00E76D86">
        <w:rPr>
          <w:rFonts w:ascii="Times New Roman" w:hAnsi="Times New Roman" w:cs="Times New Roman"/>
          <w:sz w:val="22"/>
          <w:szCs w:val="26"/>
        </w:rPr>
        <w:t xml:space="preserve"> already</w:t>
      </w:r>
      <w:r w:rsidR="00327506">
        <w:rPr>
          <w:rFonts w:ascii="Times New Roman" w:hAnsi="Times New Roman" w:cs="Times New Roman"/>
          <w:sz w:val="22"/>
          <w:szCs w:val="26"/>
        </w:rPr>
        <w:t xml:space="preserve"> exists regarding the results obtained</w:t>
      </w:r>
      <w:r w:rsidR="00DE52DA">
        <w:rPr>
          <w:rFonts w:ascii="Times New Roman" w:hAnsi="Times New Roman" w:cs="Times New Roman"/>
          <w:sz w:val="22"/>
          <w:szCs w:val="26"/>
        </w:rPr>
        <w:t>.</w:t>
      </w:r>
      <w:r w:rsidR="00C71B3F">
        <w:rPr>
          <w:rFonts w:ascii="Times New Roman" w:hAnsi="Times New Roman" w:cs="Times New Roman"/>
          <w:sz w:val="22"/>
          <w:szCs w:val="26"/>
        </w:rPr>
        <w:t xml:space="preserve"> However, for</w:t>
      </w:r>
      <w:r w:rsidR="00F67AE7">
        <w:rPr>
          <w:rFonts w:ascii="Times New Roman" w:hAnsi="Times New Roman" w:cs="Times New Roman"/>
          <w:sz w:val="22"/>
          <w:szCs w:val="26"/>
        </w:rPr>
        <w:t xml:space="preserve"> completeness</w:t>
      </w:r>
      <w:r w:rsidR="00C71B3F">
        <w:rPr>
          <w:rFonts w:ascii="Times New Roman" w:hAnsi="Times New Roman" w:cs="Times New Roman"/>
          <w:sz w:val="22"/>
          <w:szCs w:val="26"/>
        </w:rPr>
        <w:t xml:space="preserve"> purposes,</w:t>
      </w:r>
      <w:r w:rsidR="00F67AE7">
        <w:rPr>
          <w:rFonts w:ascii="Times New Roman" w:hAnsi="Times New Roman" w:cs="Times New Roman"/>
          <w:sz w:val="22"/>
          <w:szCs w:val="26"/>
        </w:rPr>
        <w:t xml:space="preserve"> </w:t>
      </w:r>
      <w:r w:rsidR="00C71B3F">
        <w:rPr>
          <w:rFonts w:ascii="Times New Roman" w:hAnsi="Times New Roman" w:cs="Times New Roman"/>
          <w:sz w:val="22"/>
          <w:szCs w:val="26"/>
        </w:rPr>
        <w:t>additional</w:t>
      </w:r>
      <w:r w:rsidR="00F67AE7">
        <w:rPr>
          <w:rFonts w:ascii="Times New Roman" w:hAnsi="Times New Roman" w:cs="Times New Roman"/>
          <w:sz w:val="22"/>
          <w:szCs w:val="26"/>
        </w:rPr>
        <w:t xml:space="preserve"> test were carried out to </w:t>
      </w:r>
      <w:r w:rsidR="00C71B3F">
        <w:rPr>
          <w:rFonts w:ascii="Times New Roman" w:hAnsi="Times New Roman" w:cs="Times New Roman"/>
          <w:sz w:val="22"/>
          <w:szCs w:val="26"/>
        </w:rPr>
        <w:t>further confirm</w:t>
      </w:r>
      <w:r w:rsidR="00F67AE7">
        <w:rPr>
          <w:rFonts w:ascii="Times New Roman" w:hAnsi="Times New Roman" w:cs="Times New Roman"/>
          <w:sz w:val="22"/>
          <w:szCs w:val="26"/>
        </w:rPr>
        <w:t xml:space="preserve"> the validity of results.</w:t>
      </w:r>
    </w:p>
    <w:p w14:paraId="127182B4" w14:textId="52BD5AFA" w:rsidR="0044220A" w:rsidRDefault="00BB0ACD"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w:t>
      </w:r>
      <w:r w:rsidR="00F67AE7">
        <w:rPr>
          <w:rFonts w:ascii="Times New Roman" w:hAnsi="Times New Roman" w:cs="Times New Roman"/>
          <w:sz w:val="22"/>
          <w:szCs w:val="26"/>
        </w:rPr>
        <w:t xml:space="preserve">first </w:t>
      </w:r>
      <w:r w:rsidR="0044220A">
        <w:rPr>
          <w:rFonts w:ascii="Times New Roman" w:hAnsi="Times New Roman" w:cs="Times New Roman"/>
          <w:sz w:val="22"/>
          <w:szCs w:val="26"/>
        </w:rPr>
        <w:t xml:space="preserve">robustness test </w:t>
      </w:r>
      <w:r w:rsidR="00C71B3F">
        <w:rPr>
          <w:rFonts w:ascii="Times New Roman" w:hAnsi="Times New Roman" w:cs="Times New Roman"/>
          <w:sz w:val="22"/>
          <w:szCs w:val="26"/>
        </w:rPr>
        <w:t>has</w:t>
      </w:r>
      <w:r w:rsidR="0044220A">
        <w:rPr>
          <w:rFonts w:ascii="Times New Roman" w:hAnsi="Times New Roman" w:cs="Times New Roman"/>
          <w:sz w:val="22"/>
          <w:szCs w:val="26"/>
        </w:rPr>
        <w:t xml:space="preserve"> look</w:t>
      </w:r>
      <w:r w:rsidR="00C71B3F">
        <w:rPr>
          <w:rFonts w:ascii="Times New Roman" w:hAnsi="Times New Roman" w:cs="Times New Roman"/>
          <w:sz w:val="22"/>
          <w:szCs w:val="26"/>
        </w:rPr>
        <w:t>ed</w:t>
      </w:r>
      <w:r w:rsidR="0044220A">
        <w:rPr>
          <w:rFonts w:ascii="Times New Roman" w:hAnsi="Times New Roman" w:cs="Times New Roman"/>
          <w:sz w:val="22"/>
          <w:szCs w:val="26"/>
        </w:rPr>
        <w:t xml:space="preserve"> at the effect of a change in time period o</w:t>
      </w:r>
      <w:r w:rsidR="00C71B3F">
        <w:rPr>
          <w:rFonts w:ascii="Times New Roman" w:hAnsi="Times New Roman" w:cs="Times New Roman"/>
          <w:sz w:val="22"/>
          <w:szCs w:val="26"/>
        </w:rPr>
        <w:t>n</w:t>
      </w:r>
      <w:r w:rsidR="0044220A">
        <w:rPr>
          <w:rFonts w:ascii="Times New Roman" w:hAnsi="Times New Roman" w:cs="Times New Roman"/>
          <w:sz w:val="22"/>
          <w:szCs w:val="26"/>
        </w:rPr>
        <w:t xml:space="preserve"> results. In order to perform this test, the original period used in the study has been reduced to show only the last four years of the original time period. Therefore, data from the year’s 1999 to 2002 were removed. This left only year’s 2003 to 2006 (years post the introduction of the Broad-Based Black Economic Empowerment Act of 2003, when the number of deals began to increase significantly). The results from this test have been shown in </w:t>
      </w:r>
      <w:r w:rsidR="006860E7">
        <w:rPr>
          <w:rFonts w:ascii="Times New Roman" w:hAnsi="Times New Roman" w:cs="Times New Roman"/>
          <w:sz w:val="22"/>
          <w:szCs w:val="26"/>
        </w:rPr>
        <w:t>Figure K</w:t>
      </w:r>
      <w:r w:rsidR="0044220A">
        <w:rPr>
          <w:rFonts w:ascii="Times New Roman" w:hAnsi="Times New Roman" w:cs="Times New Roman"/>
          <w:sz w:val="22"/>
          <w:szCs w:val="26"/>
        </w:rPr>
        <w:t xml:space="preserve"> of Appendix A</w:t>
      </w:r>
      <w:r w:rsidR="006860E7">
        <w:rPr>
          <w:rFonts w:ascii="Times New Roman" w:hAnsi="Times New Roman" w:cs="Times New Roman"/>
          <w:sz w:val="22"/>
          <w:szCs w:val="26"/>
        </w:rPr>
        <w:t>,</w:t>
      </w:r>
      <w:r w:rsidR="0044220A">
        <w:rPr>
          <w:rFonts w:ascii="Times New Roman" w:hAnsi="Times New Roman" w:cs="Times New Roman"/>
          <w:sz w:val="22"/>
          <w:szCs w:val="26"/>
        </w:rPr>
        <w:t xml:space="preserve"> and are consistent with the results. </w:t>
      </w:r>
    </w:p>
    <w:p w14:paraId="27AFDCFA" w14:textId="5D005857"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This test, once again, highlights that BBBEE deals do in fact cause companies to increase their dividend pay-out ratios. Results from this analysis showed that companies with BBBEE deals in place, on average, </w:t>
      </w:r>
      <w:r w:rsidR="006860E7">
        <w:rPr>
          <w:rFonts w:ascii="Times New Roman" w:hAnsi="Times New Roman" w:cs="Times New Roman"/>
          <w:sz w:val="22"/>
          <w:szCs w:val="26"/>
        </w:rPr>
        <w:t>wer</w:t>
      </w:r>
      <w:r>
        <w:rPr>
          <w:rFonts w:ascii="Times New Roman" w:hAnsi="Times New Roman" w:cs="Times New Roman"/>
          <w:sz w:val="22"/>
          <w:szCs w:val="26"/>
        </w:rPr>
        <w:t>e found to have</w:t>
      </w:r>
      <w:r w:rsidR="006860E7">
        <w:rPr>
          <w:rFonts w:ascii="Times New Roman" w:hAnsi="Times New Roman" w:cs="Times New Roman"/>
          <w:sz w:val="22"/>
          <w:szCs w:val="26"/>
        </w:rPr>
        <w:t xml:space="preserve"> a</w:t>
      </w:r>
      <w:r>
        <w:rPr>
          <w:rFonts w:ascii="Times New Roman" w:hAnsi="Times New Roman" w:cs="Times New Roman"/>
          <w:sz w:val="22"/>
          <w:szCs w:val="26"/>
        </w:rPr>
        <w:t xml:space="preserve"> pay-out ratio 0.019 higher than firms without BBBEE deals. While this figure is lower than that reported from the main results, it is still important to note that the trend of an increasing dividend pay-out for companies with BBBEE deals is still evident.</w:t>
      </w:r>
      <w:r w:rsidR="00140B2E" w:rsidRPr="00140B2E">
        <w:rPr>
          <w:rFonts w:ascii="Times New Roman" w:hAnsi="Times New Roman" w:cs="Times New Roman"/>
          <w:sz w:val="22"/>
          <w:szCs w:val="26"/>
        </w:rPr>
        <w:t xml:space="preserve"> </w:t>
      </w:r>
      <w:r w:rsidR="00140B2E">
        <w:rPr>
          <w:rFonts w:ascii="Times New Roman" w:hAnsi="Times New Roman" w:cs="Times New Roman"/>
          <w:sz w:val="22"/>
          <w:szCs w:val="26"/>
        </w:rPr>
        <w:t>Furthermore, it can also be said that the trend of an increased dividend pay-out for companies’ party to a BBBEE transaction ha</w:t>
      </w:r>
      <w:r w:rsidR="006860E7">
        <w:rPr>
          <w:rFonts w:ascii="Times New Roman" w:hAnsi="Times New Roman" w:cs="Times New Roman"/>
          <w:sz w:val="22"/>
          <w:szCs w:val="26"/>
        </w:rPr>
        <w:t>s</w:t>
      </w:r>
      <w:r w:rsidR="00140B2E">
        <w:rPr>
          <w:rFonts w:ascii="Times New Roman" w:hAnsi="Times New Roman" w:cs="Times New Roman"/>
          <w:sz w:val="22"/>
          <w:szCs w:val="26"/>
        </w:rPr>
        <w:t xml:space="preserve"> been shown to be insensitive to time.</w:t>
      </w:r>
    </w:p>
    <w:p w14:paraId="20BD3565" w14:textId="57A9B7C5" w:rsidR="0044220A" w:rsidRPr="00667747"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Moreover, the coefficients of the control variables are also similar. There are three exceptions: the </w:t>
      </w:r>
      <w:r w:rsidR="006860E7">
        <w:rPr>
          <w:rFonts w:ascii="Times New Roman" w:hAnsi="Times New Roman" w:cs="Times New Roman"/>
          <w:sz w:val="22"/>
          <w:szCs w:val="26"/>
        </w:rPr>
        <w:t>l</w:t>
      </w:r>
      <w:r>
        <w:rPr>
          <w:rFonts w:ascii="Times New Roman" w:hAnsi="Times New Roman" w:cs="Times New Roman"/>
          <w:sz w:val="22"/>
          <w:szCs w:val="26"/>
        </w:rPr>
        <w:t xml:space="preserve">iquidity variable as well as two of the </w:t>
      </w:r>
      <w:r w:rsidR="006860E7">
        <w:rPr>
          <w:rFonts w:ascii="Times New Roman" w:hAnsi="Times New Roman" w:cs="Times New Roman"/>
          <w:sz w:val="22"/>
          <w:szCs w:val="26"/>
        </w:rPr>
        <w:t>s</w:t>
      </w:r>
      <w:r>
        <w:rPr>
          <w:rFonts w:ascii="Times New Roman" w:hAnsi="Times New Roman" w:cs="Times New Roman"/>
          <w:sz w:val="22"/>
          <w:szCs w:val="26"/>
        </w:rPr>
        <w:t xml:space="preserve">ector variables. Under this model the </w:t>
      </w:r>
      <w:r w:rsidR="006860E7">
        <w:rPr>
          <w:rFonts w:ascii="Times New Roman" w:hAnsi="Times New Roman" w:cs="Times New Roman"/>
          <w:sz w:val="22"/>
          <w:szCs w:val="26"/>
        </w:rPr>
        <w:t>l</w:t>
      </w:r>
      <w:r>
        <w:rPr>
          <w:rFonts w:ascii="Times New Roman" w:hAnsi="Times New Roman" w:cs="Times New Roman"/>
          <w:sz w:val="22"/>
          <w:szCs w:val="26"/>
        </w:rPr>
        <w:t xml:space="preserve">iquidity variable differs in the way that it has a negative coefficient where the model used to report the findings showed the coefficient to be positive. The same discrepancies can further be found with JSE </w:t>
      </w:r>
      <w:r w:rsidR="006860E7">
        <w:rPr>
          <w:rFonts w:ascii="Times New Roman" w:hAnsi="Times New Roman" w:cs="Times New Roman"/>
          <w:sz w:val="22"/>
          <w:szCs w:val="26"/>
        </w:rPr>
        <w:t>s</w:t>
      </w:r>
      <w:r>
        <w:rPr>
          <w:rFonts w:ascii="Times New Roman" w:hAnsi="Times New Roman" w:cs="Times New Roman"/>
          <w:sz w:val="22"/>
          <w:szCs w:val="26"/>
        </w:rPr>
        <w:t xml:space="preserve">ector </w:t>
      </w:r>
      <w:r w:rsidR="006860E7">
        <w:rPr>
          <w:rFonts w:ascii="Times New Roman" w:hAnsi="Times New Roman" w:cs="Times New Roman"/>
          <w:sz w:val="22"/>
          <w:szCs w:val="26"/>
        </w:rPr>
        <w:t>(</w:t>
      </w:r>
      <w:r>
        <w:rPr>
          <w:rFonts w:ascii="Times New Roman" w:hAnsi="Times New Roman" w:cs="Times New Roman"/>
          <w:sz w:val="22"/>
          <w:szCs w:val="26"/>
        </w:rPr>
        <w:t>4</w:t>
      </w:r>
      <w:r w:rsidR="006860E7">
        <w:rPr>
          <w:rFonts w:ascii="Times New Roman" w:hAnsi="Times New Roman" w:cs="Times New Roman"/>
          <w:sz w:val="22"/>
          <w:szCs w:val="26"/>
        </w:rPr>
        <w:t>)</w:t>
      </w:r>
      <w:r>
        <w:rPr>
          <w:rFonts w:ascii="Times New Roman" w:hAnsi="Times New Roman" w:cs="Times New Roman"/>
          <w:sz w:val="22"/>
          <w:szCs w:val="26"/>
        </w:rPr>
        <w:t xml:space="preserve"> and </w:t>
      </w:r>
      <w:r w:rsidR="006860E7">
        <w:rPr>
          <w:rFonts w:ascii="Times New Roman" w:hAnsi="Times New Roman" w:cs="Times New Roman"/>
          <w:sz w:val="22"/>
          <w:szCs w:val="26"/>
        </w:rPr>
        <w:t>s</w:t>
      </w:r>
      <w:r>
        <w:rPr>
          <w:rFonts w:ascii="Times New Roman" w:hAnsi="Times New Roman" w:cs="Times New Roman"/>
          <w:sz w:val="22"/>
          <w:szCs w:val="26"/>
        </w:rPr>
        <w:t xml:space="preserve">ector </w:t>
      </w:r>
      <w:r w:rsidR="006860E7">
        <w:rPr>
          <w:rFonts w:ascii="Times New Roman" w:hAnsi="Times New Roman" w:cs="Times New Roman"/>
          <w:sz w:val="22"/>
          <w:szCs w:val="26"/>
        </w:rPr>
        <w:lastRenderedPageBreak/>
        <w:t>(</w:t>
      </w:r>
      <w:r>
        <w:rPr>
          <w:rFonts w:ascii="Times New Roman" w:hAnsi="Times New Roman" w:cs="Times New Roman"/>
          <w:sz w:val="22"/>
          <w:szCs w:val="26"/>
        </w:rPr>
        <w:t>6</w:t>
      </w:r>
      <w:r w:rsidR="006860E7">
        <w:rPr>
          <w:rFonts w:ascii="Times New Roman" w:hAnsi="Times New Roman" w:cs="Times New Roman"/>
          <w:sz w:val="22"/>
          <w:szCs w:val="26"/>
        </w:rPr>
        <w:t>),</w:t>
      </w:r>
      <w:r>
        <w:rPr>
          <w:rFonts w:ascii="Times New Roman" w:hAnsi="Times New Roman" w:cs="Times New Roman"/>
          <w:sz w:val="22"/>
          <w:szCs w:val="26"/>
        </w:rPr>
        <w:t xml:space="preserve"> where the robustness test reported positive coefficients for both these variables</w:t>
      </w:r>
      <w:r w:rsidR="006860E7">
        <w:rPr>
          <w:rFonts w:ascii="Times New Roman" w:hAnsi="Times New Roman" w:cs="Times New Roman"/>
          <w:sz w:val="22"/>
          <w:szCs w:val="26"/>
        </w:rPr>
        <w:t>. This is</w:t>
      </w:r>
      <w:r>
        <w:rPr>
          <w:rFonts w:ascii="Times New Roman" w:hAnsi="Times New Roman" w:cs="Times New Roman"/>
          <w:sz w:val="22"/>
          <w:szCs w:val="26"/>
        </w:rPr>
        <w:t xml:space="preserve"> while the main results had reported negative variables. However, all three of these were found to be statistically </w:t>
      </w:r>
      <w:r w:rsidR="00F67AE7">
        <w:rPr>
          <w:rFonts w:ascii="Times New Roman" w:hAnsi="Times New Roman" w:cs="Times New Roman"/>
          <w:sz w:val="22"/>
          <w:szCs w:val="26"/>
        </w:rPr>
        <w:t>insignificant</w:t>
      </w:r>
      <w:r>
        <w:rPr>
          <w:rFonts w:ascii="Times New Roman" w:hAnsi="Times New Roman" w:cs="Times New Roman"/>
          <w:sz w:val="22"/>
          <w:szCs w:val="26"/>
        </w:rPr>
        <w:t>.</w:t>
      </w:r>
    </w:p>
    <w:p w14:paraId="15B61D9D" w14:textId="3EAE0AE8" w:rsidR="00CA0B89"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The </w:t>
      </w:r>
      <w:r w:rsidR="006860E7">
        <w:rPr>
          <w:rFonts w:ascii="Times New Roman" w:hAnsi="Times New Roman" w:cs="Times New Roman"/>
          <w:sz w:val="22"/>
          <w:szCs w:val="26"/>
        </w:rPr>
        <w:t>second</w:t>
      </w:r>
      <w:r>
        <w:rPr>
          <w:rFonts w:ascii="Times New Roman" w:hAnsi="Times New Roman" w:cs="Times New Roman"/>
          <w:sz w:val="22"/>
          <w:szCs w:val="26"/>
        </w:rPr>
        <w:t xml:space="preserve"> test</w:t>
      </w:r>
      <w:r w:rsidR="006860E7">
        <w:rPr>
          <w:rFonts w:ascii="Times New Roman" w:hAnsi="Times New Roman" w:cs="Times New Roman"/>
          <w:sz w:val="22"/>
          <w:szCs w:val="26"/>
        </w:rPr>
        <w:t xml:space="preserve"> </w:t>
      </w:r>
      <w:r>
        <w:rPr>
          <w:rFonts w:ascii="Times New Roman" w:hAnsi="Times New Roman" w:cs="Times New Roman"/>
          <w:sz w:val="22"/>
          <w:szCs w:val="26"/>
        </w:rPr>
        <w:t xml:space="preserve">conducted to ensure the validity of the data is known as a unit root test. The purpose of a unit root test is to confirm the stationarity of the model variables used throughout the period covered by the study </w:t>
      </w:r>
      <w:r w:rsidRPr="008C2F0C">
        <w:rPr>
          <w:rFonts w:ascii="Times New Roman" w:hAnsi="Times New Roman" w:cs="Times New Roman"/>
          <w:sz w:val="22"/>
          <w:szCs w:val="26"/>
        </w:rPr>
        <w:t>(Baltagi, 2008)</w:t>
      </w:r>
      <w:r>
        <w:rPr>
          <w:rFonts w:ascii="Times New Roman" w:hAnsi="Times New Roman" w:cs="Times New Roman"/>
          <w:sz w:val="22"/>
          <w:szCs w:val="26"/>
        </w:rPr>
        <w:t>. Stationarity amongst the variables mean</w:t>
      </w:r>
      <w:r w:rsidR="006860E7">
        <w:rPr>
          <w:rFonts w:ascii="Times New Roman" w:hAnsi="Times New Roman" w:cs="Times New Roman"/>
          <w:sz w:val="22"/>
          <w:szCs w:val="26"/>
        </w:rPr>
        <w:t>s</w:t>
      </w:r>
      <w:r>
        <w:rPr>
          <w:rFonts w:ascii="Times New Roman" w:hAnsi="Times New Roman" w:cs="Times New Roman"/>
          <w:sz w:val="22"/>
          <w:szCs w:val="26"/>
        </w:rPr>
        <w:t xml:space="preserve"> that various features of the variables used in the study have remained constant over time and are not distorted by trends in the data (Baltagi, </w:t>
      </w:r>
      <w:r w:rsidRPr="008C2F0C">
        <w:rPr>
          <w:rFonts w:ascii="Times New Roman" w:hAnsi="Times New Roman" w:cs="Times New Roman"/>
          <w:sz w:val="22"/>
          <w:szCs w:val="26"/>
        </w:rPr>
        <w:t>2008)</w:t>
      </w:r>
      <w:r>
        <w:rPr>
          <w:rFonts w:ascii="Times New Roman" w:hAnsi="Times New Roman" w:cs="Times New Roman"/>
          <w:sz w:val="22"/>
          <w:szCs w:val="26"/>
        </w:rPr>
        <w:t xml:space="preserve">. The Phillips-Perron test, commonly used in time series analysis, has been used to test for stationarity </w:t>
      </w:r>
      <w:r w:rsidRPr="008C2F0C">
        <w:rPr>
          <w:rFonts w:ascii="Times New Roman" w:hAnsi="Times New Roman" w:cs="Times New Roman"/>
          <w:sz w:val="22"/>
          <w:szCs w:val="26"/>
        </w:rPr>
        <w:t>(Baltagi, 2008)</w:t>
      </w:r>
      <w:r>
        <w:rPr>
          <w:rFonts w:ascii="Times New Roman" w:hAnsi="Times New Roman" w:cs="Times New Roman"/>
          <w:sz w:val="22"/>
          <w:szCs w:val="26"/>
        </w:rPr>
        <w:t xml:space="preserve">.  </w:t>
      </w:r>
    </w:p>
    <w:p w14:paraId="069AD32D" w14:textId="0429783A"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null hypothesis in this test is that all panels contain unit root data (Baltagi, 2002</w:t>
      </w:r>
      <w:r w:rsidRPr="008C2F0C">
        <w:rPr>
          <w:rFonts w:ascii="Times New Roman" w:hAnsi="Times New Roman" w:cs="Times New Roman"/>
          <w:sz w:val="22"/>
          <w:szCs w:val="26"/>
        </w:rPr>
        <w:t>)</w:t>
      </w:r>
      <w:r>
        <w:rPr>
          <w:rFonts w:ascii="Times New Roman" w:hAnsi="Times New Roman" w:cs="Times New Roman"/>
          <w:sz w:val="22"/>
          <w:szCs w:val="26"/>
        </w:rPr>
        <w:t>. In order to reject the null hypothesis a significant p</w:t>
      </w:r>
      <w:r w:rsidR="006860E7">
        <w:rPr>
          <w:rFonts w:ascii="Times New Roman" w:hAnsi="Times New Roman" w:cs="Times New Roman"/>
          <w:sz w:val="22"/>
          <w:szCs w:val="26"/>
        </w:rPr>
        <w:t>-</w:t>
      </w:r>
      <w:r>
        <w:rPr>
          <w:rFonts w:ascii="Times New Roman" w:hAnsi="Times New Roman" w:cs="Times New Roman"/>
          <w:sz w:val="22"/>
          <w:szCs w:val="26"/>
        </w:rPr>
        <w:t>value outcome will need to be observed f</w:t>
      </w:r>
      <w:r w:rsidR="006860E7">
        <w:rPr>
          <w:rFonts w:ascii="Times New Roman" w:hAnsi="Times New Roman" w:cs="Times New Roman"/>
          <w:sz w:val="22"/>
          <w:szCs w:val="26"/>
        </w:rPr>
        <w:t>or</w:t>
      </w:r>
      <w:r>
        <w:rPr>
          <w:rFonts w:ascii="Times New Roman" w:hAnsi="Times New Roman" w:cs="Times New Roman"/>
          <w:sz w:val="22"/>
          <w:szCs w:val="26"/>
        </w:rPr>
        <w:t xml:space="preserve"> each of the variables tested (Baltagi, 2002</w:t>
      </w:r>
      <w:r w:rsidRPr="008C2F0C">
        <w:rPr>
          <w:rFonts w:ascii="Times New Roman" w:hAnsi="Times New Roman" w:cs="Times New Roman"/>
          <w:sz w:val="22"/>
          <w:szCs w:val="26"/>
        </w:rPr>
        <w:t>)</w:t>
      </w:r>
      <w:r>
        <w:rPr>
          <w:rFonts w:ascii="Times New Roman" w:hAnsi="Times New Roman" w:cs="Times New Roman"/>
          <w:sz w:val="22"/>
          <w:szCs w:val="26"/>
        </w:rPr>
        <w:t xml:space="preserve">. The results </w:t>
      </w:r>
      <w:r w:rsidR="006860E7">
        <w:rPr>
          <w:rFonts w:ascii="Times New Roman" w:hAnsi="Times New Roman" w:cs="Times New Roman"/>
          <w:sz w:val="22"/>
          <w:szCs w:val="26"/>
        </w:rPr>
        <w:t>of</w:t>
      </w:r>
      <w:r>
        <w:rPr>
          <w:rFonts w:ascii="Times New Roman" w:hAnsi="Times New Roman" w:cs="Times New Roman"/>
          <w:sz w:val="22"/>
          <w:szCs w:val="26"/>
        </w:rPr>
        <w:t xml:space="preserve"> the test performed on all variables, apart from the dummy variables, showed the p</w:t>
      </w:r>
      <w:r w:rsidR="006860E7">
        <w:rPr>
          <w:rFonts w:ascii="Times New Roman" w:hAnsi="Times New Roman" w:cs="Times New Roman"/>
          <w:sz w:val="22"/>
          <w:szCs w:val="26"/>
        </w:rPr>
        <w:t>-</w:t>
      </w:r>
      <w:r>
        <w:rPr>
          <w:rFonts w:ascii="Times New Roman" w:hAnsi="Times New Roman" w:cs="Times New Roman"/>
          <w:sz w:val="22"/>
          <w:szCs w:val="26"/>
        </w:rPr>
        <w:t xml:space="preserve">value to be significant. The stationarity test was not conducted on the coded dummies as a result of the nature of these variables </w:t>
      </w:r>
      <w:r w:rsidRPr="006E1FE1">
        <w:rPr>
          <w:rFonts w:ascii="Times New Roman" w:hAnsi="Times New Roman" w:cs="Times New Roman"/>
          <w:sz w:val="22"/>
          <w:szCs w:val="26"/>
        </w:rPr>
        <w:t>(Gujarati, 2006).</w:t>
      </w:r>
      <w:r>
        <w:rPr>
          <w:rFonts w:ascii="Times New Roman" w:hAnsi="Times New Roman" w:cs="Times New Roman"/>
          <w:sz w:val="22"/>
          <w:szCs w:val="26"/>
        </w:rPr>
        <w:t xml:space="preserve"> This is because, due to the binary nature of the coding, there would not be variation between the two outcomes. As such,</w:t>
      </w:r>
      <w:r w:rsidR="006860E7">
        <w:rPr>
          <w:rFonts w:ascii="Times New Roman" w:hAnsi="Times New Roman" w:cs="Times New Roman"/>
          <w:sz w:val="22"/>
          <w:szCs w:val="26"/>
        </w:rPr>
        <w:t xml:space="preserve"> the overall</w:t>
      </w:r>
      <w:r>
        <w:rPr>
          <w:rFonts w:ascii="Times New Roman" w:hAnsi="Times New Roman" w:cs="Times New Roman"/>
          <w:sz w:val="22"/>
          <w:szCs w:val="26"/>
        </w:rPr>
        <w:t xml:space="preserve"> null hypothesis was rejected in favour of the alternate hypothesis. The significant p-value obtained confirms the stationarity of the variables included in the study. </w:t>
      </w:r>
    </w:p>
    <w:p w14:paraId="7CA40F3B" w14:textId="77777777" w:rsidR="0044220A" w:rsidRPr="00507D0D" w:rsidRDefault="00A04D1A" w:rsidP="00536234">
      <w:pPr>
        <w:pStyle w:val="Heading3"/>
        <w:ind w:left="0"/>
        <w:rPr>
          <w:rFonts w:ascii="Times New Roman" w:hAnsi="Times New Roman" w:cs="Times New Roman"/>
          <w:i/>
          <w:color w:val="auto"/>
          <w:sz w:val="22"/>
        </w:rPr>
      </w:pPr>
      <w:bookmarkStart w:id="66" w:name="_Toc506717811"/>
      <w:r>
        <w:rPr>
          <w:rFonts w:ascii="Times New Roman" w:hAnsi="Times New Roman" w:cs="Times New Roman"/>
          <w:i/>
          <w:color w:val="auto"/>
          <w:sz w:val="22"/>
        </w:rPr>
        <w:t>4.4.1</w:t>
      </w:r>
      <w:r>
        <w:rPr>
          <w:rFonts w:ascii="Times New Roman" w:hAnsi="Times New Roman" w:cs="Times New Roman"/>
          <w:i/>
          <w:color w:val="auto"/>
          <w:sz w:val="22"/>
        </w:rPr>
        <w:tab/>
      </w:r>
      <w:r w:rsidR="0044220A" w:rsidRPr="00507D0D">
        <w:rPr>
          <w:rFonts w:ascii="Times New Roman" w:hAnsi="Times New Roman" w:cs="Times New Roman"/>
          <w:i/>
          <w:color w:val="auto"/>
          <w:sz w:val="22"/>
        </w:rPr>
        <w:t>Conclusion</w:t>
      </w:r>
      <w:bookmarkEnd w:id="66"/>
      <w:r w:rsidR="0044220A" w:rsidRPr="00507D0D">
        <w:rPr>
          <w:rFonts w:ascii="Times New Roman" w:hAnsi="Times New Roman" w:cs="Times New Roman"/>
          <w:i/>
          <w:color w:val="auto"/>
          <w:sz w:val="22"/>
        </w:rPr>
        <w:t xml:space="preserve"> </w:t>
      </w:r>
    </w:p>
    <w:p w14:paraId="3CE938E1" w14:textId="6C95D73F" w:rsidR="0044220A" w:rsidRDefault="0044220A"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To conclude, </w:t>
      </w:r>
      <w:r w:rsidR="006860E7">
        <w:rPr>
          <w:rFonts w:ascii="Times New Roman" w:hAnsi="Times New Roman" w:cs="Times New Roman"/>
          <w:sz w:val="22"/>
          <w:szCs w:val="26"/>
        </w:rPr>
        <w:t>all</w:t>
      </w:r>
      <w:r>
        <w:rPr>
          <w:rFonts w:ascii="Times New Roman" w:hAnsi="Times New Roman" w:cs="Times New Roman"/>
          <w:sz w:val="22"/>
          <w:szCs w:val="26"/>
        </w:rPr>
        <w:t xml:space="preserve"> robustness tests con</w:t>
      </w:r>
      <w:r w:rsidR="004C7C28">
        <w:rPr>
          <w:rFonts w:ascii="Times New Roman" w:hAnsi="Times New Roman" w:cs="Times New Roman"/>
          <w:sz w:val="22"/>
          <w:szCs w:val="26"/>
        </w:rPr>
        <w:t xml:space="preserve">ducted confirm the validity </w:t>
      </w:r>
      <w:r>
        <w:rPr>
          <w:rFonts w:ascii="Times New Roman" w:hAnsi="Times New Roman" w:cs="Times New Roman"/>
          <w:sz w:val="22"/>
          <w:szCs w:val="26"/>
        </w:rPr>
        <w:t xml:space="preserve">of the results obtained from model </w:t>
      </w:r>
      <w:r w:rsidR="00F67AE7">
        <w:rPr>
          <w:rFonts w:ascii="Times New Roman" w:hAnsi="Times New Roman" w:cs="Times New Roman"/>
          <w:sz w:val="22"/>
          <w:szCs w:val="26"/>
        </w:rPr>
        <w:t>FE</w:t>
      </w:r>
      <w:r>
        <w:rPr>
          <w:rFonts w:ascii="Times New Roman" w:hAnsi="Times New Roman" w:cs="Times New Roman"/>
          <w:sz w:val="22"/>
          <w:szCs w:val="26"/>
        </w:rPr>
        <w:t xml:space="preserve">BXGLS_D. They </w:t>
      </w:r>
      <w:r w:rsidR="006860E7">
        <w:rPr>
          <w:rFonts w:ascii="Times New Roman" w:hAnsi="Times New Roman" w:cs="Times New Roman"/>
          <w:sz w:val="22"/>
          <w:szCs w:val="26"/>
        </w:rPr>
        <w:t>highlighted the</w:t>
      </w:r>
      <w:r>
        <w:rPr>
          <w:rFonts w:ascii="Times New Roman" w:hAnsi="Times New Roman" w:cs="Times New Roman"/>
          <w:sz w:val="22"/>
          <w:szCs w:val="26"/>
        </w:rPr>
        <w:t xml:space="preserve"> consistency </w:t>
      </w:r>
      <w:r w:rsidR="006860E7">
        <w:rPr>
          <w:rFonts w:ascii="Times New Roman" w:hAnsi="Times New Roman" w:cs="Times New Roman"/>
          <w:sz w:val="22"/>
          <w:szCs w:val="26"/>
        </w:rPr>
        <w:t>of</w:t>
      </w:r>
      <w:r>
        <w:rPr>
          <w:rFonts w:ascii="Times New Roman" w:hAnsi="Times New Roman" w:cs="Times New Roman"/>
          <w:sz w:val="22"/>
          <w:szCs w:val="26"/>
        </w:rPr>
        <w:t xml:space="preserve"> the results, where the results did not differ </w:t>
      </w:r>
      <w:r w:rsidR="004C7C28">
        <w:rPr>
          <w:rFonts w:ascii="Times New Roman" w:hAnsi="Times New Roman" w:cs="Times New Roman"/>
          <w:sz w:val="22"/>
          <w:szCs w:val="26"/>
        </w:rPr>
        <w:t>meaningfully</w:t>
      </w:r>
      <w:r>
        <w:rPr>
          <w:rFonts w:ascii="Times New Roman" w:hAnsi="Times New Roman" w:cs="Times New Roman"/>
          <w:sz w:val="22"/>
          <w:szCs w:val="26"/>
        </w:rPr>
        <w:t xml:space="preserve"> across the different models used. Further, tests conducted in this study also showed the time period used to conduct this study to not have a material impact on results. Lastly, the unit root test conducted confirmed stationarity amongst all variables used in the study. These results provide a significant degree of confidence with regards to the results obtained in this Chapter</w:t>
      </w:r>
      <w:r w:rsidR="004C7C28">
        <w:rPr>
          <w:rFonts w:ascii="Times New Roman" w:hAnsi="Times New Roman" w:cs="Times New Roman"/>
          <w:sz w:val="22"/>
          <w:szCs w:val="26"/>
        </w:rPr>
        <w:t xml:space="preserve"> and provide reliability in showing that these results can be replicated by other researches using the same data used to conduct this research</w:t>
      </w:r>
      <w:r>
        <w:rPr>
          <w:rFonts w:ascii="Times New Roman" w:hAnsi="Times New Roman" w:cs="Times New Roman"/>
          <w:sz w:val="22"/>
          <w:szCs w:val="26"/>
        </w:rPr>
        <w:t>.</w:t>
      </w:r>
    </w:p>
    <w:p w14:paraId="5A37DFAF" w14:textId="77777777" w:rsidR="00D431C5" w:rsidRDefault="00D431C5" w:rsidP="00536234">
      <w:pPr>
        <w:pStyle w:val="Heading1"/>
        <w:ind w:left="0"/>
        <w:jc w:val="center"/>
        <w:rPr>
          <w:rFonts w:ascii="Times New Roman" w:hAnsi="Times New Roman" w:cs="Times New Roman"/>
          <w:b/>
          <w:color w:val="auto"/>
          <w:sz w:val="28"/>
          <w:u w:val="single"/>
        </w:rPr>
      </w:pPr>
    </w:p>
    <w:p w14:paraId="2C8D3583" w14:textId="77777777" w:rsidR="00D431C5" w:rsidRDefault="00D431C5" w:rsidP="00D431C5"/>
    <w:p w14:paraId="404A9C82" w14:textId="77777777" w:rsidR="004F56AB" w:rsidRDefault="004F56AB">
      <w:pPr>
        <w:spacing w:after="160" w:line="259" w:lineRule="auto"/>
        <w:ind w:left="0" w:firstLine="0"/>
        <w:jc w:val="left"/>
      </w:pPr>
      <w:r>
        <w:br w:type="page"/>
      </w:r>
    </w:p>
    <w:p w14:paraId="45FA27DD" w14:textId="77777777" w:rsidR="00B303FA" w:rsidRDefault="00B303FA" w:rsidP="00536234">
      <w:pPr>
        <w:pStyle w:val="Heading1"/>
        <w:ind w:left="0"/>
        <w:jc w:val="center"/>
        <w:rPr>
          <w:rFonts w:ascii="Times New Roman" w:hAnsi="Times New Roman" w:cs="Times New Roman"/>
          <w:b/>
          <w:color w:val="auto"/>
          <w:sz w:val="28"/>
          <w:u w:val="single"/>
        </w:rPr>
      </w:pPr>
      <w:bookmarkStart w:id="67" w:name="_Toc506717812"/>
      <w:r w:rsidRPr="00507D0D">
        <w:rPr>
          <w:rFonts w:ascii="Times New Roman" w:hAnsi="Times New Roman" w:cs="Times New Roman"/>
          <w:b/>
          <w:color w:val="auto"/>
          <w:sz w:val="28"/>
          <w:u w:val="single"/>
        </w:rPr>
        <w:lastRenderedPageBreak/>
        <w:t>CHAPTER 5: CONCUSION</w:t>
      </w:r>
      <w:bookmarkEnd w:id="67"/>
    </w:p>
    <w:p w14:paraId="28D82825" w14:textId="77777777" w:rsidR="00B67F31" w:rsidRPr="00B67F31" w:rsidRDefault="00B67F31" w:rsidP="00536234">
      <w:pPr>
        <w:pStyle w:val="Heading2"/>
        <w:ind w:left="0"/>
        <w:rPr>
          <w:rFonts w:ascii="Times New Roman" w:hAnsi="Times New Roman" w:cs="Times New Roman"/>
          <w:b/>
          <w:color w:val="auto"/>
          <w:sz w:val="24"/>
        </w:rPr>
      </w:pPr>
      <w:bookmarkStart w:id="68" w:name="_Toc506717813"/>
      <w:r w:rsidRPr="00B67F31">
        <w:rPr>
          <w:rFonts w:ascii="Times New Roman" w:hAnsi="Times New Roman" w:cs="Times New Roman"/>
          <w:b/>
          <w:color w:val="auto"/>
          <w:sz w:val="24"/>
        </w:rPr>
        <w:t>5.1</w:t>
      </w:r>
      <w:r w:rsidRPr="00B67F31">
        <w:rPr>
          <w:rFonts w:ascii="Times New Roman" w:hAnsi="Times New Roman" w:cs="Times New Roman"/>
          <w:b/>
          <w:color w:val="auto"/>
          <w:sz w:val="24"/>
        </w:rPr>
        <w:tab/>
        <w:t>Conclusion</w:t>
      </w:r>
      <w:bookmarkEnd w:id="68"/>
    </w:p>
    <w:p w14:paraId="0788EBA3"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This paper has looked at</w:t>
      </w:r>
      <w:r w:rsidR="001A6F16">
        <w:rPr>
          <w:rFonts w:ascii="Times New Roman" w:hAnsi="Times New Roman" w:cs="Times New Roman"/>
          <w:sz w:val="22"/>
          <w:szCs w:val="26"/>
        </w:rPr>
        <w:t xml:space="preserve"> Broad-Based Black Economic Empowerment</w:t>
      </w:r>
      <w:r w:rsidRPr="00BE229E">
        <w:rPr>
          <w:rFonts w:ascii="Times New Roman" w:hAnsi="Times New Roman" w:cs="Times New Roman"/>
          <w:sz w:val="22"/>
          <w:szCs w:val="26"/>
        </w:rPr>
        <w:t xml:space="preserve"> </w:t>
      </w:r>
      <w:r w:rsidR="001A6F16">
        <w:rPr>
          <w:rFonts w:ascii="Times New Roman" w:hAnsi="Times New Roman" w:cs="Times New Roman"/>
          <w:sz w:val="22"/>
          <w:szCs w:val="26"/>
        </w:rPr>
        <w:t>(</w:t>
      </w:r>
      <w:r w:rsidRPr="00BE229E">
        <w:rPr>
          <w:rFonts w:ascii="Times New Roman" w:hAnsi="Times New Roman" w:cs="Times New Roman"/>
          <w:sz w:val="22"/>
          <w:szCs w:val="26"/>
        </w:rPr>
        <w:t>BBBEE</w:t>
      </w:r>
      <w:r w:rsidR="001A6F16">
        <w:rPr>
          <w:rFonts w:ascii="Times New Roman" w:hAnsi="Times New Roman" w:cs="Times New Roman"/>
          <w:sz w:val="22"/>
          <w:szCs w:val="26"/>
        </w:rPr>
        <w:t>)</w:t>
      </w:r>
      <w:r w:rsidRPr="00BE229E">
        <w:rPr>
          <w:rFonts w:ascii="Times New Roman" w:hAnsi="Times New Roman" w:cs="Times New Roman"/>
          <w:sz w:val="22"/>
          <w:szCs w:val="26"/>
        </w:rPr>
        <w:t xml:space="preserve"> and its role in assisting with the transformation of the South African economy. BBBEE has emphasised transformation of the economy with specific focus being placed on increasing Black ownership levels of the major corporations of South Africa. One way in which this has been accomplished is through the wide use of BBBEE Ownership Deals. The problem with this form of BBBEE transaction is that beneficiaries have trouble funding them and require assistance from the company which has issued them these shares. Assistance is generally provided by these companies to beneficiaries in the form of dividend payments which they use to satisfy the debt obligation owed by them. The purpose of this paper has been to investigate whether BBBEE deals do in fact result in increased dividend pay-out by issuing companies party to a BBBEE transaction.</w:t>
      </w:r>
    </w:p>
    <w:p w14:paraId="2AC477AD"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 xml:space="preserve">A panel data regression model was used to test whether firms with BBBEE deals do in fact have higher dividend pay-out ratios, after controlling for the other major determinant of dividend policy (Company Size, Capital Structure, Growth and Investment Opportunities, Liquidity, Profitability and Johannesburg Securities Exchange (JSE) Sector). The panel data regression model was run for those companies considered to be the Top 100 companies listed on the JSE as at the 31 December 2014, and from the year 1999 to 2006. The results showed BBBEE deals </w:t>
      </w:r>
      <w:r w:rsidR="001A6F16">
        <w:rPr>
          <w:rFonts w:ascii="Times New Roman" w:hAnsi="Times New Roman" w:cs="Times New Roman"/>
          <w:sz w:val="22"/>
          <w:szCs w:val="26"/>
        </w:rPr>
        <w:t xml:space="preserve">to </w:t>
      </w:r>
      <w:r w:rsidRPr="00BE229E">
        <w:rPr>
          <w:rFonts w:ascii="Times New Roman" w:hAnsi="Times New Roman" w:cs="Times New Roman"/>
          <w:sz w:val="22"/>
          <w:szCs w:val="26"/>
        </w:rPr>
        <w:t>have a significant impact on the dividend decisions of companies.  The results for the regression model found</w:t>
      </w:r>
      <w:r w:rsidR="001A6F16">
        <w:rPr>
          <w:rFonts w:ascii="Times New Roman" w:hAnsi="Times New Roman" w:cs="Times New Roman"/>
          <w:sz w:val="22"/>
          <w:szCs w:val="26"/>
        </w:rPr>
        <w:t xml:space="preserve"> that</w:t>
      </w:r>
      <w:r w:rsidRPr="00BE229E">
        <w:rPr>
          <w:rFonts w:ascii="Times New Roman" w:hAnsi="Times New Roman" w:cs="Times New Roman"/>
          <w:sz w:val="22"/>
          <w:szCs w:val="26"/>
        </w:rPr>
        <w:t>, on average and while controlling for other factors inf</w:t>
      </w:r>
      <w:r w:rsidR="001A6F16">
        <w:rPr>
          <w:rFonts w:ascii="Times New Roman" w:hAnsi="Times New Roman" w:cs="Times New Roman"/>
          <w:sz w:val="22"/>
          <w:szCs w:val="26"/>
        </w:rPr>
        <w:t xml:space="preserve">luencing dividend pay-out, </w:t>
      </w:r>
      <w:r w:rsidRPr="00BE229E">
        <w:rPr>
          <w:rFonts w:ascii="Times New Roman" w:hAnsi="Times New Roman" w:cs="Times New Roman"/>
          <w:sz w:val="22"/>
          <w:szCs w:val="26"/>
        </w:rPr>
        <w:t xml:space="preserve">the dividend pay-out ratio for companies’ party to a BBBEE </w:t>
      </w:r>
      <w:r w:rsidR="001A6F16">
        <w:rPr>
          <w:rFonts w:ascii="Times New Roman" w:hAnsi="Times New Roman" w:cs="Times New Roman"/>
          <w:sz w:val="22"/>
          <w:szCs w:val="26"/>
        </w:rPr>
        <w:t>deal increased by 7.9% post the</w:t>
      </w:r>
      <w:r w:rsidRPr="00BE229E">
        <w:rPr>
          <w:rFonts w:ascii="Times New Roman" w:hAnsi="Times New Roman" w:cs="Times New Roman"/>
          <w:sz w:val="22"/>
          <w:szCs w:val="26"/>
        </w:rPr>
        <w:t xml:space="preserve"> i</w:t>
      </w:r>
      <w:r w:rsidR="001A6F16">
        <w:rPr>
          <w:rFonts w:ascii="Times New Roman" w:hAnsi="Times New Roman" w:cs="Times New Roman"/>
          <w:sz w:val="22"/>
          <w:szCs w:val="26"/>
        </w:rPr>
        <w:t>mplementation of the deal.</w:t>
      </w:r>
      <w:r w:rsidRPr="00BE229E">
        <w:rPr>
          <w:rFonts w:ascii="Times New Roman" w:hAnsi="Times New Roman" w:cs="Times New Roman"/>
          <w:sz w:val="22"/>
          <w:szCs w:val="26"/>
        </w:rPr>
        <w:t xml:space="preserve"> It is also important to highlight that these findings are robust across time and various statistical models.</w:t>
      </w:r>
    </w:p>
    <w:p w14:paraId="4E2FE8CF"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These finding have serious implications for companies, investors an</w:t>
      </w:r>
      <w:r>
        <w:rPr>
          <w:rFonts w:ascii="Times New Roman" w:hAnsi="Times New Roman" w:cs="Times New Roman"/>
          <w:sz w:val="22"/>
          <w:szCs w:val="26"/>
        </w:rPr>
        <w:t>d policy makers in South Africa</w:t>
      </w:r>
      <w:r w:rsidRPr="00BE229E">
        <w:rPr>
          <w:rFonts w:ascii="Times New Roman" w:hAnsi="Times New Roman" w:cs="Times New Roman"/>
          <w:sz w:val="22"/>
          <w:szCs w:val="26"/>
        </w:rPr>
        <w:t>. Companies that are compelled to pay additional dividends may be inadvertently inc</w:t>
      </w:r>
      <w:r w:rsidR="001A6F16">
        <w:rPr>
          <w:rFonts w:ascii="Times New Roman" w:hAnsi="Times New Roman" w:cs="Times New Roman"/>
          <w:sz w:val="22"/>
          <w:szCs w:val="26"/>
        </w:rPr>
        <w:t>reasing their liquidity risk as well as their bankruptcy risk</w:t>
      </w:r>
      <w:r w:rsidRPr="00BE229E">
        <w:rPr>
          <w:rFonts w:ascii="Times New Roman" w:hAnsi="Times New Roman" w:cs="Times New Roman"/>
          <w:sz w:val="22"/>
          <w:szCs w:val="26"/>
        </w:rPr>
        <w:t xml:space="preserve">. This is because an increasing cash dividend paid out will reduce money which could otherwise have been retained by the company and used to finance its short-term commitments.  In order to mitigate this, firms that enter into BBBEE deals should maintain </w:t>
      </w:r>
      <w:r w:rsidRPr="00BE229E">
        <w:rPr>
          <w:rFonts w:ascii="Times New Roman" w:hAnsi="Times New Roman" w:cs="Times New Roman"/>
          <w:sz w:val="22"/>
          <w:szCs w:val="26"/>
        </w:rPr>
        <w:lastRenderedPageBreak/>
        <w:t xml:space="preserve">additional cash reserves in anticipation that they will potentially be required to pay increased amounts of dividends. Another implication is that companies that have limited access to additional financing may have to forgo profitable future investment opportunities to pay the additional dividends to BBBEE shareholders. This will serve to reduce future profitability of these companies who make this sacrifice. </w:t>
      </w:r>
    </w:p>
    <w:p w14:paraId="1F03398C"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These findings also have implications for investors, especially those who are seeking high dividend paying investments.  Given the Catering theory, investors with a preference for higher dividends should take advantage of the increased dividend pay-outs of firms that are party to BBBEE deals</w:t>
      </w:r>
      <w:r w:rsidR="001A6F16">
        <w:rPr>
          <w:rFonts w:ascii="Times New Roman" w:hAnsi="Times New Roman" w:cs="Times New Roman"/>
          <w:sz w:val="22"/>
          <w:szCs w:val="26"/>
        </w:rPr>
        <w:t>,</w:t>
      </w:r>
      <w:r w:rsidRPr="00BE229E">
        <w:rPr>
          <w:rFonts w:ascii="Times New Roman" w:hAnsi="Times New Roman" w:cs="Times New Roman"/>
          <w:sz w:val="22"/>
          <w:szCs w:val="26"/>
        </w:rPr>
        <w:t xml:space="preserve"> and invest in them. Conversely, investors interested in significant future capital growth should rather find stocks </w:t>
      </w:r>
      <w:r w:rsidR="001A6F16">
        <w:rPr>
          <w:rFonts w:ascii="Times New Roman" w:hAnsi="Times New Roman" w:cs="Times New Roman"/>
          <w:sz w:val="22"/>
          <w:szCs w:val="26"/>
        </w:rPr>
        <w:t xml:space="preserve">in companies </w:t>
      </w:r>
      <w:r w:rsidRPr="00BE229E">
        <w:rPr>
          <w:rFonts w:ascii="Times New Roman" w:hAnsi="Times New Roman" w:cs="Times New Roman"/>
          <w:sz w:val="22"/>
          <w:szCs w:val="26"/>
        </w:rPr>
        <w:t xml:space="preserve">that are not party BBBEE deals.  </w:t>
      </w:r>
    </w:p>
    <w:p w14:paraId="59C37C5C"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As for policy setters, higher dividend payments made by companies’ party to BBBE</w:t>
      </w:r>
      <w:r w:rsidR="008B5812">
        <w:rPr>
          <w:rFonts w:ascii="Times New Roman" w:hAnsi="Times New Roman" w:cs="Times New Roman"/>
          <w:sz w:val="22"/>
          <w:szCs w:val="26"/>
        </w:rPr>
        <w:t>E</w:t>
      </w:r>
      <w:r w:rsidRPr="00BE229E">
        <w:rPr>
          <w:rFonts w:ascii="Times New Roman" w:hAnsi="Times New Roman" w:cs="Times New Roman"/>
          <w:sz w:val="22"/>
          <w:szCs w:val="26"/>
        </w:rPr>
        <w:t xml:space="preserve"> deals contradict their efforts in attempting to encourage firms to invest in the South African economy, thereby promoting job creation and growth. These deals create an adverse incentive for these companies as a result of them resorting to making payments of dividends as opposed to investing in new projects. As such, policy setters will need to look at ways of minimising this effect.</w:t>
      </w:r>
    </w:p>
    <w:p w14:paraId="3B86C0B8" w14:textId="77777777" w:rsidR="00BE229E" w:rsidRPr="00F62EA1" w:rsidRDefault="00F62EA1" w:rsidP="00536234">
      <w:pPr>
        <w:pStyle w:val="Heading2"/>
        <w:ind w:left="0"/>
        <w:rPr>
          <w:rFonts w:ascii="Times New Roman" w:hAnsi="Times New Roman" w:cs="Times New Roman"/>
          <w:b/>
          <w:color w:val="auto"/>
          <w:sz w:val="24"/>
        </w:rPr>
      </w:pPr>
      <w:bookmarkStart w:id="69" w:name="_Toc506717814"/>
      <w:r w:rsidRPr="00F62EA1">
        <w:rPr>
          <w:rFonts w:ascii="Times New Roman" w:hAnsi="Times New Roman" w:cs="Times New Roman"/>
          <w:b/>
          <w:color w:val="auto"/>
          <w:sz w:val="24"/>
        </w:rPr>
        <w:t>5.2</w:t>
      </w:r>
      <w:r w:rsidRPr="00F62EA1">
        <w:rPr>
          <w:rFonts w:ascii="Times New Roman" w:hAnsi="Times New Roman" w:cs="Times New Roman"/>
          <w:b/>
          <w:color w:val="auto"/>
          <w:sz w:val="24"/>
        </w:rPr>
        <w:tab/>
      </w:r>
      <w:r w:rsidR="00BE229E" w:rsidRPr="00F62EA1">
        <w:rPr>
          <w:rFonts w:ascii="Times New Roman" w:hAnsi="Times New Roman" w:cs="Times New Roman"/>
          <w:b/>
          <w:color w:val="auto"/>
          <w:sz w:val="24"/>
        </w:rPr>
        <w:t>Areas for Future Research</w:t>
      </w:r>
      <w:bookmarkEnd w:id="69"/>
      <w:r w:rsidR="00BE229E" w:rsidRPr="00F62EA1">
        <w:rPr>
          <w:rFonts w:ascii="Times New Roman" w:hAnsi="Times New Roman" w:cs="Times New Roman"/>
          <w:b/>
          <w:color w:val="auto"/>
          <w:sz w:val="24"/>
        </w:rPr>
        <w:t xml:space="preserve"> </w:t>
      </w:r>
    </w:p>
    <w:p w14:paraId="3B9C30E1" w14:textId="77777777" w:rsidR="00BE229E" w:rsidRPr="00BE229E" w:rsidRDefault="001A6F16"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t>The findings from</w:t>
      </w:r>
      <w:r w:rsidR="00BE229E" w:rsidRPr="00BE229E">
        <w:rPr>
          <w:rFonts w:ascii="Times New Roman" w:hAnsi="Times New Roman" w:cs="Times New Roman"/>
          <w:sz w:val="22"/>
          <w:szCs w:val="26"/>
        </w:rPr>
        <w:t xml:space="preserve"> this study also form a good basis for further research to be conducted. The quantitative findings can be supported by additional qualitative research to provide further conclusive evidence as to the role of BBBEE deals in increasing the dividend pay-outs of companies. An example of this can be in the form of surveys and questionnaires directly aimed at Chief Executive Officers of companies</w:t>
      </w:r>
      <w:r>
        <w:rPr>
          <w:rFonts w:ascii="Times New Roman" w:hAnsi="Times New Roman" w:cs="Times New Roman"/>
          <w:sz w:val="22"/>
          <w:szCs w:val="26"/>
        </w:rPr>
        <w:t>,</w:t>
      </w:r>
      <w:r w:rsidR="00BE229E" w:rsidRPr="00BE229E">
        <w:rPr>
          <w:rFonts w:ascii="Times New Roman" w:hAnsi="Times New Roman" w:cs="Times New Roman"/>
          <w:sz w:val="22"/>
          <w:szCs w:val="26"/>
        </w:rPr>
        <w:t xml:space="preserve"> and asking them whether being party to a BBBEE deals places additional pressure on them to increase dividend payments to beneficiaries.</w:t>
      </w:r>
    </w:p>
    <w:p w14:paraId="720C0000" w14:textId="77777777" w:rsidR="00BE229E" w:rsidRPr="00BE229E"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Other areas for further research also include the opportunity to expand on the research conducted by taking into account all those companies listed on the JSE, not just the top 100. The research can also be conducted over a longer and more recent time period to determine whether the results remain the same. However</w:t>
      </w:r>
      <w:r w:rsidR="001A6F16">
        <w:rPr>
          <w:rFonts w:ascii="Times New Roman" w:hAnsi="Times New Roman" w:cs="Times New Roman"/>
          <w:sz w:val="22"/>
          <w:szCs w:val="26"/>
        </w:rPr>
        <w:t>,</w:t>
      </w:r>
      <w:r w:rsidRPr="00BE229E">
        <w:rPr>
          <w:rFonts w:ascii="Times New Roman" w:hAnsi="Times New Roman" w:cs="Times New Roman"/>
          <w:sz w:val="22"/>
          <w:szCs w:val="26"/>
        </w:rPr>
        <w:t xml:space="preserve"> this would require the inclusion of a tax variable into the regression to control for the significant changes in taxation o</w:t>
      </w:r>
      <w:r w:rsidR="001A6F16">
        <w:rPr>
          <w:rFonts w:ascii="Times New Roman" w:hAnsi="Times New Roman" w:cs="Times New Roman"/>
          <w:sz w:val="22"/>
          <w:szCs w:val="26"/>
        </w:rPr>
        <w:t>n</w:t>
      </w:r>
      <w:r w:rsidRPr="00BE229E">
        <w:rPr>
          <w:rFonts w:ascii="Times New Roman" w:hAnsi="Times New Roman" w:cs="Times New Roman"/>
          <w:sz w:val="22"/>
          <w:szCs w:val="26"/>
        </w:rPr>
        <w:t xml:space="preserve"> dividends in South Africa since 2006. </w:t>
      </w:r>
    </w:p>
    <w:p w14:paraId="5168FF27" w14:textId="77777777" w:rsidR="00BE229E" w:rsidRPr="00BE229E" w:rsidRDefault="003E04E9" w:rsidP="00536234">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I</w:t>
      </w:r>
      <w:r w:rsidR="00BE229E" w:rsidRPr="00BE229E">
        <w:rPr>
          <w:rFonts w:ascii="Times New Roman" w:hAnsi="Times New Roman" w:cs="Times New Roman"/>
          <w:sz w:val="22"/>
          <w:szCs w:val="26"/>
        </w:rPr>
        <w:t>n addition to a tax variable, ownership concentration levels can also be considered and taken into account as a control variable for the purpose of conducting this study. This is because research has found that different levels of ownership concentration have different impacts on the amounts of dividends paid out to shareholders. Popular research in this area has found increased levels of ownership concentration to be associated with reduced dividend payments and dispersed ownership levels to be associated with higher dividend payments, all else equal</w:t>
      </w:r>
      <w:r w:rsidR="00713AAE">
        <w:rPr>
          <w:rFonts w:ascii="Times New Roman" w:hAnsi="Times New Roman" w:cs="Times New Roman"/>
          <w:sz w:val="22"/>
          <w:szCs w:val="26"/>
        </w:rPr>
        <w:t xml:space="preserve"> (Harada &amp; Nguyen, 2011)</w:t>
      </w:r>
      <w:r w:rsidR="00BE229E" w:rsidRPr="00BE229E">
        <w:rPr>
          <w:rFonts w:ascii="Times New Roman" w:hAnsi="Times New Roman" w:cs="Times New Roman"/>
          <w:sz w:val="22"/>
          <w:szCs w:val="26"/>
        </w:rPr>
        <w:t xml:space="preserve">. It can therefore be seen that ownership levels are an important determinant of a company’s dividend policy.  </w:t>
      </w:r>
    </w:p>
    <w:p w14:paraId="44115E73" w14:textId="77777777" w:rsidR="00B303FA" w:rsidRDefault="00BE229E" w:rsidP="00536234">
      <w:pPr>
        <w:spacing w:line="480" w:lineRule="auto"/>
        <w:ind w:left="0"/>
        <w:rPr>
          <w:rFonts w:ascii="Times New Roman" w:hAnsi="Times New Roman" w:cs="Times New Roman"/>
          <w:sz w:val="22"/>
          <w:szCs w:val="26"/>
        </w:rPr>
      </w:pPr>
      <w:r w:rsidRPr="00BE229E">
        <w:rPr>
          <w:rFonts w:ascii="Times New Roman" w:hAnsi="Times New Roman" w:cs="Times New Roman"/>
          <w:sz w:val="22"/>
          <w:szCs w:val="26"/>
        </w:rPr>
        <w:t xml:space="preserve">Lastly, BBBEE deals should also be looked at in terms of </w:t>
      </w:r>
      <w:r w:rsidR="001A6F16">
        <w:rPr>
          <w:rFonts w:ascii="Times New Roman" w:hAnsi="Times New Roman" w:cs="Times New Roman"/>
          <w:sz w:val="22"/>
          <w:szCs w:val="26"/>
        </w:rPr>
        <w:t>their</w:t>
      </w:r>
      <w:r w:rsidRPr="00BE229E">
        <w:rPr>
          <w:rFonts w:ascii="Times New Roman" w:hAnsi="Times New Roman" w:cs="Times New Roman"/>
          <w:sz w:val="22"/>
          <w:szCs w:val="26"/>
        </w:rPr>
        <w:t xml:space="preserve"> implications on the future liquidity and growth of companies.  This will directly address the implications of companies and policy setters raised earlier. It is important to understand the impact of these deals on liquidity as companies may find that they are placed under greater pressure to meet short-term debt commitments as a result of suddenly spending increased amounts of cash making dividend payments</w:t>
      </w:r>
      <w:r w:rsidR="000155C8">
        <w:rPr>
          <w:rFonts w:ascii="Times New Roman" w:hAnsi="Times New Roman" w:cs="Times New Roman"/>
          <w:sz w:val="22"/>
          <w:szCs w:val="26"/>
        </w:rPr>
        <w:t>,</w:t>
      </w:r>
      <w:r w:rsidRPr="00BE229E">
        <w:rPr>
          <w:rFonts w:ascii="Times New Roman" w:hAnsi="Times New Roman" w:cs="Times New Roman"/>
          <w:sz w:val="22"/>
          <w:szCs w:val="26"/>
        </w:rPr>
        <w:t xml:space="preserve"> without having made the appropriate provisions for </w:t>
      </w:r>
      <w:r w:rsidR="000155C8">
        <w:rPr>
          <w:rFonts w:ascii="Times New Roman" w:hAnsi="Times New Roman" w:cs="Times New Roman"/>
          <w:sz w:val="22"/>
          <w:szCs w:val="26"/>
        </w:rPr>
        <w:t xml:space="preserve">making </w:t>
      </w:r>
      <w:r w:rsidRPr="00BE229E">
        <w:rPr>
          <w:rFonts w:ascii="Times New Roman" w:hAnsi="Times New Roman" w:cs="Times New Roman"/>
          <w:sz w:val="22"/>
          <w:szCs w:val="26"/>
        </w:rPr>
        <w:t>these payments. The same can be said with regards to the impact of BBBEE deals o</w:t>
      </w:r>
      <w:r w:rsidR="000155C8">
        <w:rPr>
          <w:rFonts w:ascii="Times New Roman" w:hAnsi="Times New Roman" w:cs="Times New Roman"/>
          <w:sz w:val="22"/>
          <w:szCs w:val="26"/>
        </w:rPr>
        <w:t>n</w:t>
      </w:r>
      <w:r w:rsidRPr="00BE229E">
        <w:rPr>
          <w:rFonts w:ascii="Times New Roman" w:hAnsi="Times New Roman" w:cs="Times New Roman"/>
          <w:sz w:val="22"/>
          <w:szCs w:val="26"/>
        </w:rPr>
        <w:t xml:space="preserve"> growth opportunities</w:t>
      </w:r>
      <w:r w:rsidR="000155C8">
        <w:rPr>
          <w:rFonts w:ascii="Times New Roman" w:hAnsi="Times New Roman" w:cs="Times New Roman"/>
          <w:sz w:val="22"/>
          <w:szCs w:val="26"/>
        </w:rPr>
        <w:t>. This is</w:t>
      </w:r>
      <w:r w:rsidRPr="00BE229E">
        <w:rPr>
          <w:rFonts w:ascii="Times New Roman" w:hAnsi="Times New Roman" w:cs="Times New Roman"/>
          <w:sz w:val="22"/>
          <w:szCs w:val="26"/>
        </w:rPr>
        <w:t xml:space="preserve"> as increased dividend payments have the potential of further impacting the cash reserves that companies have allocated to seeking expansion opportunities.</w:t>
      </w:r>
      <w:r w:rsidR="00B303FA">
        <w:rPr>
          <w:rFonts w:ascii="Times New Roman" w:hAnsi="Times New Roman" w:cs="Times New Roman"/>
          <w:sz w:val="22"/>
          <w:szCs w:val="26"/>
        </w:rPr>
        <w:t xml:space="preserve">  </w:t>
      </w:r>
    </w:p>
    <w:p w14:paraId="69612F1A" w14:textId="77777777" w:rsidR="00B303FA" w:rsidRDefault="00B303FA" w:rsidP="00536234">
      <w:pPr>
        <w:spacing w:line="480" w:lineRule="auto"/>
        <w:ind w:left="0"/>
        <w:rPr>
          <w:rFonts w:ascii="Times New Roman" w:hAnsi="Times New Roman" w:cs="Times New Roman"/>
          <w:sz w:val="22"/>
          <w:szCs w:val="26"/>
        </w:rPr>
      </w:pPr>
    </w:p>
    <w:p w14:paraId="5058E3AB" w14:textId="77777777" w:rsidR="00B303FA" w:rsidRDefault="00B303FA" w:rsidP="00536234">
      <w:pPr>
        <w:spacing w:line="480" w:lineRule="auto"/>
        <w:ind w:left="0"/>
        <w:rPr>
          <w:rFonts w:ascii="Times New Roman" w:hAnsi="Times New Roman" w:cs="Times New Roman"/>
          <w:sz w:val="22"/>
          <w:szCs w:val="26"/>
        </w:rPr>
      </w:pPr>
    </w:p>
    <w:p w14:paraId="7D22EE2F" w14:textId="77777777" w:rsidR="00CA0B89" w:rsidRDefault="00CA0B89" w:rsidP="00536234">
      <w:pPr>
        <w:spacing w:line="480" w:lineRule="auto"/>
        <w:ind w:left="0"/>
        <w:rPr>
          <w:rFonts w:ascii="Times New Roman" w:hAnsi="Times New Roman" w:cs="Times New Roman"/>
          <w:b/>
          <w:szCs w:val="26"/>
          <w:u w:val="single"/>
        </w:rPr>
      </w:pPr>
    </w:p>
    <w:p w14:paraId="401883D3" w14:textId="77777777" w:rsidR="00CA0B89" w:rsidRDefault="00CA0B89" w:rsidP="00536234">
      <w:pPr>
        <w:spacing w:line="480" w:lineRule="auto"/>
        <w:ind w:left="0"/>
        <w:jc w:val="center"/>
        <w:rPr>
          <w:rFonts w:ascii="Times New Roman" w:hAnsi="Times New Roman" w:cs="Times New Roman"/>
          <w:b/>
          <w:szCs w:val="26"/>
          <w:u w:val="single"/>
        </w:rPr>
      </w:pPr>
    </w:p>
    <w:p w14:paraId="07860E25" w14:textId="77777777" w:rsidR="00F94EED" w:rsidRDefault="00F94EED" w:rsidP="00536234">
      <w:pPr>
        <w:spacing w:line="480" w:lineRule="auto"/>
        <w:ind w:left="0"/>
        <w:jc w:val="center"/>
        <w:rPr>
          <w:rFonts w:ascii="Times New Roman" w:hAnsi="Times New Roman" w:cs="Times New Roman"/>
          <w:b/>
          <w:szCs w:val="26"/>
          <w:u w:val="single"/>
        </w:rPr>
      </w:pPr>
    </w:p>
    <w:p w14:paraId="3CD968C6" w14:textId="77777777" w:rsidR="00CA0B89" w:rsidRDefault="00CA0B89" w:rsidP="00536234">
      <w:pPr>
        <w:spacing w:line="480" w:lineRule="auto"/>
        <w:ind w:left="0"/>
        <w:jc w:val="center"/>
        <w:rPr>
          <w:rFonts w:ascii="Times New Roman" w:hAnsi="Times New Roman" w:cs="Times New Roman"/>
          <w:b/>
          <w:szCs w:val="26"/>
          <w:u w:val="single"/>
        </w:rPr>
      </w:pPr>
    </w:p>
    <w:p w14:paraId="7B954AC5" w14:textId="77777777" w:rsidR="004F56AB" w:rsidRDefault="004F56AB">
      <w:pPr>
        <w:spacing w:after="160" w:line="259" w:lineRule="auto"/>
        <w:ind w:left="0" w:firstLine="0"/>
        <w:jc w:val="left"/>
      </w:pPr>
      <w:r>
        <w:br w:type="page"/>
      </w:r>
    </w:p>
    <w:p w14:paraId="3C738213" w14:textId="77777777" w:rsidR="006B7584" w:rsidRDefault="00C11B45" w:rsidP="00536234">
      <w:pPr>
        <w:pStyle w:val="Heading1"/>
        <w:ind w:left="0"/>
        <w:jc w:val="center"/>
        <w:rPr>
          <w:rFonts w:ascii="Times New Roman" w:hAnsi="Times New Roman" w:cs="Times New Roman"/>
          <w:b/>
          <w:color w:val="auto"/>
          <w:sz w:val="28"/>
          <w:u w:val="single"/>
        </w:rPr>
      </w:pPr>
      <w:bookmarkStart w:id="70" w:name="_Toc506717815"/>
      <w:r w:rsidRPr="00507D0D">
        <w:rPr>
          <w:rFonts w:ascii="Times New Roman" w:hAnsi="Times New Roman" w:cs="Times New Roman"/>
          <w:b/>
          <w:color w:val="auto"/>
          <w:sz w:val="28"/>
          <w:u w:val="single"/>
        </w:rPr>
        <w:lastRenderedPageBreak/>
        <w:t>R</w:t>
      </w:r>
      <w:r w:rsidR="00AC77C3" w:rsidRPr="00507D0D">
        <w:rPr>
          <w:rFonts w:ascii="Times New Roman" w:hAnsi="Times New Roman" w:cs="Times New Roman"/>
          <w:b/>
          <w:color w:val="auto"/>
          <w:sz w:val="28"/>
          <w:u w:val="single"/>
        </w:rPr>
        <w:t>EFERENCES</w:t>
      </w:r>
      <w:bookmarkEnd w:id="70"/>
    </w:p>
    <w:p w14:paraId="3651E014"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rPr>
        <w:t xml:space="preserve">ACKERMANN, P. L .S. &amp; MEYER, C. P. G. 2007. </w:t>
      </w:r>
      <w:r>
        <w:rPr>
          <w:rFonts w:ascii="Times New Roman" w:hAnsi="Times New Roman" w:cs="Times New Roman"/>
          <w:sz w:val="22"/>
          <w:szCs w:val="26"/>
        </w:rPr>
        <w:t>“The Identification of Credit Risk Mitigation Factors in Lending to Black Economic Empowerment (BEE) Companies in South Africa</w:t>
      </w:r>
      <w:r w:rsidRPr="006333FA">
        <w:rPr>
          <w:rFonts w:ascii="Times New Roman" w:hAnsi="Times New Roman" w:cs="Times New Roman"/>
          <w:i/>
          <w:sz w:val="22"/>
          <w:szCs w:val="26"/>
        </w:rPr>
        <w:t>”. Southern African Business Review</w:t>
      </w:r>
      <w:r>
        <w:rPr>
          <w:rFonts w:ascii="Times New Roman" w:hAnsi="Times New Roman" w:cs="Times New Roman"/>
          <w:sz w:val="22"/>
          <w:szCs w:val="26"/>
        </w:rPr>
        <w:t>, 11(1), 23-44.</w:t>
      </w:r>
    </w:p>
    <w:p w14:paraId="6C935AA3" w14:textId="77777777" w:rsidR="00A53B61" w:rsidRDefault="00A53B61" w:rsidP="00A53B61">
      <w:pPr>
        <w:spacing w:line="480" w:lineRule="auto"/>
        <w:ind w:left="0"/>
        <w:rPr>
          <w:rFonts w:ascii="Times New Roman" w:hAnsi="Times New Roman" w:cs="Times New Roman"/>
          <w:sz w:val="22"/>
          <w:szCs w:val="26"/>
        </w:rPr>
      </w:pPr>
      <w:r>
        <w:rPr>
          <w:rFonts w:ascii="Times New Roman" w:hAnsi="Times New Roman" w:cs="Times New Roman"/>
          <w:sz w:val="22"/>
          <w:szCs w:val="26"/>
        </w:rPr>
        <w:t>ACT. 200</w:t>
      </w:r>
      <w:r w:rsidRPr="005D0186">
        <w:rPr>
          <w:rFonts w:ascii="Times New Roman" w:hAnsi="Times New Roman" w:cs="Times New Roman"/>
          <w:sz w:val="22"/>
          <w:szCs w:val="26"/>
        </w:rPr>
        <w:t>3. Broad Based Black Economi</w:t>
      </w:r>
      <w:r>
        <w:rPr>
          <w:rFonts w:ascii="Times New Roman" w:hAnsi="Times New Roman" w:cs="Times New Roman"/>
          <w:sz w:val="22"/>
          <w:szCs w:val="26"/>
        </w:rPr>
        <w:t>c Empowerment Act-No.53 of 200</w:t>
      </w:r>
      <w:r w:rsidRPr="005D0186">
        <w:rPr>
          <w:rFonts w:ascii="Times New Roman" w:hAnsi="Times New Roman" w:cs="Times New Roman"/>
          <w:sz w:val="22"/>
          <w:szCs w:val="26"/>
        </w:rPr>
        <w:t>3. Government Printers, Pretoria.</w:t>
      </w:r>
    </w:p>
    <w:p w14:paraId="6C08FDEC" w14:textId="77777777" w:rsidR="00A53B61" w:rsidRDefault="00A53B61" w:rsidP="00A53B61">
      <w:pPr>
        <w:spacing w:line="480" w:lineRule="auto"/>
        <w:ind w:left="0"/>
        <w:rPr>
          <w:rFonts w:ascii="Times New Roman" w:hAnsi="Times New Roman" w:cs="Times New Roman"/>
          <w:sz w:val="22"/>
          <w:szCs w:val="26"/>
        </w:rPr>
      </w:pPr>
      <w:r>
        <w:rPr>
          <w:rFonts w:ascii="Times New Roman" w:hAnsi="Times New Roman" w:cs="Times New Roman"/>
          <w:sz w:val="22"/>
          <w:szCs w:val="26"/>
        </w:rPr>
        <w:t>AMENDED ACT</w:t>
      </w:r>
      <w:r w:rsidRPr="005D0186">
        <w:rPr>
          <w:rFonts w:ascii="Times New Roman" w:hAnsi="Times New Roman" w:cs="Times New Roman"/>
          <w:sz w:val="22"/>
          <w:szCs w:val="26"/>
        </w:rPr>
        <w:t>. 2013. Broad Based Black Economic Empowerment Act- amendment 2013. Government Printers, Pretoria.</w:t>
      </w:r>
    </w:p>
    <w:p w14:paraId="7E0E3C8C"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ANTELME, M. 2016. </w:t>
      </w:r>
      <w:r w:rsidRPr="00821412">
        <w:rPr>
          <w:rFonts w:ascii="Times New Roman" w:hAnsi="Times New Roman" w:cs="Times New Roman"/>
          <w:i/>
          <w:sz w:val="22"/>
          <w:szCs w:val="26"/>
        </w:rPr>
        <w:t>Correspondent</w:t>
      </w:r>
      <w:r>
        <w:rPr>
          <w:rFonts w:ascii="Times New Roman" w:hAnsi="Times New Roman" w:cs="Times New Roman"/>
          <w:i/>
          <w:sz w:val="22"/>
          <w:szCs w:val="26"/>
        </w:rPr>
        <w:t>: Politics and Economic</w:t>
      </w:r>
      <w:r w:rsidRPr="00821412">
        <w:rPr>
          <w:rFonts w:ascii="Times New Roman" w:hAnsi="Times New Roman" w:cs="Times New Roman"/>
          <w:i/>
          <w:sz w:val="22"/>
          <w:szCs w:val="26"/>
        </w:rPr>
        <w:t xml:space="preserve"> – April 2016</w:t>
      </w:r>
      <w:r>
        <w:rPr>
          <w:rFonts w:ascii="Times New Roman" w:hAnsi="Times New Roman" w:cs="Times New Roman"/>
          <w:sz w:val="22"/>
          <w:szCs w:val="26"/>
        </w:rPr>
        <w:t>. Johannesburg. Available</w:t>
      </w:r>
      <w:r w:rsidRPr="003A1203">
        <w:rPr>
          <w:rFonts w:ascii="Times New Roman" w:hAnsi="Times New Roman" w:cs="Times New Roman"/>
          <w:sz w:val="22"/>
          <w:szCs w:val="26"/>
        </w:rPr>
        <w:t>:</w:t>
      </w:r>
      <w:r>
        <w:rPr>
          <w:rFonts w:ascii="Times New Roman" w:hAnsi="Times New Roman" w:cs="Times New Roman"/>
          <w:sz w:val="22"/>
          <w:szCs w:val="26"/>
        </w:rPr>
        <w:t xml:space="preserve"> </w:t>
      </w:r>
      <w:hyperlink r:id="rId13" w:history="1">
        <w:r w:rsidRPr="0025739E">
          <w:rPr>
            <w:rStyle w:val="Hyperlink"/>
            <w:rFonts w:ascii="Times New Roman" w:hAnsi="Times New Roman" w:cs="Times New Roman"/>
            <w:sz w:val="22"/>
            <w:szCs w:val="26"/>
          </w:rPr>
          <w:t>http://www.coronation.com/za/personal/politics-and-economics-april-2016</w:t>
        </w:r>
      </w:hyperlink>
      <w:r>
        <w:rPr>
          <w:rFonts w:ascii="Times New Roman" w:hAnsi="Times New Roman" w:cs="Times New Roman"/>
          <w:sz w:val="22"/>
          <w:szCs w:val="26"/>
        </w:rPr>
        <w:t xml:space="preserve"> . [Accessed 15 May 2017</w:t>
      </w:r>
      <w:r w:rsidRPr="00BD3157">
        <w:rPr>
          <w:rFonts w:ascii="Times New Roman" w:hAnsi="Times New Roman" w:cs="Times New Roman"/>
          <w:sz w:val="22"/>
          <w:szCs w:val="26"/>
        </w:rPr>
        <w:t>].</w:t>
      </w:r>
    </w:p>
    <w:p w14:paraId="0335CC89"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ATHERFOLD, C. 2015. </w:t>
      </w:r>
      <w:r w:rsidRPr="00821412">
        <w:rPr>
          <w:rFonts w:ascii="Times New Roman" w:hAnsi="Times New Roman" w:cs="Times New Roman"/>
          <w:i/>
          <w:sz w:val="22"/>
          <w:szCs w:val="26"/>
        </w:rPr>
        <w:t>Black South Africans hold at least 23% of the Top 100 companies listed on the Johannesburg Stock Exchange</w:t>
      </w:r>
      <w:r w:rsidRPr="003A1203">
        <w:rPr>
          <w:rFonts w:ascii="Times New Roman" w:hAnsi="Times New Roman" w:cs="Times New Roman"/>
          <w:sz w:val="22"/>
          <w:szCs w:val="26"/>
        </w:rPr>
        <w:t>.</w:t>
      </w:r>
      <w:r>
        <w:rPr>
          <w:rFonts w:ascii="Times New Roman" w:hAnsi="Times New Roman" w:cs="Times New Roman"/>
          <w:sz w:val="22"/>
          <w:szCs w:val="26"/>
        </w:rPr>
        <w:t xml:space="preserve"> Johannesburg. </w:t>
      </w:r>
      <w:r w:rsidRPr="003A1203">
        <w:rPr>
          <w:rFonts w:ascii="Times New Roman" w:hAnsi="Times New Roman" w:cs="Times New Roman"/>
          <w:sz w:val="22"/>
          <w:szCs w:val="26"/>
        </w:rPr>
        <w:t>A</w:t>
      </w:r>
      <w:r>
        <w:rPr>
          <w:rFonts w:ascii="Times New Roman" w:hAnsi="Times New Roman" w:cs="Times New Roman"/>
          <w:sz w:val="22"/>
          <w:szCs w:val="26"/>
        </w:rPr>
        <w:t>vailable</w:t>
      </w:r>
      <w:r w:rsidRPr="003A1203">
        <w:rPr>
          <w:rFonts w:ascii="Times New Roman" w:hAnsi="Times New Roman" w:cs="Times New Roman"/>
          <w:sz w:val="22"/>
          <w:szCs w:val="26"/>
        </w:rPr>
        <w:t xml:space="preserve">: </w:t>
      </w:r>
      <w:hyperlink r:id="rId14" w:history="1">
        <w:r w:rsidRPr="0025739E">
          <w:rPr>
            <w:rStyle w:val="Hyperlink"/>
            <w:rFonts w:ascii="Times New Roman" w:hAnsi="Times New Roman" w:cs="Times New Roman"/>
            <w:sz w:val="22"/>
            <w:szCs w:val="26"/>
          </w:rPr>
          <w:t>https://www.jse.co.za/articles/black-south-africans-top-100-companies-listed-on-the-johannesburg-stock-exchange</w:t>
        </w:r>
      </w:hyperlink>
      <w:r>
        <w:rPr>
          <w:rFonts w:ascii="Times New Roman" w:hAnsi="Times New Roman" w:cs="Times New Roman"/>
          <w:sz w:val="22"/>
          <w:szCs w:val="26"/>
        </w:rPr>
        <w:t xml:space="preserve"> . [Accessed 07</w:t>
      </w:r>
      <w:r w:rsidRPr="00BD3157">
        <w:rPr>
          <w:rFonts w:ascii="Times New Roman" w:hAnsi="Times New Roman" w:cs="Times New Roman"/>
          <w:sz w:val="22"/>
          <w:szCs w:val="26"/>
        </w:rPr>
        <w:t xml:space="preserve"> May 2017].</w:t>
      </w:r>
    </w:p>
    <w:p w14:paraId="41F4590B"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AYMAROV, D., CHORDIA, T., JOSTOVA, G., &amp; PHILIPOV, A. 2010. </w:t>
      </w:r>
      <w:r w:rsidRPr="00473BA7">
        <w:rPr>
          <w:rFonts w:ascii="Times New Roman" w:hAnsi="Times New Roman" w:cs="Times New Roman"/>
          <w:sz w:val="22"/>
          <w:szCs w:val="26"/>
        </w:rPr>
        <w:t>Anomalies and financial distress. Unpublished working paper. Hebrew University</w:t>
      </w:r>
    </w:p>
    <w:p w14:paraId="5608DA75"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BAKER, H. K., POWELL, G. E., &amp; VEIT, E. T. 2002. </w:t>
      </w:r>
      <w:r w:rsidRPr="00410344">
        <w:rPr>
          <w:rFonts w:ascii="Times New Roman" w:hAnsi="Times New Roman" w:cs="Times New Roman"/>
          <w:sz w:val="22"/>
          <w:szCs w:val="26"/>
        </w:rPr>
        <w:t xml:space="preserve">Revisiting the dividend puzzle: Do all of the pieces now fit?  </w:t>
      </w:r>
      <w:r w:rsidRPr="00821412">
        <w:rPr>
          <w:rFonts w:ascii="Times New Roman" w:hAnsi="Times New Roman" w:cs="Times New Roman"/>
          <w:i/>
          <w:sz w:val="22"/>
          <w:szCs w:val="26"/>
        </w:rPr>
        <w:t>Review of Financial Economics</w:t>
      </w:r>
      <w:r w:rsidRPr="00410344">
        <w:rPr>
          <w:rFonts w:ascii="Times New Roman" w:hAnsi="Times New Roman" w:cs="Times New Roman"/>
          <w:sz w:val="22"/>
          <w:szCs w:val="26"/>
        </w:rPr>
        <w:t>.</w:t>
      </w:r>
      <w:r>
        <w:rPr>
          <w:rFonts w:ascii="Times New Roman" w:hAnsi="Times New Roman" w:cs="Times New Roman"/>
          <w:sz w:val="22"/>
          <w:szCs w:val="26"/>
        </w:rPr>
        <w:t xml:space="preserve"> Volume 11, Issue 4, 2002,</w:t>
      </w:r>
      <w:r w:rsidRPr="00410344">
        <w:rPr>
          <w:rFonts w:ascii="Times New Roman" w:hAnsi="Times New Roman" w:cs="Times New Roman"/>
          <w:sz w:val="22"/>
          <w:szCs w:val="26"/>
        </w:rPr>
        <w:t xml:space="preserve"> 241-261</w:t>
      </w:r>
      <w:r>
        <w:rPr>
          <w:rFonts w:ascii="Times New Roman" w:hAnsi="Times New Roman" w:cs="Times New Roman"/>
          <w:sz w:val="22"/>
          <w:szCs w:val="26"/>
        </w:rPr>
        <w:t>.</w:t>
      </w:r>
    </w:p>
    <w:p w14:paraId="2CB194B8"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BAKER, M. &amp; WURGLER, J. 2004. </w:t>
      </w:r>
      <w:r w:rsidRPr="003A1203">
        <w:rPr>
          <w:rFonts w:ascii="Times New Roman" w:hAnsi="Times New Roman" w:cs="Times New Roman"/>
          <w:sz w:val="22"/>
          <w:szCs w:val="26"/>
        </w:rPr>
        <w:t>"Appearing and disappearing dividends: The link to catering inc</w:t>
      </w:r>
      <w:r>
        <w:rPr>
          <w:rFonts w:ascii="Times New Roman" w:hAnsi="Times New Roman" w:cs="Times New Roman"/>
          <w:sz w:val="22"/>
          <w:szCs w:val="26"/>
        </w:rPr>
        <w:t xml:space="preserve">entives." </w:t>
      </w:r>
      <w:r w:rsidRPr="00821412">
        <w:rPr>
          <w:rFonts w:ascii="Times New Roman" w:hAnsi="Times New Roman" w:cs="Times New Roman"/>
          <w:i/>
          <w:sz w:val="22"/>
          <w:szCs w:val="26"/>
        </w:rPr>
        <w:t>Journal of Financial Economics</w:t>
      </w:r>
      <w:r>
        <w:rPr>
          <w:rFonts w:ascii="Times New Roman" w:hAnsi="Times New Roman" w:cs="Times New Roman"/>
          <w:sz w:val="22"/>
          <w:szCs w:val="26"/>
        </w:rPr>
        <w:t>,</w:t>
      </w:r>
      <w:r w:rsidRPr="003A1203">
        <w:rPr>
          <w:rFonts w:ascii="Times New Roman" w:hAnsi="Times New Roman" w:cs="Times New Roman"/>
          <w:sz w:val="22"/>
          <w:szCs w:val="26"/>
        </w:rPr>
        <w:t xml:space="preserve"> 73(2)</w:t>
      </w:r>
      <w:r>
        <w:rPr>
          <w:rFonts w:ascii="Times New Roman" w:hAnsi="Times New Roman" w:cs="Times New Roman"/>
          <w:sz w:val="22"/>
          <w:szCs w:val="26"/>
        </w:rPr>
        <w:t>,</w:t>
      </w:r>
      <w:r w:rsidRPr="003A1203">
        <w:rPr>
          <w:rFonts w:ascii="Times New Roman" w:hAnsi="Times New Roman" w:cs="Times New Roman"/>
          <w:sz w:val="22"/>
          <w:szCs w:val="26"/>
        </w:rPr>
        <w:t xml:space="preserve"> 271-288. </w:t>
      </w:r>
    </w:p>
    <w:p w14:paraId="33A324FF"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BAKER, M. &amp; WURGLER, J. 2004.</w:t>
      </w:r>
      <w:r w:rsidRPr="003A1203">
        <w:rPr>
          <w:rFonts w:ascii="Times New Roman" w:hAnsi="Times New Roman" w:cs="Times New Roman"/>
          <w:sz w:val="22"/>
          <w:szCs w:val="26"/>
        </w:rPr>
        <w:t xml:space="preserve"> "A catering theory of dividends." </w:t>
      </w:r>
      <w:r w:rsidRPr="00821412">
        <w:rPr>
          <w:rFonts w:ascii="Times New Roman" w:hAnsi="Times New Roman" w:cs="Times New Roman"/>
          <w:i/>
          <w:sz w:val="22"/>
          <w:szCs w:val="26"/>
        </w:rPr>
        <w:t>The Journal of Finance</w:t>
      </w:r>
      <w:r>
        <w:rPr>
          <w:rFonts w:ascii="Times New Roman" w:hAnsi="Times New Roman" w:cs="Times New Roman"/>
          <w:sz w:val="22"/>
          <w:szCs w:val="26"/>
        </w:rPr>
        <w:t>,</w:t>
      </w:r>
      <w:r w:rsidRPr="003A1203">
        <w:rPr>
          <w:rFonts w:ascii="Times New Roman" w:hAnsi="Times New Roman" w:cs="Times New Roman"/>
          <w:sz w:val="22"/>
          <w:szCs w:val="26"/>
        </w:rPr>
        <w:t xml:space="preserve"> 59(3)</w:t>
      </w:r>
      <w:r>
        <w:rPr>
          <w:rFonts w:ascii="Times New Roman" w:hAnsi="Times New Roman" w:cs="Times New Roman"/>
          <w:sz w:val="22"/>
          <w:szCs w:val="26"/>
        </w:rPr>
        <w:t>,</w:t>
      </w:r>
      <w:r w:rsidRPr="003A1203">
        <w:rPr>
          <w:rFonts w:ascii="Times New Roman" w:hAnsi="Times New Roman" w:cs="Times New Roman"/>
          <w:sz w:val="22"/>
          <w:szCs w:val="26"/>
        </w:rPr>
        <w:t xml:space="preserve"> 1125-1165. </w:t>
      </w:r>
    </w:p>
    <w:p w14:paraId="14CF0F6D"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BALSHAW, T. &amp; GOLDBERG, J. 2005. Cracking Broad-Based Black Economic Empowerment: Codes and Scorecard Unpacked. Cape Town</w:t>
      </w:r>
      <w:r w:rsidRPr="00B17F28">
        <w:rPr>
          <w:rFonts w:ascii="Times New Roman" w:hAnsi="Times New Roman" w:cs="Times New Roman"/>
          <w:sz w:val="22"/>
          <w:szCs w:val="26"/>
        </w:rPr>
        <w:t>. Human &amp; Rousseau</w:t>
      </w:r>
      <w:r>
        <w:rPr>
          <w:rFonts w:ascii="Times New Roman" w:hAnsi="Times New Roman" w:cs="Times New Roman"/>
          <w:sz w:val="22"/>
          <w:szCs w:val="26"/>
        </w:rPr>
        <w:t>.</w:t>
      </w:r>
    </w:p>
    <w:p w14:paraId="668F7255" w14:textId="77777777" w:rsidR="00CA1E77" w:rsidRDefault="00CA1E77" w:rsidP="00CA1E77">
      <w:pPr>
        <w:ind w:left="10"/>
        <w:rPr>
          <w:rFonts w:ascii="Times New Roman" w:hAnsi="Times New Roman" w:cs="Times New Roman"/>
          <w:sz w:val="22"/>
          <w:szCs w:val="26"/>
        </w:rPr>
      </w:pPr>
      <w:r>
        <w:rPr>
          <w:rFonts w:ascii="Times New Roman" w:hAnsi="Times New Roman" w:cs="Times New Roman"/>
          <w:sz w:val="22"/>
          <w:szCs w:val="26"/>
        </w:rPr>
        <w:t xml:space="preserve">BALTAGI, B. H. 2002. </w:t>
      </w:r>
      <w:r w:rsidRPr="00821412">
        <w:rPr>
          <w:rFonts w:ascii="Times New Roman" w:hAnsi="Times New Roman" w:cs="Times New Roman"/>
          <w:i/>
          <w:sz w:val="22"/>
          <w:szCs w:val="26"/>
        </w:rPr>
        <w:t>Econometric Analysis of Panel Data: Second Edition</w:t>
      </w:r>
      <w:r>
        <w:rPr>
          <w:rFonts w:ascii="Times New Roman" w:hAnsi="Times New Roman" w:cs="Times New Roman"/>
          <w:sz w:val="22"/>
          <w:szCs w:val="26"/>
        </w:rPr>
        <w:t>, New York.</w:t>
      </w:r>
      <w:r w:rsidRPr="00B17F28">
        <w:rPr>
          <w:rFonts w:ascii="Times New Roman" w:hAnsi="Times New Roman" w:cs="Times New Roman"/>
          <w:sz w:val="22"/>
          <w:szCs w:val="26"/>
        </w:rPr>
        <w:t xml:space="preserve"> John Wiley &amp; Sons Ltd.</w:t>
      </w:r>
      <w:r>
        <w:rPr>
          <w:rFonts w:ascii="Times New Roman" w:hAnsi="Times New Roman" w:cs="Times New Roman"/>
          <w:sz w:val="22"/>
          <w:szCs w:val="26"/>
        </w:rPr>
        <w:t xml:space="preserve"> [Accessed 21 August</w:t>
      </w:r>
      <w:r w:rsidRPr="00BD3157">
        <w:rPr>
          <w:rFonts w:ascii="Times New Roman" w:hAnsi="Times New Roman" w:cs="Times New Roman"/>
          <w:sz w:val="22"/>
          <w:szCs w:val="26"/>
        </w:rPr>
        <w:t xml:space="preserve"> 2017].</w:t>
      </w:r>
    </w:p>
    <w:p w14:paraId="28220763"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BALTAGI, B. H. 2008. </w:t>
      </w:r>
      <w:r w:rsidRPr="00821412">
        <w:rPr>
          <w:rFonts w:ascii="Times New Roman" w:hAnsi="Times New Roman" w:cs="Times New Roman"/>
          <w:i/>
          <w:sz w:val="22"/>
          <w:szCs w:val="26"/>
        </w:rPr>
        <w:t>A Companion to Economic Analysis to Panel Data</w:t>
      </w:r>
      <w:r>
        <w:rPr>
          <w:rFonts w:ascii="Times New Roman" w:hAnsi="Times New Roman" w:cs="Times New Roman"/>
          <w:sz w:val="22"/>
          <w:szCs w:val="26"/>
        </w:rPr>
        <w:t>, New York. John Wiley &amp; Sons Ltd. Publication. New Jersey. [Accessed 21 August</w:t>
      </w:r>
      <w:r w:rsidRPr="00BD3157">
        <w:rPr>
          <w:rFonts w:ascii="Times New Roman" w:hAnsi="Times New Roman" w:cs="Times New Roman"/>
          <w:sz w:val="22"/>
          <w:szCs w:val="26"/>
        </w:rPr>
        <w:t xml:space="preserve"> 2017].</w:t>
      </w:r>
    </w:p>
    <w:p w14:paraId="3C823902"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BATCHELOR, P. &amp; DUNNE, P. 1999. </w:t>
      </w:r>
      <w:r w:rsidRPr="005A4BD4">
        <w:rPr>
          <w:rFonts w:ascii="Times New Roman" w:hAnsi="Times New Roman" w:cs="Times New Roman"/>
          <w:sz w:val="22"/>
          <w:szCs w:val="26"/>
        </w:rPr>
        <w:t>TIPS Annual Forum, Industrial Participation, Investment</w:t>
      </w:r>
      <w:r>
        <w:rPr>
          <w:rFonts w:ascii="Times New Roman" w:hAnsi="Times New Roman" w:cs="Times New Roman"/>
          <w:sz w:val="22"/>
          <w:szCs w:val="26"/>
        </w:rPr>
        <w:t xml:space="preserve"> </w:t>
      </w:r>
      <w:r w:rsidRPr="005A4BD4">
        <w:rPr>
          <w:rFonts w:ascii="Times New Roman" w:hAnsi="Times New Roman" w:cs="Times New Roman"/>
          <w:sz w:val="22"/>
          <w:szCs w:val="26"/>
        </w:rPr>
        <w:t>and Growth: The Case of South Af</w:t>
      </w:r>
      <w:r>
        <w:rPr>
          <w:rFonts w:ascii="Times New Roman" w:hAnsi="Times New Roman" w:cs="Times New Roman"/>
          <w:sz w:val="22"/>
          <w:szCs w:val="26"/>
        </w:rPr>
        <w:t>rica's Defence Related Industry, 19-22.</w:t>
      </w:r>
    </w:p>
    <w:p w14:paraId="6AD1C59C"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BERLE, A. A. &amp; MEANS, G. C. 1932. </w:t>
      </w:r>
      <w:r w:rsidRPr="003A1203">
        <w:rPr>
          <w:rFonts w:ascii="Times New Roman" w:hAnsi="Times New Roman" w:cs="Times New Roman"/>
          <w:sz w:val="22"/>
          <w:szCs w:val="26"/>
        </w:rPr>
        <w:t>The Modern Corporation and Priv</w:t>
      </w:r>
      <w:r>
        <w:rPr>
          <w:rFonts w:ascii="Times New Roman" w:hAnsi="Times New Roman" w:cs="Times New Roman"/>
          <w:sz w:val="22"/>
          <w:szCs w:val="26"/>
        </w:rPr>
        <w:t>a</w:t>
      </w:r>
      <w:r w:rsidRPr="003A1203">
        <w:rPr>
          <w:rFonts w:ascii="Times New Roman" w:hAnsi="Times New Roman" w:cs="Times New Roman"/>
          <w:sz w:val="22"/>
          <w:szCs w:val="26"/>
        </w:rPr>
        <w:t xml:space="preserve">te Property. New York: </w:t>
      </w:r>
      <w:r w:rsidRPr="00821412">
        <w:rPr>
          <w:rFonts w:ascii="Times New Roman" w:hAnsi="Times New Roman" w:cs="Times New Roman"/>
          <w:i/>
          <w:sz w:val="22"/>
          <w:szCs w:val="26"/>
        </w:rPr>
        <w:t>Macmillan</w:t>
      </w:r>
      <w:r w:rsidRPr="003A1203">
        <w:rPr>
          <w:rFonts w:ascii="Times New Roman" w:hAnsi="Times New Roman" w:cs="Times New Roman"/>
          <w:sz w:val="22"/>
          <w:szCs w:val="26"/>
        </w:rPr>
        <w:t>.</w:t>
      </w:r>
    </w:p>
    <w:p w14:paraId="0C96E13E" w14:textId="77777777" w:rsidR="00CA1E77" w:rsidRDefault="00CA1E77" w:rsidP="00CA1E77">
      <w:pPr>
        <w:spacing w:line="480" w:lineRule="auto"/>
        <w:ind w:left="0"/>
        <w:rPr>
          <w:rFonts w:ascii="Times New Roman" w:hAnsi="Times New Roman" w:cs="Times New Roman"/>
          <w:sz w:val="22"/>
          <w:szCs w:val="26"/>
        </w:rPr>
      </w:pPr>
      <w:r w:rsidRPr="005A034F">
        <w:rPr>
          <w:rFonts w:ascii="Times New Roman" w:hAnsi="Times New Roman" w:cs="Times New Roman"/>
          <w:sz w:val="22"/>
          <w:szCs w:val="26"/>
        </w:rPr>
        <w:t>BERTRAND,</w:t>
      </w:r>
      <w:r>
        <w:rPr>
          <w:rFonts w:ascii="Times New Roman" w:hAnsi="Times New Roman" w:cs="Times New Roman"/>
          <w:sz w:val="22"/>
          <w:szCs w:val="26"/>
        </w:rPr>
        <w:t xml:space="preserve"> M., DUFLO, E., &amp; MULLAINATHAN, S. 2004. </w:t>
      </w:r>
      <w:r w:rsidRPr="003A1203">
        <w:rPr>
          <w:rFonts w:ascii="Times New Roman" w:hAnsi="Times New Roman" w:cs="Times New Roman"/>
          <w:sz w:val="22"/>
          <w:szCs w:val="26"/>
        </w:rPr>
        <w:t xml:space="preserve">"How much should we trust differences-in-differences estimates?" </w:t>
      </w:r>
      <w:r w:rsidRPr="00821412">
        <w:rPr>
          <w:rFonts w:ascii="Times New Roman" w:hAnsi="Times New Roman" w:cs="Times New Roman"/>
          <w:i/>
          <w:sz w:val="22"/>
          <w:szCs w:val="26"/>
        </w:rPr>
        <w:t>The Quarterly Journal of Economics</w:t>
      </w:r>
      <w:r>
        <w:rPr>
          <w:rFonts w:ascii="Times New Roman" w:hAnsi="Times New Roman" w:cs="Times New Roman"/>
          <w:sz w:val="22"/>
          <w:szCs w:val="26"/>
        </w:rPr>
        <w:t>,</w:t>
      </w:r>
      <w:r w:rsidRPr="003A1203">
        <w:rPr>
          <w:rFonts w:ascii="Times New Roman" w:hAnsi="Times New Roman" w:cs="Times New Roman"/>
          <w:sz w:val="22"/>
          <w:szCs w:val="26"/>
        </w:rPr>
        <w:t xml:space="preserve"> 119(1)</w:t>
      </w:r>
      <w:r>
        <w:rPr>
          <w:rFonts w:ascii="Times New Roman" w:hAnsi="Times New Roman" w:cs="Times New Roman"/>
          <w:sz w:val="22"/>
          <w:szCs w:val="26"/>
        </w:rPr>
        <w:t>,</w:t>
      </w:r>
      <w:r w:rsidRPr="003A1203">
        <w:rPr>
          <w:rFonts w:ascii="Times New Roman" w:hAnsi="Times New Roman" w:cs="Times New Roman"/>
          <w:sz w:val="22"/>
          <w:szCs w:val="26"/>
        </w:rPr>
        <w:t xml:space="preserve"> 249-275. </w:t>
      </w:r>
    </w:p>
    <w:p w14:paraId="134BCCD6"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BHATTACHARYA, S. 1979. </w:t>
      </w:r>
      <w:r w:rsidRPr="003A1203">
        <w:rPr>
          <w:rFonts w:ascii="Times New Roman" w:hAnsi="Times New Roman" w:cs="Times New Roman"/>
          <w:sz w:val="22"/>
          <w:szCs w:val="26"/>
        </w:rPr>
        <w:t xml:space="preserve">"Imperfect information, dividend policy, and “the bird in the hand” fallacy." </w:t>
      </w:r>
      <w:r w:rsidRPr="00821412">
        <w:rPr>
          <w:rFonts w:ascii="Times New Roman" w:hAnsi="Times New Roman" w:cs="Times New Roman"/>
          <w:i/>
          <w:sz w:val="22"/>
          <w:szCs w:val="26"/>
        </w:rPr>
        <w:t>Bell Journal of Economics</w:t>
      </w:r>
      <w:r>
        <w:rPr>
          <w:rFonts w:ascii="Times New Roman" w:hAnsi="Times New Roman" w:cs="Times New Roman"/>
          <w:sz w:val="22"/>
          <w:szCs w:val="26"/>
        </w:rPr>
        <w:t>,</w:t>
      </w:r>
      <w:r w:rsidRPr="003A1203">
        <w:rPr>
          <w:rFonts w:ascii="Times New Roman" w:hAnsi="Times New Roman" w:cs="Times New Roman"/>
          <w:sz w:val="22"/>
          <w:szCs w:val="26"/>
        </w:rPr>
        <w:t xml:space="preserve"> 10(1)</w:t>
      </w:r>
      <w:r>
        <w:rPr>
          <w:rFonts w:ascii="Times New Roman" w:hAnsi="Times New Roman" w:cs="Times New Roman"/>
          <w:sz w:val="22"/>
          <w:szCs w:val="26"/>
        </w:rPr>
        <w:t>,</w:t>
      </w:r>
      <w:r w:rsidRPr="003A1203">
        <w:rPr>
          <w:rFonts w:ascii="Times New Roman" w:hAnsi="Times New Roman" w:cs="Times New Roman"/>
          <w:sz w:val="22"/>
          <w:szCs w:val="26"/>
        </w:rPr>
        <w:t xml:space="preserve"> 259-270. </w:t>
      </w:r>
    </w:p>
    <w:p w14:paraId="5DFDE1E4"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BIKHCHANDANI, S. &amp; SHARMA, S. 2001. </w:t>
      </w:r>
      <w:r w:rsidRPr="00C00BE2">
        <w:rPr>
          <w:rFonts w:ascii="Times New Roman" w:hAnsi="Times New Roman" w:cs="Times New Roman"/>
          <w:sz w:val="22"/>
          <w:szCs w:val="26"/>
        </w:rPr>
        <w:t xml:space="preserve">Herd Behaviour in Financial Markets. </w:t>
      </w:r>
      <w:r w:rsidRPr="00821412">
        <w:rPr>
          <w:rFonts w:ascii="Times New Roman" w:hAnsi="Times New Roman" w:cs="Times New Roman"/>
          <w:i/>
          <w:sz w:val="22"/>
          <w:szCs w:val="26"/>
        </w:rPr>
        <w:t>IMF Staff Papers</w:t>
      </w:r>
      <w:r>
        <w:rPr>
          <w:rFonts w:ascii="Times New Roman" w:hAnsi="Times New Roman" w:cs="Times New Roman"/>
          <w:sz w:val="22"/>
          <w:szCs w:val="26"/>
        </w:rPr>
        <w:t>,</w:t>
      </w:r>
      <w:r w:rsidRPr="00C00BE2">
        <w:rPr>
          <w:rFonts w:ascii="Times New Roman" w:hAnsi="Times New Roman" w:cs="Times New Roman"/>
          <w:sz w:val="22"/>
          <w:szCs w:val="26"/>
        </w:rPr>
        <w:t xml:space="preserve"> Vol. 47, No. 3</w:t>
      </w:r>
      <w:r>
        <w:rPr>
          <w:rFonts w:ascii="Times New Roman" w:hAnsi="Times New Roman" w:cs="Times New Roman"/>
          <w:sz w:val="22"/>
          <w:szCs w:val="26"/>
        </w:rPr>
        <w:t>,</w:t>
      </w:r>
      <w:r w:rsidRPr="00C00BE2">
        <w:rPr>
          <w:rFonts w:ascii="Times New Roman" w:hAnsi="Times New Roman" w:cs="Times New Roman"/>
          <w:sz w:val="22"/>
          <w:szCs w:val="26"/>
        </w:rPr>
        <w:t xml:space="preserve"> International Monetary Fund</w:t>
      </w:r>
      <w:r>
        <w:rPr>
          <w:rFonts w:ascii="Times New Roman" w:hAnsi="Times New Roman" w:cs="Times New Roman"/>
          <w:sz w:val="22"/>
          <w:szCs w:val="26"/>
        </w:rPr>
        <w:t>.</w:t>
      </w:r>
    </w:p>
    <w:p w14:paraId="6FCFD1D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BLACK, F. 1976. </w:t>
      </w:r>
      <w:r w:rsidRPr="003A1203">
        <w:rPr>
          <w:rFonts w:ascii="Times New Roman" w:hAnsi="Times New Roman" w:cs="Times New Roman"/>
          <w:sz w:val="22"/>
          <w:szCs w:val="26"/>
        </w:rPr>
        <w:t xml:space="preserve">"The dividend puzzle." </w:t>
      </w:r>
      <w:r w:rsidRPr="00821412">
        <w:rPr>
          <w:rFonts w:ascii="Times New Roman" w:hAnsi="Times New Roman" w:cs="Times New Roman"/>
          <w:i/>
          <w:sz w:val="22"/>
          <w:szCs w:val="26"/>
        </w:rPr>
        <w:t>The Journal of Portfolio Management</w:t>
      </w:r>
      <w:r>
        <w:rPr>
          <w:rFonts w:ascii="Times New Roman" w:hAnsi="Times New Roman" w:cs="Times New Roman"/>
          <w:sz w:val="22"/>
          <w:szCs w:val="26"/>
        </w:rPr>
        <w:t>,</w:t>
      </w:r>
      <w:r w:rsidRPr="003A1203">
        <w:rPr>
          <w:rFonts w:ascii="Times New Roman" w:hAnsi="Times New Roman" w:cs="Times New Roman"/>
          <w:sz w:val="22"/>
          <w:szCs w:val="26"/>
        </w:rPr>
        <w:t xml:space="preserve"> 2(2)</w:t>
      </w:r>
      <w:r>
        <w:rPr>
          <w:rFonts w:ascii="Times New Roman" w:hAnsi="Times New Roman" w:cs="Times New Roman"/>
          <w:sz w:val="22"/>
          <w:szCs w:val="26"/>
        </w:rPr>
        <w:t>,</w:t>
      </w:r>
      <w:r w:rsidRPr="003A1203">
        <w:rPr>
          <w:rFonts w:ascii="Times New Roman" w:hAnsi="Times New Roman" w:cs="Times New Roman"/>
          <w:sz w:val="22"/>
          <w:szCs w:val="26"/>
        </w:rPr>
        <w:t xml:space="preserve"> 5-8. </w:t>
      </w:r>
    </w:p>
    <w:p w14:paraId="12B272DD" w14:textId="77777777" w:rsidR="00CA1E77" w:rsidRDefault="00CA1E77" w:rsidP="00CA1E77">
      <w:pPr>
        <w:spacing w:line="480" w:lineRule="auto"/>
        <w:ind w:left="0"/>
        <w:rPr>
          <w:rFonts w:ascii="Times New Roman" w:hAnsi="Times New Roman" w:cs="Times New Roman"/>
          <w:sz w:val="22"/>
          <w:szCs w:val="26"/>
        </w:rPr>
      </w:pPr>
      <w:r w:rsidRPr="005A034F">
        <w:rPr>
          <w:rFonts w:ascii="Times New Roman" w:hAnsi="Times New Roman" w:cs="Times New Roman"/>
          <w:sz w:val="22"/>
          <w:szCs w:val="26"/>
        </w:rPr>
        <w:t>BREALEY,</w:t>
      </w:r>
      <w:r>
        <w:rPr>
          <w:rFonts w:ascii="Times New Roman" w:hAnsi="Times New Roman" w:cs="Times New Roman"/>
          <w:sz w:val="22"/>
          <w:szCs w:val="26"/>
        </w:rPr>
        <w:t xml:space="preserve"> R., MYERS, S. C., &amp; MARCUS, A. J. </w:t>
      </w:r>
      <w:r w:rsidRPr="003A1203">
        <w:rPr>
          <w:rFonts w:ascii="Times New Roman" w:hAnsi="Times New Roman" w:cs="Times New Roman"/>
          <w:sz w:val="22"/>
          <w:szCs w:val="26"/>
        </w:rPr>
        <w:t xml:space="preserve">2007. </w:t>
      </w:r>
      <w:r w:rsidRPr="00821412">
        <w:rPr>
          <w:rFonts w:ascii="Times New Roman" w:hAnsi="Times New Roman" w:cs="Times New Roman"/>
          <w:i/>
          <w:sz w:val="22"/>
          <w:szCs w:val="26"/>
        </w:rPr>
        <w:t>Fundamentals of Corporate Finance</w:t>
      </w:r>
      <w:r>
        <w:rPr>
          <w:rFonts w:ascii="Times New Roman" w:hAnsi="Times New Roman" w:cs="Times New Roman"/>
          <w:sz w:val="22"/>
          <w:szCs w:val="26"/>
        </w:rPr>
        <w:t>, New York, Mc Graw Hill.</w:t>
      </w:r>
      <w:r w:rsidRPr="003A1203">
        <w:rPr>
          <w:rFonts w:ascii="Times New Roman" w:hAnsi="Times New Roman" w:cs="Times New Roman"/>
          <w:sz w:val="22"/>
          <w:szCs w:val="26"/>
        </w:rPr>
        <w:t xml:space="preserve"> </w:t>
      </w:r>
    </w:p>
    <w:p w14:paraId="62ED33A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BURGER, E., MUNIAN, G., &amp; DE GROOT, D. 2003. “Black Economic Empowerment: A review of the impact of funding structures on sustainable BEE transaction”. MBA Thesis, University of Cape Town, Cape Town, South Africa.</w:t>
      </w:r>
    </w:p>
    <w:p w14:paraId="40E4077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BUSINESSMAP FOUNDATION. 1999. </w:t>
      </w:r>
      <w:r w:rsidRPr="00F849FE">
        <w:rPr>
          <w:rFonts w:ascii="Times New Roman" w:hAnsi="Times New Roman" w:cs="Times New Roman"/>
          <w:sz w:val="22"/>
          <w:szCs w:val="26"/>
        </w:rPr>
        <w:t>Empowerment Guidelines for Investors: Mapping state requirements and</w:t>
      </w:r>
      <w:r>
        <w:rPr>
          <w:rFonts w:ascii="Times New Roman" w:hAnsi="Times New Roman" w:cs="Times New Roman"/>
          <w:sz w:val="22"/>
          <w:szCs w:val="26"/>
        </w:rPr>
        <w:t xml:space="preserve"> </w:t>
      </w:r>
      <w:r w:rsidRPr="00F849FE">
        <w:rPr>
          <w:rFonts w:ascii="Times New Roman" w:hAnsi="Times New Roman" w:cs="Times New Roman"/>
          <w:sz w:val="22"/>
          <w:szCs w:val="26"/>
        </w:rPr>
        <w:t>investor experiences. Empowerment Guidelines.</w:t>
      </w:r>
      <w:r>
        <w:rPr>
          <w:rFonts w:ascii="Times New Roman" w:hAnsi="Times New Roman" w:cs="Times New Roman"/>
          <w:sz w:val="22"/>
          <w:szCs w:val="26"/>
        </w:rPr>
        <w:t xml:space="preserve"> Johannesburg. [Accessed 24 April</w:t>
      </w:r>
      <w:r w:rsidRPr="00BD3157">
        <w:rPr>
          <w:rFonts w:ascii="Times New Roman" w:hAnsi="Times New Roman" w:cs="Times New Roman"/>
          <w:sz w:val="22"/>
          <w:szCs w:val="26"/>
        </w:rPr>
        <w:t xml:space="preserve"> 2017].</w:t>
      </w:r>
    </w:p>
    <w:p w14:paraId="06FFC3C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BUSINESSMAP FOUNDATION. 2005. Behind the deals, </w:t>
      </w:r>
      <w:r w:rsidRPr="00DD0D9D">
        <w:rPr>
          <w:rFonts w:ascii="Times New Roman" w:hAnsi="Times New Roman" w:cs="Times New Roman"/>
          <w:sz w:val="22"/>
          <w:szCs w:val="26"/>
        </w:rPr>
        <w:t>277.</w:t>
      </w:r>
      <w:r>
        <w:rPr>
          <w:rFonts w:ascii="Times New Roman" w:hAnsi="Times New Roman" w:cs="Times New Roman"/>
          <w:sz w:val="22"/>
          <w:szCs w:val="26"/>
        </w:rPr>
        <w:t xml:space="preserve"> Johannesburg. [Accessed 24 April</w:t>
      </w:r>
      <w:r w:rsidRPr="00BD3157">
        <w:rPr>
          <w:rFonts w:ascii="Times New Roman" w:hAnsi="Times New Roman" w:cs="Times New Roman"/>
          <w:sz w:val="22"/>
          <w:szCs w:val="26"/>
        </w:rPr>
        <w:t xml:space="preserve"> 2017].</w:t>
      </w:r>
    </w:p>
    <w:p w14:paraId="1D06E883" w14:textId="77777777" w:rsidR="00CA1E77" w:rsidRDefault="00CA1E77" w:rsidP="00CA1E77">
      <w:pPr>
        <w:spacing w:line="480" w:lineRule="auto"/>
        <w:ind w:left="0"/>
        <w:rPr>
          <w:rFonts w:ascii="Times New Roman" w:hAnsi="Times New Roman" w:cs="Times New Roman"/>
          <w:sz w:val="22"/>
          <w:szCs w:val="26"/>
        </w:rPr>
      </w:pPr>
      <w:r w:rsidRPr="00473BA7">
        <w:rPr>
          <w:rFonts w:ascii="Times New Roman" w:hAnsi="Times New Roman" w:cs="Times New Roman"/>
          <w:sz w:val="22"/>
          <w:szCs w:val="26"/>
        </w:rPr>
        <w:t>BWAKIRA, S. &amp; KHUMALO, W. 2004. “Black Economic Empowerment: A study of sources of Finance for unlisted entities in South Africa” MBA Thesis, University of Cape Town, Cape Town, South Africa.</w:t>
      </w:r>
    </w:p>
    <w:p w14:paraId="2D12B20C"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CARGILL, J. 2005.</w:t>
      </w:r>
      <w:r w:rsidRPr="00F849FE">
        <w:rPr>
          <w:rFonts w:ascii="Times New Roman" w:hAnsi="Times New Roman" w:cs="Times New Roman"/>
          <w:sz w:val="22"/>
          <w:szCs w:val="26"/>
        </w:rPr>
        <w:t xml:space="preserve"> Black corporate ownership: Complex codes can impede Change.</w:t>
      </w:r>
      <w:r w:rsidRPr="00821412">
        <w:rPr>
          <w:rFonts w:ascii="Times New Roman" w:hAnsi="Times New Roman" w:cs="Times New Roman"/>
          <w:i/>
          <w:sz w:val="22"/>
          <w:szCs w:val="26"/>
        </w:rPr>
        <w:t xml:space="preserve"> S. Brown edition, Conflict and Governance: Economic Transformation Audit 2005</w:t>
      </w:r>
      <w:r w:rsidRPr="00F849FE">
        <w:rPr>
          <w:rFonts w:ascii="Times New Roman" w:hAnsi="Times New Roman" w:cs="Times New Roman"/>
          <w:sz w:val="22"/>
          <w:szCs w:val="26"/>
        </w:rPr>
        <w:t>.</w:t>
      </w:r>
      <w:r>
        <w:rPr>
          <w:rFonts w:ascii="Times New Roman" w:hAnsi="Times New Roman" w:cs="Times New Roman"/>
          <w:sz w:val="22"/>
          <w:szCs w:val="26"/>
        </w:rPr>
        <w:t xml:space="preserve"> </w:t>
      </w:r>
      <w:r w:rsidRPr="00F849FE">
        <w:rPr>
          <w:rFonts w:ascii="Times New Roman" w:hAnsi="Times New Roman" w:cs="Times New Roman"/>
          <w:sz w:val="22"/>
          <w:szCs w:val="26"/>
        </w:rPr>
        <w:t>Cape Town, Institute</w:t>
      </w:r>
      <w:r>
        <w:rPr>
          <w:rFonts w:ascii="Times New Roman" w:hAnsi="Times New Roman" w:cs="Times New Roman"/>
          <w:sz w:val="22"/>
          <w:szCs w:val="26"/>
        </w:rPr>
        <w:t xml:space="preserve"> </w:t>
      </w:r>
      <w:r w:rsidRPr="00F849FE">
        <w:rPr>
          <w:rFonts w:ascii="Times New Roman" w:hAnsi="Times New Roman" w:cs="Times New Roman"/>
          <w:sz w:val="22"/>
          <w:szCs w:val="26"/>
        </w:rPr>
        <w:t>for Justice and Reconciliation.</w:t>
      </w:r>
    </w:p>
    <w:p w14:paraId="414542A3"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CHMELAROVA, V. 1995. </w:t>
      </w:r>
      <w:r w:rsidRPr="00B9033E">
        <w:rPr>
          <w:rFonts w:ascii="Times New Roman" w:hAnsi="Times New Roman" w:cs="Times New Roman"/>
          <w:sz w:val="22"/>
          <w:szCs w:val="26"/>
        </w:rPr>
        <w:t>T</w:t>
      </w:r>
      <w:r>
        <w:rPr>
          <w:rFonts w:ascii="Times New Roman" w:hAnsi="Times New Roman" w:cs="Times New Roman"/>
          <w:sz w:val="22"/>
          <w:szCs w:val="26"/>
        </w:rPr>
        <w:t>he</w:t>
      </w:r>
      <w:r w:rsidRPr="00B9033E">
        <w:rPr>
          <w:rFonts w:ascii="Times New Roman" w:hAnsi="Times New Roman" w:cs="Times New Roman"/>
          <w:sz w:val="22"/>
          <w:szCs w:val="26"/>
        </w:rPr>
        <w:t xml:space="preserve"> H</w:t>
      </w:r>
      <w:r>
        <w:rPr>
          <w:rFonts w:ascii="Times New Roman" w:hAnsi="Times New Roman" w:cs="Times New Roman"/>
          <w:sz w:val="22"/>
          <w:szCs w:val="26"/>
        </w:rPr>
        <w:t>ausman</w:t>
      </w:r>
      <w:r w:rsidRPr="00B9033E">
        <w:rPr>
          <w:rFonts w:ascii="Times New Roman" w:hAnsi="Times New Roman" w:cs="Times New Roman"/>
          <w:sz w:val="22"/>
          <w:szCs w:val="26"/>
        </w:rPr>
        <w:t xml:space="preserve"> T</w:t>
      </w:r>
      <w:r>
        <w:rPr>
          <w:rFonts w:ascii="Times New Roman" w:hAnsi="Times New Roman" w:cs="Times New Roman"/>
          <w:sz w:val="22"/>
          <w:szCs w:val="26"/>
        </w:rPr>
        <w:t>est</w:t>
      </w:r>
      <w:r w:rsidRPr="00B9033E">
        <w:rPr>
          <w:rFonts w:ascii="Times New Roman" w:hAnsi="Times New Roman" w:cs="Times New Roman"/>
          <w:sz w:val="22"/>
          <w:szCs w:val="26"/>
        </w:rPr>
        <w:t xml:space="preserve">, </w:t>
      </w:r>
      <w:r>
        <w:rPr>
          <w:rFonts w:ascii="Times New Roman" w:hAnsi="Times New Roman" w:cs="Times New Roman"/>
          <w:sz w:val="22"/>
          <w:szCs w:val="26"/>
        </w:rPr>
        <w:t>and some alternatives</w:t>
      </w:r>
      <w:r w:rsidRPr="00B9033E">
        <w:rPr>
          <w:rFonts w:ascii="Times New Roman" w:hAnsi="Times New Roman" w:cs="Times New Roman"/>
          <w:sz w:val="22"/>
          <w:szCs w:val="26"/>
        </w:rPr>
        <w:t>,</w:t>
      </w:r>
      <w:r>
        <w:rPr>
          <w:rFonts w:ascii="Times New Roman" w:hAnsi="Times New Roman" w:cs="Times New Roman"/>
          <w:sz w:val="22"/>
          <w:szCs w:val="26"/>
        </w:rPr>
        <w:t xml:space="preserve"> with</w:t>
      </w:r>
      <w:r w:rsidRPr="00B9033E">
        <w:rPr>
          <w:rFonts w:ascii="Times New Roman" w:hAnsi="Times New Roman" w:cs="Times New Roman"/>
          <w:sz w:val="22"/>
          <w:szCs w:val="26"/>
        </w:rPr>
        <w:t xml:space="preserve"> </w:t>
      </w:r>
      <w:r>
        <w:rPr>
          <w:rFonts w:ascii="Times New Roman" w:hAnsi="Times New Roman" w:cs="Times New Roman"/>
          <w:sz w:val="22"/>
          <w:szCs w:val="26"/>
        </w:rPr>
        <w:t xml:space="preserve">heteroskedastic data. </w:t>
      </w:r>
      <w:r w:rsidRPr="00B9033E">
        <w:rPr>
          <w:rFonts w:ascii="Times New Roman" w:hAnsi="Times New Roman" w:cs="Times New Roman"/>
          <w:sz w:val="22"/>
          <w:szCs w:val="26"/>
        </w:rPr>
        <w:t>Graduate School of the</w:t>
      </w:r>
      <w:r>
        <w:rPr>
          <w:rFonts w:ascii="Times New Roman" w:hAnsi="Times New Roman" w:cs="Times New Roman"/>
          <w:sz w:val="22"/>
          <w:szCs w:val="26"/>
        </w:rPr>
        <w:t xml:space="preserve"> </w:t>
      </w:r>
      <w:r w:rsidRPr="00B9033E">
        <w:rPr>
          <w:rFonts w:ascii="Times New Roman" w:hAnsi="Times New Roman" w:cs="Times New Roman"/>
          <w:sz w:val="22"/>
          <w:szCs w:val="26"/>
        </w:rPr>
        <w:t>Louisiana State University and</w:t>
      </w:r>
      <w:r>
        <w:rPr>
          <w:rFonts w:ascii="Times New Roman" w:hAnsi="Times New Roman" w:cs="Times New Roman"/>
          <w:sz w:val="22"/>
          <w:szCs w:val="26"/>
        </w:rPr>
        <w:t xml:space="preserve"> </w:t>
      </w:r>
      <w:r w:rsidRPr="00B9033E">
        <w:rPr>
          <w:rFonts w:ascii="Times New Roman" w:hAnsi="Times New Roman" w:cs="Times New Roman"/>
          <w:sz w:val="22"/>
          <w:szCs w:val="26"/>
        </w:rPr>
        <w:t>Agricultural and Mechanical College</w:t>
      </w:r>
      <w:r>
        <w:rPr>
          <w:rFonts w:ascii="Times New Roman" w:hAnsi="Times New Roman" w:cs="Times New Roman"/>
          <w:sz w:val="22"/>
          <w:szCs w:val="26"/>
        </w:rPr>
        <w:t>.</w:t>
      </w:r>
    </w:p>
    <w:p w14:paraId="191A3D9C" w14:textId="77777777" w:rsidR="00CA1E77" w:rsidRDefault="00CA1E77" w:rsidP="00CA1E77">
      <w:pPr>
        <w:spacing w:line="480" w:lineRule="auto"/>
        <w:ind w:left="0"/>
        <w:rPr>
          <w:rFonts w:ascii="Times New Roman" w:hAnsi="Times New Roman" w:cs="Times New Roman"/>
          <w:sz w:val="22"/>
          <w:szCs w:val="26"/>
        </w:rPr>
      </w:pPr>
      <w:r w:rsidRPr="005A034F">
        <w:rPr>
          <w:rFonts w:ascii="Times New Roman" w:hAnsi="Times New Roman" w:cs="Times New Roman"/>
          <w:sz w:val="22"/>
          <w:szCs w:val="26"/>
        </w:rPr>
        <w:t>CORREIA, C.</w:t>
      </w:r>
      <w:r>
        <w:rPr>
          <w:rFonts w:ascii="Times New Roman" w:hAnsi="Times New Roman" w:cs="Times New Roman"/>
          <w:sz w:val="22"/>
          <w:szCs w:val="26"/>
        </w:rPr>
        <w:t xml:space="preserve">, </w:t>
      </w:r>
      <w:r w:rsidRPr="005A034F">
        <w:rPr>
          <w:rFonts w:ascii="Times New Roman" w:hAnsi="Times New Roman" w:cs="Times New Roman"/>
          <w:sz w:val="22"/>
          <w:szCs w:val="26"/>
        </w:rPr>
        <w:t>FLYNN,</w:t>
      </w:r>
      <w:r>
        <w:rPr>
          <w:rFonts w:ascii="Times New Roman" w:hAnsi="Times New Roman" w:cs="Times New Roman"/>
          <w:sz w:val="22"/>
          <w:szCs w:val="26"/>
        </w:rPr>
        <w:t xml:space="preserve"> D., ULIANA, E.,WORMALD, M., &amp; DILLON, L. 2015. </w:t>
      </w:r>
      <w:r w:rsidRPr="00821412">
        <w:rPr>
          <w:rFonts w:ascii="Times New Roman" w:hAnsi="Times New Roman" w:cs="Times New Roman"/>
          <w:i/>
          <w:sz w:val="22"/>
          <w:szCs w:val="26"/>
        </w:rPr>
        <w:t>Financial Management 8th Edition</w:t>
      </w:r>
      <w:r>
        <w:rPr>
          <w:rFonts w:ascii="Times New Roman" w:hAnsi="Times New Roman" w:cs="Times New Roman"/>
          <w:sz w:val="22"/>
          <w:szCs w:val="26"/>
        </w:rPr>
        <w:t>, Cape Town, Juta.</w:t>
      </w:r>
    </w:p>
    <w:p w14:paraId="1EBA4DB6"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DAMODARAN, A. 1996. </w:t>
      </w:r>
      <w:r w:rsidRPr="00821412">
        <w:rPr>
          <w:rFonts w:ascii="Times New Roman" w:hAnsi="Times New Roman" w:cs="Times New Roman"/>
          <w:i/>
          <w:sz w:val="22"/>
          <w:szCs w:val="26"/>
        </w:rPr>
        <w:t>Corporate finance</w:t>
      </w:r>
      <w:r w:rsidRPr="003A1203">
        <w:rPr>
          <w:rFonts w:ascii="Times New Roman" w:hAnsi="Times New Roman" w:cs="Times New Roman"/>
          <w:sz w:val="22"/>
          <w:szCs w:val="26"/>
        </w:rPr>
        <w:t>,</w:t>
      </w:r>
      <w:r>
        <w:rPr>
          <w:rFonts w:ascii="Times New Roman" w:hAnsi="Times New Roman" w:cs="Times New Roman"/>
          <w:sz w:val="22"/>
          <w:szCs w:val="26"/>
        </w:rPr>
        <w:t xml:space="preserve"> New York. John</w:t>
      </w:r>
      <w:r w:rsidRPr="003A1203">
        <w:rPr>
          <w:rFonts w:ascii="Times New Roman" w:hAnsi="Times New Roman" w:cs="Times New Roman"/>
          <w:sz w:val="22"/>
          <w:szCs w:val="26"/>
        </w:rPr>
        <w:t xml:space="preserve"> Wiley</w:t>
      </w:r>
      <w:r>
        <w:rPr>
          <w:rFonts w:ascii="Times New Roman" w:hAnsi="Times New Roman" w:cs="Times New Roman"/>
          <w:sz w:val="22"/>
          <w:szCs w:val="26"/>
        </w:rPr>
        <w:t xml:space="preserve"> &amp; Sons</w:t>
      </w:r>
      <w:r w:rsidRPr="003A1203">
        <w:rPr>
          <w:rFonts w:ascii="Times New Roman" w:hAnsi="Times New Roman" w:cs="Times New Roman"/>
          <w:sz w:val="22"/>
          <w:szCs w:val="26"/>
        </w:rPr>
        <w:t xml:space="preserve">. </w:t>
      </w:r>
      <w:r>
        <w:rPr>
          <w:rFonts w:ascii="Times New Roman" w:hAnsi="Times New Roman" w:cs="Times New Roman"/>
          <w:sz w:val="22"/>
          <w:szCs w:val="26"/>
        </w:rPr>
        <w:t>[Accessed 01 April</w:t>
      </w:r>
      <w:r w:rsidRPr="00BD3157">
        <w:rPr>
          <w:rFonts w:ascii="Times New Roman" w:hAnsi="Times New Roman" w:cs="Times New Roman"/>
          <w:sz w:val="22"/>
          <w:szCs w:val="26"/>
        </w:rPr>
        <w:t xml:space="preserve"> 2017].</w:t>
      </w:r>
    </w:p>
    <w:p w14:paraId="6C43EFE5"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DAWKINS, C., &amp; NGUNJIRI, F.W. 2008.</w:t>
      </w:r>
      <w:r w:rsidRPr="001576C4">
        <w:t xml:space="preserve"> </w:t>
      </w:r>
      <w:r w:rsidRPr="001576C4">
        <w:rPr>
          <w:rFonts w:ascii="Times New Roman" w:hAnsi="Times New Roman" w:cs="Times New Roman"/>
          <w:sz w:val="22"/>
          <w:szCs w:val="26"/>
        </w:rPr>
        <w:t xml:space="preserve">Corporate social responsibility reporting in South Africa. </w:t>
      </w:r>
      <w:r w:rsidRPr="00A50290">
        <w:rPr>
          <w:rFonts w:ascii="Times New Roman" w:hAnsi="Times New Roman" w:cs="Times New Roman"/>
          <w:i/>
          <w:sz w:val="22"/>
          <w:szCs w:val="26"/>
        </w:rPr>
        <w:t>Journal of Business Communication</w:t>
      </w:r>
      <w:r w:rsidRPr="001576C4">
        <w:rPr>
          <w:rFonts w:ascii="Times New Roman" w:hAnsi="Times New Roman" w:cs="Times New Roman"/>
          <w:sz w:val="22"/>
          <w:szCs w:val="26"/>
        </w:rPr>
        <w:t>, 45(3), 286–307</w:t>
      </w:r>
      <w:r>
        <w:rPr>
          <w:rFonts w:ascii="Times New Roman" w:hAnsi="Times New Roman" w:cs="Times New Roman"/>
          <w:sz w:val="22"/>
          <w:szCs w:val="26"/>
        </w:rPr>
        <w:t>.</w:t>
      </w:r>
    </w:p>
    <w:p w14:paraId="0557078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DE BAKKER, F. G. A., GROENEWEGEN, P., &amp; DENHOND, F. 2005. </w:t>
      </w:r>
      <w:r w:rsidRPr="00727340">
        <w:rPr>
          <w:rFonts w:ascii="Times New Roman" w:hAnsi="Times New Roman" w:cs="Times New Roman"/>
          <w:sz w:val="22"/>
          <w:szCs w:val="26"/>
        </w:rPr>
        <w:t xml:space="preserve">A bibliometric analysis of 30 years of research and theory on corporate social responsibility and corporate social performance. </w:t>
      </w:r>
      <w:r w:rsidRPr="00821412">
        <w:rPr>
          <w:rFonts w:ascii="Times New Roman" w:hAnsi="Times New Roman" w:cs="Times New Roman"/>
          <w:i/>
          <w:sz w:val="22"/>
          <w:szCs w:val="26"/>
        </w:rPr>
        <w:t>Business and Society</w:t>
      </w:r>
      <w:r w:rsidRPr="00727340">
        <w:rPr>
          <w:rFonts w:ascii="Times New Roman" w:hAnsi="Times New Roman" w:cs="Times New Roman"/>
          <w:sz w:val="22"/>
          <w:szCs w:val="26"/>
        </w:rPr>
        <w:t>, 44(3)</w:t>
      </w:r>
      <w:r>
        <w:rPr>
          <w:rFonts w:ascii="Times New Roman" w:hAnsi="Times New Roman" w:cs="Times New Roman"/>
          <w:sz w:val="22"/>
          <w:szCs w:val="26"/>
        </w:rPr>
        <w:t>,</w:t>
      </w:r>
      <w:r w:rsidRPr="00727340">
        <w:rPr>
          <w:rFonts w:ascii="Times New Roman" w:hAnsi="Times New Roman" w:cs="Times New Roman"/>
          <w:sz w:val="22"/>
          <w:szCs w:val="26"/>
        </w:rPr>
        <w:t xml:space="preserve"> 283-317.</w:t>
      </w:r>
    </w:p>
    <w:p w14:paraId="76C95A4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DENIZ, I., DE PAULA, A., &amp; PINHEIRO, M. 2006. </w:t>
      </w:r>
      <w:r w:rsidRPr="00C00BE2">
        <w:rPr>
          <w:rFonts w:ascii="Times New Roman" w:hAnsi="Times New Roman" w:cs="Times New Roman"/>
          <w:sz w:val="22"/>
          <w:szCs w:val="26"/>
        </w:rPr>
        <w:t xml:space="preserve"> </w:t>
      </w:r>
      <w:r w:rsidRPr="00821412">
        <w:rPr>
          <w:rFonts w:ascii="Times New Roman" w:hAnsi="Times New Roman" w:cs="Times New Roman"/>
          <w:i/>
          <w:sz w:val="22"/>
          <w:szCs w:val="26"/>
        </w:rPr>
        <w:t>Liquidity and Dividend Policy</w:t>
      </w:r>
      <w:r w:rsidRPr="00C00BE2">
        <w:rPr>
          <w:rFonts w:ascii="Times New Roman" w:hAnsi="Times New Roman" w:cs="Times New Roman"/>
          <w:sz w:val="22"/>
          <w:szCs w:val="26"/>
        </w:rPr>
        <w:t xml:space="preserve">. </w:t>
      </w:r>
      <w:r>
        <w:rPr>
          <w:rFonts w:ascii="Times New Roman" w:hAnsi="Times New Roman" w:cs="Times New Roman"/>
          <w:sz w:val="22"/>
          <w:szCs w:val="26"/>
        </w:rPr>
        <w:t>Munich. Available:</w:t>
      </w:r>
      <w:r w:rsidRPr="00C00BE2">
        <w:rPr>
          <w:rFonts w:ascii="Times New Roman" w:hAnsi="Times New Roman" w:cs="Times New Roman"/>
          <w:sz w:val="22"/>
          <w:szCs w:val="26"/>
        </w:rPr>
        <w:t xml:space="preserve"> </w:t>
      </w:r>
      <w:hyperlink r:id="rId15" w:history="1">
        <w:r w:rsidRPr="0025739E">
          <w:rPr>
            <w:rStyle w:val="Hyperlink"/>
            <w:rFonts w:ascii="Times New Roman" w:hAnsi="Times New Roman" w:cs="Times New Roman"/>
            <w:sz w:val="22"/>
            <w:szCs w:val="26"/>
          </w:rPr>
          <w:t>http://mpra.ub.uni-muenchen.de/29409/</w:t>
        </w:r>
      </w:hyperlink>
      <w:r>
        <w:rPr>
          <w:rFonts w:ascii="Times New Roman" w:hAnsi="Times New Roman" w:cs="Times New Roman"/>
          <w:sz w:val="22"/>
          <w:szCs w:val="26"/>
        </w:rPr>
        <w:t xml:space="preserve"> .</w:t>
      </w:r>
      <w:r w:rsidRPr="00C00BE2">
        <w:rPr>
          <w:rFonts w:ascii="Times New Roman" w:hAnsi="Times New Roman" w:cs="Times New Roman"/>
          <w:sz w:val="22"/>
          <w:szCs w:val="26"/>
        </w:rPr>
        <w:t xml:space="preserve"> </w:t>
      </w:r>
      <w:r>
        <w:rPr>
          <w:rFonts w:ascii="Times New Roman" w:hAnsi="Times New Roman" w:cs="Times New Roman"/>
          <w:sz w:val="22"/>
          <w:szCs w:val="26"/>
        </w:rPr>
        <w:t xml:space="preserve"> </w:t>
      </w:r>
      <w:r w:rsidRPr="00C00BE2">
        <w:rPr>
          <w:rFonts w:ascii="Times New Roman" w:hAnsi="Times New Roman" w:cs="Times New Roman"/>
          <w:sz w:val="22"/>
          <w:szCs w:val="26"/>
        </w:rPr>
        <w:t>MPRA Paper No. 29409, posted 10. March 2011 12:21 UTC.</w:t>
      </w:r>
      <w:r>
        <w:rPr>
          <w:rFonts w:ascii="Times New Roman" w:hAnsi="Times New Roman" w:cs="Times New Roman"/>
          <w:sz w:val="22"/>
          <w:szCs w:val="26"/>
        </w:rPr>
        <w:t xml:space="preserve"> [Accessed 14</w:t>
      </w:r>
      <w:r w:rsidRPr="009047CD">
        <w:rPr>
          <w:rFonts w:ascii="Times New Roman" w:hAnsi="Times New Roman" w:cs="Times New Roman"/>
          <w:sz w:val="22"/>
          <w:szCs w:val="26"/>
        </w:rPr>
        <w:t xml:space="preserve"> May 2017].</w:t>
      </w:r>
    </w:p>
    <w:p w14:paraId="259A3103"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EDGERTON, J. 2013. </w:t>
      </w:r>
      <w:r w:rsidRPr="000740D7">
        <w:rPr>
          <w:rFonts w:ascii="Times New Roman" w:hAnsi="Times New Roman" w:cs="Times New Roman"/>
          <w:sz w:val="22"/>
          <w:szCs w:val="26"/>
        </w:rPr>
        <w:t xml:space="preserve">"Four facts about dividend payouts and the 2003 tax cut." </w:t>
      </w:r>
      <w:r w:rsidRPr="000740D7">
        <w:rPr>
          <w:rFonts w:ascii="Times New Roman" w:hAnsi="Times New Roman" w:cs="Times New Roman"/>
          <w:i/>
          <w:sz w:val="22"/>
          <w:szCs w:val="26"/>
        </w:rPr>
        <w:t>International Tax and Public Finance</w:t>
      </w:r>
      <w:r>
        <w:rPr>
          <w:rFonts w:ascii="Times New Roman" w:hAnsi="Times New Roman" w:cs="Times New Roman"/>
          <w:sz w:val="22"/>
          <w:szCs w:val="26"/>
        </w:rPr>
        <w:t>, 20(5),</w:t>
      </w:r>
      <w:r w:rsidRPr="000740D7">
        <w:rPr>
          <w:rFonts w:ascii="Times New Roman" w:hAnsi="Times New Roman" w:cs="Times New Roman"/>
          <w:sz w:val="22"/>
          <w:szCs w:val="26"/>
        </w:rPr>
        <w:t xml:space="preserve"> 769-784.</w:t>
      </w:r>
    </w:p>
    <w:p w14:paraId="27570F7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ENGDAHL, C. &amp; HAUKI, H. 2001. </w:t>
      </w:r>
      <w:r w:rsidRPr="003A1203">
        <w:rPr>
          <w:rFonts w:ascii="Times New Roman" w:hAnsi="Times New Roman" w:cs="Times New Roman"/>
          <w:sz w:val="22"/>
          <w:szCs w:val="26"/>
        </w:rPr>
        <w:t xml:space="preserve">Black Economic Empowerment: An Introduction for Non-South African Businesses. Master’s Thesis: Gothenburg University. </w:t>
      </w:r>
    </w:p>
    <w:p w14:paraId="51F8233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FACCIO, M., LANG, L. H., &amp; YOUNG, L. 2001. </w:t>
      </w:r>
      <w:r w:rsidRPr="003A1203">
        <w:rPr>
          <w:rFonts w:ascii="Times New Roman" w:hAnsi="Times New Roman" w:cs="Times New Roman"/>
          <w:sz w:val="22"/>
          <w:szCs w:val="26"/>
        </w:rPr>
        <w:t xml:space="preserve">Dividends and expropriation. </w:t>
      </w:r>
      <w:r w:rsidRPr="00821412">
        <w:rPr>
          <w:rFonts w:ascii="Times New Roman" w:hAnsi="Times New Roman" w:cs="Times New Roman"/>
          <w:i/>
          <w:sz w:val="22"/>
          <w:szCs w:val="26"/>
        </w:rPr>
        <w:t>American Economic Review</w:t>
      </w:r>
      <w:r w:rsidRPr="003A1203">
        <w:rPr>
          <w:rFonts w:ascii="Times New Roman" w:hAnsi="Times New Roman" w:cs="Times New Roman"/>
          <w:sz w:val="22"/>
          <w:szCs w:val="26"/>
        </w:rPr>
        <w:t>, 54-78.</w:t>
      </w:r>
    </w:p>
    <w:p w14:paraId="789DA356" w14:textId="0C02871A" w:rsidR="00B83FE0" w:rsidRDefault="00B83FE0"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FAMA, E.F &amp; BABIAK, H. 1968. Dividend policy: An empirical analysis.</w:t>
      </w:r>
      <w:r w:rsidRPr="00876C4B">
        <w:rPr>
          <w:rFonts w:ascii="Times New Roman" w:hAnsi="Times New Roman" w:cs="Times New Roman"/>
          <w:i/>
          <w:sz w:val="22"/>
          <w:szCs w:val="26"/>
        </w:rPr>
        <w:t xml:space="preserve"> Journal of the American statistical Association</w:t>
      </w:r>
      <w:r>
        <w:rPr>
          <w:rFonts w:ascii="Times New Roman" w:hAnsi="Times New Roman" w:cs="Times New Roman"/>
          <w:sz w:val="22"/>
          <w:szCs w:val="26"/>
        </w:rPr>
        <w:t>, 63(324), pp. 113-1161.</w:t>
      </w:r>
    </w:p>
    <w:p w14:paraId="376CB60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FAMA, E. F. &amp; FRENCH, K. R. 2001. “</w:t>
      </w:r>
      <w:r w:rsidRPr="003A1203">
        <w:rPr>
          <w:rFonts w:ascii="Times New Roman" w:hAnsi="Times New Roman" w:cs="Times New Roman"/>
          <w:sz w:val="22"/>
          <w:szCs w:val="26"/>
        </w:rPr>
        <w:t xml:space="preserve">Disappearing dividends: changing firm characteristics or lower propensity to pay?" </w:t>
      </w:r>
      <w:r w:rsidRPr="00821412">
        <w:rPr>
          <w:rFonts w:ascii="Times New Roman" w:hAnsi="Times New Roman" w:cs="Times New Roman"/>
          <w:i/>
          <w:sz w:val="22"/>
          <w:szCs w:val="26"/>
        </w:rPr>
        <w:t>Journal of Financial Economics</w:t>
      </w:r>
      <w:r>
        <w:rPr>
          <w:rFonts w:ascii="Times New Roman" w:hAnsi="Times New Roman" w:cs="Times New Roman"/>
          <w:sz w:val="22"/>
          <w:szCs w:val="26"/>
        </w:rPr>
        <w:t>, 60(1),</w:t>
      </w:r>
      <w:r w:rsidRPr="003A1203">
        <w:rPr>
          <w:rFonts w:ascii="Times New Roman" w:hAnsi="Times New Roman" w:cs="Times New Roman"/>
          <w:sz w:val="22"/>
          <w:szCs w:val="26"/>
        </w:rPr>
        <w:t xml:space="preserve"> 3-43. </w:t>
      </w:r>
    </w:p>
    <w:p w14:paraId="6090D0DC"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FAMA, E. F &amp; FRENCH, K. R. 2002. </w:t>
      </w:r>
      <w:r w:rsidRPr="00C00BE2">
        <w:rPr>
          <w:rFonts w:ascii="Times New Roman" w:hAnsi="Times New Roman" w:cs="Times New Roman"/>
          <w:sz w:val="22"/>
          <w:szCs w:val="26"/>
        </w:rPr>
        <w:t>Testing trade-off and pecking order predictions about</w:t>
      </w:r>
      <w:r>
        <w:rPr>
          <w:rFonts w:ascii="Times New Roman" w:hAnsi="Times New Roman" w:cs="Times New Roman"/>
          <w:sz w:val="22"/>
          <w:szCs w:val="26"/>
        </w:rPr>
        <w:t xml:space="preserve"> dividends and debt. </w:t>
      </w:r>
      <w:r w:rsidRPr="00821412">
        <w:rPr>
          <w:rFonts w:ascii="Times New Roman" w:hAnsi="Times New Roman" w:cs="Times New Roman"/>
          <w:i/>
          <w:sz w:val="22"/>
          <w:szCs w:val="26"/>
        </w:rPr>
        <w:t>Review of Financial Studies</w:t>
      </w:r>
      <w:r w:rsidRPr="00C00BE2">
        <w:rPr>
          <w:rFonts w:ascii="Times New Roman" w:hAnsi="Times New Roman" w:cs="Times New Roman"/>
          <w:sz w:val="22"/>
          <w:szCs w:val="26"/>
        </w:rPr>
        <w:t>, 15(1), 1-33.</w:t>
      </w:r>
    </w:p>
    <w:p w14:paraId="2EA97458"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FARINHA, J. 2003. </w:t>
      </w:r>
      <w:r w:rsidRPr="003A1203">
        <w:rPr>
          <w:rFonts w:ascii="Times New Roman" w:hAnsi="Times New Roman" w:cs="Times New Roman"/>
          <w:sz w:val="22"/>
          <w:szCs w:val="26"/>
        </w:rPr>
        <w:t xml:space="preserve">Dividend policy, corporate governance and the managerial entrenchment hypothesis: an empirical analysis. </w:t>
      </w:r>
      <w:r w:rsidRPr="00821412">
        <w:rPr>
          <w:rFonts w:ascii="Times New Roman" w:hAnsi="Times New Roman" w:cs="Times New Roman"/>
          <w:i/>
          <w:sz w:val="22"/>
          <w:szCs w:val="26"/>
        </w:rPr>
        <w:t>Journal of Business Finance &amp; Accounting</w:t>
      </w:r>
      <w:r w:rsidRPr="003A1203">
        <w:rPr>
          <w:rFonts w:ascii="Times New Roman" w:hAnsi="Times New Roman" w:cs="Times New Roman"/>
          <w:sz w:val="22"/>
          <w:szCs w:val="26"/>
        </w:rPr>
        <w:t>, 30(9</w:t>
      </w:r>
      <w:r w:rsidRPr="003A1203">
        <w:rPr>
          <w:rFonts w:ascii="Cambria Math" w:hAnsi="Cambria Math" w:cs="Cambria Math"/>
          <w:sz w:val="22"/>
          <w:szCs w:val="26"/>
        </w:rPr>
        <w:t>‐</w:t>
      </w:r>
      <w:r w:rsidRPr="003A1203">
        <w:rPr>
          <w:rFonts w:ascii="Times New Roman" w:hAnsi="Times New Roman" w:cs="Times New Roman"/>
          <w:sz w:val="22"/>
          <w:szCs w:val="26"/>
        </w:rPr>
        <w:t>10), 1173-1209.</w:t>
      </w:r>
    </w:p>
    <w:p w14:paraId="35E1277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FAUCONNIER, A. &amp; MATHUR-HELM, B. 2008. Black Economic Empowerment in the South African mining industry: A case study of Exxaro Limited. </w:t>
      </w:r>
      <w:r w:rsidRPr="00821412">
        <w:rPr>
          <w:rFonts w:ascii="Times New Roman" w:hAnsi="Times New Roman" w:cs="Times New Roman"/>
          <w:i/>
          <w:sz w:val="22"/>
          <w:szCs w:val="26"/>
        </w:rPr>
        <w:t>South African Journal of Business Management</w:t>
      </w:r>
      <w:r w:rsidRPr="00C26E53">
        <w:rPr>
          <w:rFonts w:ascii="Times New Roman" w:hAnsi="Times New Roman" w:cs="Times New Roman"/>
          <w:sz w:val="22"/>
          <w:szCs w:val="26"/>
        </w:rPr>
        <w:t>, 3</w:t>
      </w:r>
      <w:r>
        <w:rPr>
          <w:rFonts w:ascii="Times New Roman" w:hAnsi="Times New Roman" w:cs="Times New Roman"/>
          <w:sz w:val="22"/>
          <w:szCs w:val="26"/>
        </w:rPr>
        <w:t>9(4), 1-14.</w:t>
      </w:r>
    </w:p>
    <w:p w14:paraId="19B2DAD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FONTRODONA, J. &amp; SISON, A. J. G. 2006. </w:t>
      </w:r>
      <w:r w:rsidRPr="002A2F4F">
        <w:rPr>
          <w:rFonts w:ascii="Times New Roman" w:hAnsi="Times New Roman" w:cs="Times New Roman"/>
          <w:sz w:val="22"/>
          <w:szCs w:val="26"/>
        </w:rPr>
        <w:t>The nature of the firm, agency theory and shareholder theory: A critique from philosophical anthropology</w:t>
      </w:r>
      <w:r>
        <w:rPr>
          <w:rFonts w:ascii="Times New Roman" w:hAnsi="Times New Roman" w:cs="Times New Roman"/>
          <w:sz w:val="22"/>
          <w:szCs w:val="26"/>
        </w:rPr>
        <w:t>.</w:t>
      </w:r>
      <w:r w:rsidRPr="002A2F4F">
        <w:rPr>
          <w:rFonts w:ascii="Times New Roman" w:hAnsi="Times New Roman" w:cs="Times New Roman"/>
          <w:sz w:val="22"/>
          <w:szCs w:val="26"/>
        </w:rPr>
        <w:t xml:space="preserve"> </w:t>
      </w:r>
      <w:r w:rsidRPr="00821412">
        <w:rPr>
          <w:rFonts w:ascii="Times New Roman" w:hAnsi="Times New Roman" w:cs="Times New Roman"/>
          <w:i/>
          <w:sz w:val="22"/>
          <w:szCs w:val="26"/>
        </w:rPr>
        <w:t>Journal of Business Ethics</w:t>
      </w:r>
      <w:r w:rsidRPr="002A2F4F">
        <w:rPr>
          <w:rFonts w:ascii="Times New Roman" w:hAnsi="Times New Roman" w:cs="Times New Roman"/>
          <w:sz w:val="22"/>
          <w:szCs w:val="26"/>
        </w:rPr>
        <w:t xml:space="preserve">, 2006 </w:t>
      </w:r>
      <w:r>
        <w:rPr>
          <w:rFonts w:ascii="Times New Roman" w:hAnsi="Times New Roman" w:cs="Times New Roman"/>
          <w:sz w:val="22"/>
          <w:szCs w:val="26"/>
        </w:rPr>
        <w:t>–</w:t>
      </w:r>
      <w:r w:rsidRPr="002A2F4F">
        <w:rPr>
          <w:rFonts w:ascii="Times New Roman" w:hAnsi="Times New Roman" w:cs="Times New Roman"/>
          <w:sz w:val="22"/>
          <w:szCs w:val="26"/>
        </w:rPr>
        <w:t xml:space="preserve"> Springer</w:t>
      </w:r>
      <w:r>
        <w:rPr>
          <w:rFonts w:ascii="Times New Roman" w:hAnsi="Times New Roman" w:cs="Times New Roman"/>
          <w:sz w:val="22"/>
          <w:szCs w:val="26"/>
        </w:rPr>
        <w:t>.</w:t>
      </w:r>
    </w:p>
    <w:p w14:paraId="7D832EB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GALAN, M. J. 2006. </w:t>
      </w:r>
      <w:r w:rsidRPr="00473BA7">
        <w:rPr>
          <w:rFonts w:ascii="Times New Roman" w:hAnsi="Times New Roman" w:cs="Times New Roman"/>
          <w:sz w:val="22"/>
          <w:szCs w:val="26"/>
        </w:rPr>
        <w:t xml:space="preserve">Corporate social responsibility and strategic management. </w:t>
      </w:r>
      <w:r w:rsidRPr="00473BA7">
        <w:rPr>
          <w:rFonts w:ascii="Times New Roman" w:hAnsi="Times New Roman" w:cs="Times New Roman"/>
          <w:i/>
          <w:sz w:val="22"/>
          <w:szCs w:val="26"/>
        </w:rPr>
        <w:t>Journal of Management Studies</w:t>
      </w:r>
      <w:r>
        <w:rPr>
          <w:rFonts w:ascii="Times New Roman" w:hAnsi="Times New Roman" w:cs="Times New Roman"/>
          <w:sz w:val="22"/>
          <w:szCs w:val="26"/>
        </w:rPr>
        <w:t>, 43(7),</w:t>
      </w:r>
      <w:r w:rsidRPr="00473BA7">
        <w:rPr>
          <w:rFonts w:ascii="Times New Roman" w:hAnsi="Times New Roman" w:cs="Times New Roman"/>
          <w:sz w:val="22"/>
          <w:szCs w:val="26"/>
        </w:rPr>
        <w:t xml:space="preserve"> 1629-1640.</w:t>
      </w:r>
    </w:p>
    <w:p w14:paraId="2CA3376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GORDON, M. J. 1959. </w:t>
      </w:r>
      <w:r w:rsidRPr="003A1203">
        <w:rPr>
          <w:rFonts w:ascii="Times New Roman" w:hAnsi="Times New Roman" w:cs="Times New Roman"/>
          <w:sz w:val="22"/>
          <w:szCs w:val="26"/>
        </w:rPr>
        <w:t>"Dividends, ea</w:t>
      </w:r>
      <w:r>
        <w:rPr>
          <w:rFonts w:ascii="Times New Roman" w:hAnsi="Times New Roman" w:cs="Times New Roman"/>
          <w:sz w:val="22"/>
          <w:szCs w:val="26"/>
        </w:rPr>
        <w:t xml:space="preserve">rnings, and stock prices." </w:t>
      </w:r>
      <w:r w:rsidRPr="00821412">
        <w:rPr>
          <w:rFonts w:ascii="Times New Roman" w:hAnsi="Times New Roman" w:cs="Times New Roman"/>
          <w:i/>
          <w:sz w:val="22"/>
          <w:szCs w:val="26"/>
        </w:rPr>
        <w:t>The Review of Economics and Statistics</w:t>
      </w:r>
      <w:r>
        <w:rPr>
          <w:rFonts w:ascii="Times New Roman" w:hAnsi="Times New Roman" w:cs="Times New Roman"/>
          <w:sz w:val="22"/>
          <w:szCs w:val="26"/>
        </w:rPr>
        <w:t>,</w:t>
      </w:r>
      <w:r w:rsidRPr="003A1203">
        <w:rPr>
          <w:rFonts w:ascii="Times New Roman" w:hAnsi="Times New Roman" w:cs="Times New Roman"/>
          <w:sz w:val="22"/>
          <w:szCs w:val="26"/>
        </w:rPr>
        <w:t xml:space="preserve"> 99-105. </w:t>
      </w:r>
    </w:p>
    <w:p w14:paraId="0C917B68"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GOUNDER, S. 2005. </w:t>
      </w:r>
      <w:r w:rsidRPr="00821412">
        <w:rPr>
          <w:rFonts w:ascii="Times New Roman" w:hAnsi="Times New Roman" w:cs="Times New Roman"/>
          <w:i/>
          <w:sz w:val="22"/>
          <w:szCs w:val="26"/>
        </w:rPr>
        <w:t>“When the Wedding Party is Over” [online]</w:t>
      </w:r>
      <w:r>
        <w:rPr>
          <w:rFonts w:ascii="Times New Roman" w:hAnsi="Times New Roman" w:cs="Times New Roman"/>
          <w:sz w:val="22"/>
          <w:szCs w:val="26"/>
        </w:rPr>
        <w:t xml:space="preserve">, Business Day. Johannesburg. Available: </w:t>
      </w:r>
      <w:hyperlink r:id="rId16" w:history="1">
        <w:r w:rsidRPr="00414499">
          <w:rPr>
            <w:rStyle w:val="Hyperlink"/>
            <w:rFonts w:ascii="Times New Roman" w:hAnsi="Times New Roman" w:cs="Times New Roman"/>
            <w:sz w:val="22"/>
            <w:szCs w:val="26"/>
          </w:rPr>
          <w:t>http://www.realbusinness.co.za/Article.aspx?articleID=3474</w:t>
        </w:r>
      </w:hyperlink>
      <w:r>
        <w:rPr>
          <w:rStyle w:val="Hyperlink"/>
          <w:rFonts w:ascii="Times New Roman" w:hAnsi="Times New Roman" w:cs="Times New Roman"/>
          <w:sz w:val="22"/>
          <w:szCs w:val="26"/>
        </w:rPr>
        <w:t xml:space="preserve"> .</w:t>
      </w:r>
      <w:r w:rsidRPr="00C26E53">
        <w:rPr>
          <w:rStyle w:val="Hyperlink"/>
          <w:rFonts w:ascii="Times New Roman" w:hAnsi="Times New Roman" w:cs="Times New Roman"/>
          <w:sz w:val="22"/>
          <w:szCs w:val="26"/>
          <w:u w:val="none"/>
        </w:rPr>
        <w:t xml:space="preserve"> </w:t>
      </w:r>
      <w:r w:rsidRPr="00C26E53">
        <w:rPr>
          <w:rFonts w:ascii="Times New Roman" w:hAnsi="Times New Roman" w:cs="Times New Roman"/>
          <w:sz w:val="22"/>
          <w:szCs w:val="26"/>
        </w:rPr>
        <w:t xml:space="preserve"> </w:t>
      </w:r>
      <w:r>
        <w:rPr>
          <w:rFonts w:ascii="Times New Roman" w:hAnsi="Times New Roman" w:cs="Times New Roman"/>
          <w:sz w:val="22"/>
          <w:szCs w:val="26"/>
        </w:rPr>
        <w:t>[Accessed 12</w:t>
      </w:r>
      <w:r w:rsidRPr="00C26E53">
        <w:rPr>
          <w:rFonts w:ascii="Times New Roman" w:hAnsi="Times New Roman" w:cs="Times New Roman"/>
          <w:sz w:val="22"/>
          <w:szCs w:val="26"/>
        </w:rPr>
        <w:t xml:space="preserve"> </w:t>
      </w:r>
      <w:r>
        <w:rPr>
          <w:rFonts w:ascii="Times New Roman" w:hAnsi="Times New Roman" w:cs="Times New Roman"/>
          <w:sz w:val="22"/>
          <w:szCs w:val="26"/>
        </w:rPr>
        <w:t>April</w:t>
      </w:r>
      <w:r w:rsidRPr="00C26E53">
        <w:rPr>
          <w:rFonts w:ascii="Times New Roman" w:hAnsi="Times New Roman" w:cs="Times New Roman"/>
          <w:sz w:val="22"/>
          <w:szCs w:val="26"/>
        </w:rPr>
        <w:t xml:space="preserve"> 2017].</w:t>
      </w:r>
    </w:p>
    <w:p w14:paraId="44380A7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GQUBULE, D. 2003. </w:t>
      </w:r>
      <w:r w:rsidRPr="00231226">
        <w:rPr>
          <w:rFonts w:ascii="Times New Roman" w:hAnsi="Times New Roman" w:cs="Times New Roman"/>
          <w:sz w:val="22"/>
          <w:szCs w:val="26"/>
        </w:rPr>
        <w:t>Capitalising Capitalists without Capital: Black Economic Charters</w:t>
      </w:r>
      <w:r>
        <w:rPr>
          <w:rFonts w:ascii="Times New Roman" w:hAnsi="Times New Roman" w:cs="Times New Roman"/>
          <w:sz w:val="22"/>
          <w:szCs w:val="26"/>
        </w:rPr>
        <w:t xml:space="preserve">. </w:t>
      </w:r>
      <w:r w:rsidRPr="00821412">
        <w:rPr>
          <w:rFonts w:ascii="Times New Roman" w:hAnsi="Times New Roman" w:cs="Times New Roman"/>
          <w:i/>
          <w:sz w:val="22"/>
          <w:szCs w:val="26"/>
        </w:rPr>
        <w:t>Supplement Leadership Magazine</w:t>
      </w:r>
      <w:r>
        <w:rPr>
          <w:rFonts w:ascii="Times New Roman" w:hAnsi="Times New Roman" w:cs="Times New Roman"/>
          <w:sz w:val="22"/>
          <w:szCs w:val="26"/>
        </w:rPr>
        <w:t>, September 2003, 14-15</w:t>
      </w:r>
      <w:r w:rsidRPr="00231226">
        <w:rPr>
          <w:rFonts w:ascii="Times New Roman" w:hAnsi="Times New Roman" w:cs="Times New Roman"/>
          <w:sz w:val="22"/>
          <w:szCs w:val="26"/>
        </w:rPr>
        <w:t>.</w:t>
      </w:r>
    </w:p>
    <w:p w14:paraId="34F64E3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GRADIDGE, C. 2009. Assessing how the Funding Structure of Broad-Based Black Economic Empowerment Deals impact on their ability to Create Value for Black Shareholders: An Analysis of </w:t>
      </w:r>
      <w:r>
        <w:rPr>
          <w:rFonts w:ascii="Times New Roman" w:hAnsi="Times New Roman" w:cs="Times New Roman"/>
          <w:sz w:val="22"/>
          <w:szCs w:val="26"/>
        </w:rPr>
        <w:lastRenderedPageBreak/>
        <w:t>Three Deals with Public Participation. Master of Business Administration Degree, University of Cape Town. Cape Town.</w:t>
      </w:r>
    </w:p>
    <w:p w14:paraId="6823B62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GURGLER, K. &amp; YURTOGLU, B. B. 2003. </w:t>
      </w:r>
      <w:r w:rsidRPr="003A1203">
        <w:rPr>
          <w:rFonts w:ascii="Times New Roman" w:hAnsi="Times New Roman" w:cs="Times New Roman"/>
          <w:sz w:val="22"/>
          <w:szCs w:val="26"/>
        </w:rPr>
        <w:t xml:space="preserve">Corporate governance and dividend pay-out policy in Germany. </w:t>
      </w:r>
      <w:r w:rsidRPr="00821412">
        <w:rPr>
          <w:rFonts w:ascii="Times New Roman" w:hAnsi="Times New Roman" w:cs="Times New Roman"/>
          <w:i/>
          <w:sz w:val="22"/>
          <w:szCs w:val="26"/>
        </w:rPr>
        <w:t>European Economic Review</w:t>
      </w:r>
      <w:r w:rsidRPr="003A1203">
        <w:rPr>
          <w:rFonts w:ascii="Times New Roman" w:hAnsi="Times New Roman" w:cs="Times New Roman"/>
          <w:sz w:val="22"/>
          <w:szCs w:val="26"/>
        </w:rPr>
        <w:t>, 47(4), 731-758.</w:t>
      </w:r>
    </w:p>
    <w:p w14:paraId="3D0EC62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GUJARATI, D. N. 2006. </w:t>
      </w:r>
      <w:r w:rsidRPr="00821412">
        <w:rPr>
          <w:rFonts w:ascii="Times New Roman" w:hAnsi="Times New Roman" w:cs="Times New Roman"/>
          <w:i/>
          <w:sz w:val="22"/>
          <w:szCs w:val="26"/>
        </w:rPr>
        <w:t>Essentials of Econometrics: Third Edition</w:t>
      </w:r>
      <w:r w:rsidRPr="00FA37D0">
        <w:rPr>
          <w:rFonts w:ascii="Times New Roman" w:hAnsi="Times New Roman" w:cs="Times New Roman"/>
          <w:sz w:val="22"/>
          <w:szCs w:val="26"/>
        </w:rPr>
        <w:t>,</w:t>
      </w:r>
      <w:r>
        <w:rPr>
          <w:rFonts w:ascii="Times New Roman" w:hAnsi="Times New Roman" w:cs="Times New Roman"/>
          <w:sz w:val="22"/>
          <w:szCs w:val="26"/>
        </w:rPr>
        <w:t xml:space="preserve"> New York,</w:t>
      </w:r>
      <w:r w:rsidRPr="00FA37D0">
        <w:rPr>
          <w:rFonts w:ascii="Times New Roman" w:hAnsi="Times New Roman" w:cs="Times New Roman"/>
          <w:sz w:val="22"/>
          <w:szCs w:val="26"/>
        </w:rPr>
        <w:t xml:space="preserve"> McGraw-Hill International Edition.</w:t>
      </w:r>
    </w:p>
    <w:p w14:paraId="7AD4F93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GUJARATI, D. N. 2009. </w:t>
      </w:r>
      <w:r w:rsidRPr="00821412">
        <w:rPr>
          <w:rFonts w:ascii="Times New Roman" w:hAnsi="Times New Roman" w:cs="Times New Roman"/>
          <w:i/>
          <w:sz w:val="22"/>
          <w:szCs w:val="26"/>
        </w:rPr>
        <w:t>Basic econometrics</w:t>
      </w:r>
      <w:r w:rsidRPr="003A1203">
        <w:rPr>
          <w:rFonts w:ascii="Times New Roman" w:hAnsi="Times New Roman" w:cs="Times New Roman"/>
          <w:sz w:val="22"/>
          <w:szCs w:val="26"/>
        </w:rPr>
        <w:t>,</w:t>
      </w:r>
      <w:r>
        <w:rPr>
          <w:rFonts w:ascii="Times New Roman" w:hAnsi="Times New Roman" w:cs="Times New Roman"/>
          <w:sz w:val="22"/>
          <w:szCs w:val="26"/>
        </w:rPr>
        <w:t xml:space="preserve"> New York,</w:t>
      </w:r>
      <w:r w:rsidRPr="003A1203">
        <w:rPr>
          <w:rFonts w:ascii="Times New Roman" w:hAnsi="Times New Roman" w:cs="Times New Roman"/>
          <w:sz w:val="22"/>
          <w:szCs w:val="26"/>
        </w:rPr>
        <w:t xml:space="preserve"> Tata McGraw-Hill Education. </w:t>
      </w:r>
    </w:p>
    <w:p w14:paraId="576AC45F"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GWATIDO, T., NTULI, M., &amp; MLILO, M. 2015. Capital Structure Determinants in South Africa. A Quantile Regression Approach. </w:t>
      </w:r>
      <w:r w:rsidRPr="00821412">
        <w:rPr>
          <w:rFonts w:ascii="Times New Roman" w:hAnsi="Times New Roman" w:cs="Times New Roman"/>
          <w:i/>
          <w:sz w:val="22"/>
          <w:szCs w:val="26"/>
        </w:rPr>
        <w:t>Journal of Economic and Financial Sciences</w:t>
      </w:r>
      <w:r w:rsidRPr="00FA37D0">
        <w:rPr>
          <w:rFonts w:ascii="Times New Roman" w:hAnsi="Times New Roman" w:cs="Times New Roman"/>
          <w:sz w:val="22"/>
          <w:szCs w:val="26"/>
        </w:rPr>
        <w:t>, 9, 275-290.</w:t>
      </w:r>
    </w:p>
    <w:p w14:paraId="35FC4C4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GWATIDZO, T. &amp; OJAH, K. 2009. </w:t>
      </w:r>
      <w:r w:rsidRPr="00D85CF8">
        <w:rPr>
          <w:rFonts w:ascii="Times New Roman" w:hAnsi="Times New Roman" w:cs="Times New Roman"/>
          <w:sz w:val="22"/>
          <w:szCs w:val="26"/>
        </w:rPr>
        <w:t xml:space="preserve">Corporate capital structure determinants: evidence for five African countries. </w:t>
      </w:r>
      <w:r w:rsidRPr="00821412">
        <w:rPr>
          <w:rFonts w:ascii="Times New Roman" w:hAnsi="Times New Roman" w:cs="Times New Roman"/>
          <w:i/>
          <w:sz w:val="22"/>
          <w:szCs w:val="26"/>
        </w:rPr>
        <w:t>African Finance Journal</w:t>
      </w:r>
      <w:r w:rsidRPr="00D85CF8">
        <w:rPr>
          <w:rFonts w:ascii="Times New Roman" w:hAnsi="Times New Roman" w:cs="Times New Roman"/>
          <w:sz w:val="22"/>
          <w:szCs w:val="26"/>
        </w:rPr>
        <w:t>, 11, 1-23.</w:t>
      </w:r>
    </w:p>
    <w:p w14:paraId="2B07ED02"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HARADA, K. &amp; NGUYEN, P. 2011. </w:t>
      </w:r>
      <w:r w:rsidRPr="003A1203">
        <w:rPr>
          <w:rFonts w:ascii="Times New Roman" w:hAnsi="Times New Roman" w:cs="Times New Roman"/>
          <w:sz w:val="22"/>
          <w:szCs w:val="26"/>
        </w:rPr>
        <w:t xml:space="preserve">"Ownership concentration and dividend policy in Japan." </w:t>
      </w:r>
      <w:r w:rsidRPr="00821412">
        <w:rPr>
          <w:rFonts w:ascii="Times New Roman" w:hAnsi="Times New Roman" w:cs="Times New Roman"/>
          <w:i/>
          <w:sz w:val="22"/>
          <w:szCs w:val="26"/>
        </w:rPr>
        <w:t>Managerial Finance</w:t>
      </w:r>
      <w:r>
        <w:rPr>
          <w:rFonts w:ascii="Times New Roman" w:hAnsi="Times New Roman" w:cs="Times New Roman"/>
          <w:sz w:val="22"/>
          <w:szCs w:val="26"/>
        </w:rPr>
        <w:t>, 37(4),</w:t>
      </w:r>
      <w:r w:rsidRPr="003A1203">
        <w:rPr>
          <w:rFonts w:ascii="Times New Roman" w:hAnsi="Times New Roman" w:cs="Times New Roman"/>
          <w:sz w:val="22"/>
          <w:szCs w:val="26"/>
        </w:rPr>
        <w:t xml:space="preserve"> 362-379. </w:t>
      </w:r>
    </w:p>
    <w:p w14:paraId="6A1C20B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HARRIS, M. &amp; RAVIV, A. 1991. </w:t>
      </w:r>
      <w:r w:rsidRPr="0073699E">
        <w:rPr>
          <w:rFonts w:ascii="Times New Roman" w:hAnsi="Times New Roman" w:cs="Times New Roman"/>
          <w:sz w:val="22"/>
          <w:szCs w:val="26"/>
        </w:rPr>
        <w:t xml:space="preserve">The Theory of Capital Structure. </w:t>
      </w:r>
      <w:r w:rsidRPr="00821412">
        <w:rPr>
          <w:rFonts w:ascii="Times New Roman" w:hAnsi="Times New Roman" w:cs="Times New Roman"/>
          <w:i/>
          <w:sz w:val="22"/>
          <w:szCs w:val="26"/>
        </w:rPr>
        <w:t>The Journal of Finance</w:t>
      </w:r>
      <w:r w:rsidRPr="0073699E">
        <w:rPr>
          <w:rFonts w:ascii="Times New Roman" w:hAnsi="Times New Roman" w:cs="Times New Roman"/>
          <w:sz w:val="22"/>
          <w:szCs w:val="26"/>
        </w:rPr>
        <w:t>, Vol. 46, No. 1. (Mar., 1991), 297-355.</w:t>
      </w:r>
    </w:p>
    <w:p w14:paraId="541F24A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HOLCOMB, Z. C. 2017. </w:t>
      </w:r>
      <w:r w:rsidRPr="00821412">
        <w:rPr>
          <w:rFonts w:ascii="Times New Roman" w:hAnsi="Times New Roman" w:cs="Times New Roman"/>
          <w:i/>
          <w:sz w:val="22"/>
          <w:szCs w:val="26"/>
        </w:rPr>
        <w:t>Fundamentals of Descriptive Statistics</w:t>
      </w:r>
      <w:r>
        <w:rPr>
          <w:rFonts w:ascii="Times New Roman" w:hAnsi="Times New Roman" w:cs="Times New Roman"/>
          <w:sz w:val="22"/>
          <w:szCs w:val="26"/>
        </w:rPr>
        <w:t xml:space="preserve">. London, </w:t>
      </w:r>
      <w:r w:rsidRPr="0073699E">
        <w:rPr>
          <w:rFonts w:ascii="Times New Roman" w:hAnsi="Times New Roman" w:cs="Times New Roman"/>
          <w:sz w:val="22"/>
          <w:szCs w:val="26"/>
        </w:rPr>
        <w:t>Routledge.</w:t>
      </w:r>
    </w:p>
    <w:p w14:paraId="49CD17C5"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HSIAO, C. 2007. </w:t>
      </w:r>
      <w:r w:rsidRPr="003A1203">
        <w:rPr>
          <w:rFonts w:ascii="Times New Roman" w:hAnsi="Times New Roman" w:cs="Times New Roman"/>
          <w:sz w:val="22"/>
          <w:szCs w:val="26"/>
        </w:rPr>
        <w:t>"Panel data analysis—advantages and challenges"</w:t>
      </w:r>
      <w:r>
        <w:rPr>
          <w:rFonts w:ascii="Times New Roman" w:hAnsi="Times New Roman" w:cs="Times New Roman"/>
          <w:sz w:val="22"/>
          <w:szCs w:val="26"/>
        </w:rPr>
        <w:t xml:space="preserve">. </w:t>
      </w:r>
      <w:r w:rsidRPr="00E84E85">
        <w:rPr>
          <w:rFonts w:ascii="Times New Roman" w:hAnsi="Times New Roman" w:cs="Times New Roman"/>
          <w:sz w:val="22"/>
          <w:szCs w:val="26"/>
        </w:rPr>
        <w:t xml:space="preserve">TEST. Vol. </w:t>
      </w:r>
      <w:r w:rsidRPr="003A1203">
        <w:rPr>
          <w:rFonts w:ascii="Times New Roman" w:hAnsi="Times New Roman" w:cs="Times New Roman"/>
          <w:sz w:val="22"/>
          <w:szCs w:val="26"/>
        </w:rPr>
        <w:t>16(1)</w:t>
      </w:r>
      <w:r>
        <w:rPr>
          <w:rFonts w:ascii="Times New Roman" w:hAnsi="Times New Roman" w:cs="Times New Roman"/>
          <w:sz w:val="22"/>
          <w:szCs w:val="26"/>
        </w:rPr>
        <w:t>,</w:t>
      </w:r>
      <w:r w:rsidRPr="003A1203">
        <w:rPr>
          <w:rFonts w:ascii="Times New Roman" w:hAnsi="Times New Roman" w:cs="Times New Roman"/>
          <w:sz w:val="22"/>
          <w:szCs w:val="26"/>
        </w:rPr>
        <w:t xml:space="preserve"> 1-22. </w:t>
      </w:r>
    </w:p>
    <w:p w14:paraId="5C15ADE4"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HSIAO, C. 2014. Analysis of panel data.</w:t>
      </w:r>
      <w:r w:rsidRPr="003A1203">
        <w:rPr>
          <w:rFonts w:ascii="Times New Roman" w:hAnsi="Times New Roman" w:cs="Times New Roman"/>
          <w:sz w:val="22"/>
          <w:szCs w:val="26"/>
        </w:rPr>
        <w:t xml:space="preserve"> </w:t>
      </w:r>
      <w:r>
        <w:rPr>
          <w:rFonts w:ascii="Times New Roman" w:hAnsi="Times New Roman" w:cs="Times New Roman"/>
          <w:sz w:val="22"/>
          <w:szCs w:val="26"/>
        </w:rPr>
        <w:t xml:space="preserve">Cambridge, </w:t>
      </w:r>
      <w:r w:rsidRPr="003A1203">
        <w:rPr>
          <w:rFonts w:ascii="Times New Roman" w:hAnsi="Times New Roman" w:cs="Times New Roman"/>
          <w:sz w:val="22"/>
          <w:szCs w:val="26"/>
        </w:rPr>
        <w:t xml:space="preserve">Cambridge university press. </w:t>
      </w:r>
    </w:p>
    <w:p w14:paraId="46BCEF0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INTELLIDEX, 2015. </w:t>
      </w:r>
      <w:r w:rsidRPr="00E84E85">
        <w:rPr>
          <w:rFonts w:ascii="Times New Roman" w:hAnsi="Times New Roman" w:cs="Times New Roman"/>
          <w:i/>
          <w:sz w:val="22"/>
          <w:szCs w:val="26"/>
        </w:rPr>
        <w:t>“The Value of BEE Deals”</w:t>
      </w:r>
      <w:r w:rsidRPr="003A1203">
        <w:rPr>
          <w:rFonts w:ascii="Times New Roman" w:hAnsi="Times New Roman" w:cs="Times New Roman"/>
          <w:sz w:val="22"/>
          <w:szCs w:val="26"/>
        </w:rPr>
        <w:t>.</w:t>
      </w:r>
      <w:r>
        <w:rPr>
          <w:rFonts w:ascii="Times New Roman" w:hAnsi="Times New Roman" w:cs="Times New Roman"/>
          <w:sz w:val="22"/>
          <w:szCs w:val="26"/>
        </w:rPr>
        <w:t xml:space="preserve"> Johannesburg, South Africa. </w:t>
      </w:r>
      <w:r w:rsidRPr="003A1203">
        <w:rPr>
          <w:rFonts w:ascii="Times New Roman" w:hAnsi="Times New Roman" w:cs="Times New Roman"/>
          <w:sz w:val="22"/>
          <w:szCs w:val="26"/>
        </w:rPr>
        <w:t>Available</w:t>
      </w:r>
      <w:r>
        <w:rPr>
          <w:rFonts w:ascii="Times New Roman" w:hAnsi="Times New Roman" w:cs="Times New Roman"/>
          <w:sz w:val="22"/>
          <w:szCs w:val="26"/>
        </w:rPr>
        <w:t xml:space="preserve">: </w:t>
      </w:r>
      <w:hyperlink r:id="rId17" w:history="1">
        <w:r w:rsidRPr="00414499">
          <w:rPr>
            <w:rStyle w:val="Hyperlink"/>
            <w:rFonts w:ascii="Times New Roman" w:hAnsi="Times New Roman" w:cs="Times New Roman"/>
            <w:sz w:val="22"/>
            <w:szCs w:val="26"/>
          </w:rPr>
          <w:t>http://www.intellidex.co.za/bee</w:t>
        </w:r>
      </w:hyperlink>
      <w:r>
        <w:rPr>
          <w:rFonts w:ascii="Times New Roman" w:hAnsi="Times New Roman" w:cs="Times New Roman"/>
          <w:sz w:val="22"/>
          <w:szCs w:val="26"/>
        </w:rPr>
        <w:t>. [Accessed 21</w:t>
      </w:r>
      <w:r w:rsidRPr="004E7118">
        <w:rPr>
          <w:rFonts w:ascii="Times New Roman" w:hAnsi="Times New Roman" w:cs="Times New Roman"/>
          <w:sz w:val="22"/>
          <w:szCs w:val="26"/>
        </w:rPr>
        <w:t xml:space="preserve"> </w:t>
      </w:r>
      <w:r>
        <w:rPr>
          <w:rFonts w:ascii="Times New Roman" w:hAnsi="Times New Roman" w:cs="Times New Roman"/>
          <w:sz w:val="22"/>
          <w:szCs w:val="26"/>
        </w:rPr>
        <w:t>February</w:t>
      </w:r>
      <w:r w:rsidRPr="004E7118">
        <w:rPr>
          <w:rFonts w:ascii="Times New Roman" w:hAnsi="Times New Roman" w:cs="Times New Roman"/>
          <w:sz w:val="22"/>
          <w:szCs w:val="26"/>
        </w:rPr>
        <w:t xml:space="preserve"> 2017].</w:t>
      </w:r>
    </w:p>
    <w:p w14:paraId="592B9CCA"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IODSA KING III REPORT. 2009. </w:t>
      </w:r>
      <w:r w:rsidRPr="00E84E85">
        <w:rPr>
          <w:rFonts w:ascii="Times New Roman" w:hAnsi="Times New Roman" w:cs="Times New Roman"/>
          <w:i/>
          <w:sz w:val="22"/>
          <w:szCs w:val="26"/>
        </w:rPr>
        <w:t>King Code of Governance for South Africa, 2009</w:t>
      </w:r>
      <w:r w:rsidRPr="00727340">
        <w:rPr>
          <w:rFonts w:ascii="Times New Roman" w:hAnsi="Times New Roman" w:cs="Times New Roman"/>
          <w:sz w:val="22"/>
          <w:szCs w:val="26"/>
        </w:rPr>
        <w:t>.</w:t>
      </w:r>
      <w:r>
        <w:rPr>
          <w:rFonts w:ascii="Times New Roman" w:hAnsi="Times New Roman" w:cs="Times New Roman"/>
          <w:sz w:val="22"/>
          <w:szCs w:val="26"/>
        </w:rPr>
        <w:t xml:space="preserve"> Johannesburg.</w:t>
      </w:r>
      <w:r w:rsidRPr="00727340">
        <w:rPr>
          <w:rFonts w:ascii="Times New Roman" w:hAnsi="Times New Roman" w:cs="Times New Roman"/>
          <w:sz w:val="22"/>
          <w:szCs w:val="26"/>
        </w:rPr>
        <w:t xml:space="preserve"> </w:t>
      </w:r>
      <w:r>
        <w:rPr>
          <w:rFonts w:ascii="Times New Roman" w:hAnsi="Times New Roman" w:cs="Times New Roman"/>
          <w:sz w:val="22"/>
          <w:szCs w:val="26"/>
        </w:rPr>
        <w:t xml:space="preserve">Available: </w:t>
      </w:r>
      <w:hyperlink r:id="rId18" w:history="1">
        <w:r w:rsidRPr="00B12BD6">
          <w:rPr>
            <w:rStyle w:val="Hyperlink"/>
            <w:rFonts w:ascii="Times New Roman" w:hAnsi="Times New Roman" w:cs="Times New Roman"/>
            <w:sz w:val="22"/>
            <w:szCs w:val="26"/>
          </w:rPr>
          <w:t>http://www.iodsa.co.za/?kingIII</w:t>
        </w:r>
      </w:hyperlink>
      <w:r w:rsidRPr="00727340">
        <w:rPr>
          <w:rFonts w:ascii="Times New Roman" w:hAnsi="Times New Roman" w:cs="Times New Roman"/>
          <w:sz w:val="22"/>
          <w:szCs w:val="26"/>
        </w:rPr>
        <w:t>.</w:t>
      </w:r>
      <w:r>
        <w:rPr>
          <w:rFonts w:ascii="Times New Roman" w:hAnsi="Times New Roman" w:cs="Times New Roman"/>
          <w:sz w:val="22"/>
          <w:szCs w:val="26"/>
        </w:rPr>
        <w:t xml:space="preserve"> [Accessed 09 June</w:t>
      </w:r>
      <w:r w:rsidRPr="004E7118">
        <w:rPr>
          <w:rFonts w:ascii="Times New Roman" w:hAnsi="Times New Roman" w:cs="Times New Roman"/>
          <w:sz w:val="22"/>
          <w:szCs w:val="26"/>
        </w:rPr>
        <w:t xml:space="preserve"> 2017].</w:t>
      </w:r>
    </w:p>
    <w:p w14:paraId="792ACDC4"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JACK, V. &amp; HARRIS, K. 2007. </w:t>
      </w:r>
      <w:r w:rsidRPr="00E84E85">
        <w:rPr>
          <w:rFonts w:ascii="Times New Roman" w:hAnsi="Times New Roman" w:cs="Times New Roman"/>
          <w:i/>
          <w:sz w:val="22"/>
          <w:szCs w:val="26"/>
        </w:rPr>
        <w:t>Broad-based BEE: The complete guide (1st edition)</w:t>
      </w:r>
      <w:r>
        <w:rPr>
          <w:rFonts w:ascii="Times New Roman" w:hAnsi="Times New Roman" w:cs="Times New Roman"/>
          <w:sz w:val="22"/>
          <w:szCs w:val="26"/>
        </w:rPr>
        <w:t>. Sandton.</w:t>
      </w:r>
      <w:r w:rsidRPr="001239B7">
        <w:rPr>
          <w:rFonts w:ascii="Times New Roman" w:hAnsi="Times New Roman" w:cs="Times New Roman"/>
          <w:sz w:val="22"/>
          <w:szCs w:val="26"/>
        </w:rPr>
        <w:t xml:space="preserve"> Frontrunner Publishing. </w:t>
      </w:r>
    </w:p>
    <w:p w14:paraId="7A24D6F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JEFFREY, R. 2016</w:t>
      </w:r>
      <w:r w:rsidRPr="00E84E85">
        <w:rPr>
          <w:rFonts w:ascii="Times New Roman" w:hAnsi="Times New Roman" w:cs="Times New Roman"/>
          <w:i/>
          <w:sz w:val="22"/>
          <w:szCs w:val="26"/>
        </w:rPr>
        <w:t>. South Africa needs to attract domestic and foreign investment for economic growth.</w:t>
      </w:r>
      <w:r>
        <w:rPr>
          <w:rFonts w:ascii="Times New Roman" w:hAnsi="Times New Roman" w:cs="Times New Roman"/>
          <w:sz w:val="22"/>
          <w:szCs w:val="26"/>
        </w:rPr>
        <w:t xml:space="preserve"> </w:t>
      </w:r>
      <w:r w:rsidRPr="00516483">
        <w:rPr>
          <w:rFonts w:ascii="Times New Roman" w:hAnsi="Times New Roman" w:cs="Times New Roman"/>
          <w:sz w:val="22"/>
          <w:szCs w:val="26"/>
        </w:rPr>
        <w:t>Muldersdrift</w:t>
      </w:r>
      <w:r>
        <w:rPr>
          <w:rFonts w:ascii="Times New Roman" w:hAnsi="Times New Roman" w:cs="Times New Roman"/>
          <w:sz w:val="22"/>
          <w:szCs w:val="26"/>
        </w:rPr>
        <w:t>. Available</w:t>
      </w:r>
      <w:r w:rsidRPr="003A1203">
        <w:rPr>
          <w:rFonts w:ascii="Times New Roman" w:hAnsi="Times New Roman" w:cs="Times New Roman"/>
          <w:sz w:val="22"/>
          <w:szCs w:val="26"/>
        </w:rPr>
        <w:t>:</w:t>
      </w:r>
      <w:r>
        <w:rPr>
          <w:rFonts w:ascii="Times New Roman" w:hAnsi="Times New Roman" w:cs="Times New Roman"/>
          <w:sz w:val="22"/>
          <w:szCs w:val="26"/>
        </w:rPr>
        <w:t xml:space="preserve"> </w:t>
      </w:r>
      <w:hyperlink r:id="rId19" w:history="1">
        <w:r w:rsidRPr="0025739E">
          <w:rPr>
            <w:rStyle w:val="Hyperlink"/>
            <w:rFonts w:ascii="Times New Roman" w:hAnsi="Times New Roman" w:cs="Times New Roman"/>
            <w:sz w:val="22"/>
            <w:szCs w:val="26"/>
          </w:rPr>
          <w:t>http://www.ee.co.za/article/need-south-africa-attract-domestic-foreign-direct-investment-policy-change-reuniting-country-focussing-economic-growth.html</w:t>
        </w:r>
      </w:hyperlink>
      <w:r>
        <w:rPr>
          <w:rFonts w:ascii="Times New Roman" w:hAnsi="Times New Roman" w:cs="Times New Roman"/>
          <w:sz w:val="22"/>
          <w:szCs w:val="26"/>
        </w:rPr>
        <w:t xml:space="preserve"> . [Accessed 11</w:t>
      </w:r>
      <w:r w:rsidRPr="00516483">
        <w:rPr>
          <w:rFonts w:ascii="Times New Roman" w:hAnsi="Times New Roman" w:cs="Times New Roman"/>
          <w:sz w:val="22"/>
          <w:szCs w:val="26"/>
        </w:rPr>
        <w:t xml:space="preserve"> June 2017].</w:t>
      </w:r>
    </w:p>
    <w:p w14:paraId="725841E8"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JENSEN, M. C. 1986. “</w:t>
      </w:r>
      <w:r w:rsidRPr="003A1203">
        <w:rPr>
          <w:rFonts w:ascii="Times New Roman" w:hAnsi="Times New Roman" w:cs="Times New Roman"/>
          <w:sz w:val="22"/>
          <w:szCs w:val="26"/>
        </w:rPr>
        <w:t xml:space="preserve">Agency costs of free cash flow, corporate finance, and takeovers." </w:t>
      </w:r>
      <w:r w:rsidRPr="00E84E85">
        <w:rPr>
          <w:rFonts w:ascii="Times New Roman" w:hAnsi="Times New Roman" w:cs="Times New Roman"/>
          <w:i/>
          <w:sz w:val="22"/>
          <w:szCs w:val="26"/>
        </w:rPr>
        <w:t>The American Economic Review</w:t>
      </w:r>
      <w:r>
        <w:rPr>
          <w:rFonts w:ascii="Times New Roman" w:hAnsi="Times New Roman" w:cs="Times New Roman"/>
          <w:sz w:val="22"/>
          <w:szCs w:val="26"/>
        </w:rPr>
        <w:t>,</w:t>
      </w:r>
      <w:r w:rsidRPr="003A1203">
        <w:rPr>
          <w:rFonts w:ascii="Times New Roman" w:hAnsi="Times New Roman" w:cs="Times New Roman"/>
          <w:sz w:val="22"/>
          <w:szCs w:val="26"/>
        </w:rPr>
        <w:t xml:space="preserve"> 76(2)</w:t>
      </w:r>
      <w:r>
        <w:rPr>
          <w:rFonts w:ascii="Times New Roman" w:hAnsi="Times New Roman" w:cs="Times New Roman"/>
          <w:sz w:val="22"/>
          <w:szCs w:val="26"/>
        </w:rPr>
        <w:t>,</w:t>
      </w:r>
      <w:r w:rsidRPr="003A1203">
        <w:rPr>
          <w:rFonts w:ascii="Times New Roman" w:hAnsi="Times New Roman" w:cs="Times New Roman"/>
          <w:sz w:val="22"/>
          <w:szCs w:val="26"/>
        </w:rPr>
        <w:t xml:space="preserve"> 323-329. </w:t>
      </w:r>
    </w:p>
    <w:p w14:paraId="3EE562AF"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JENSEN, M. C. &amp; MECKLING, W. H. 1976. </w:t>
      </w:r>
      <w:r w:rsidRPr="003A1203">
        <w:rPr>
          <w:rFonts w:ascii="Times New Roman" w:hAnsi="Times New Roman" w:cs="Times New Roman"/>
          <w:sz w:val="22"/>
          <w:szCs w:val="26"/>
        </w:rPr>
        <w:t>Theory of the firm: Managerial behavio</w:t>
      </w:r>
      <w:r>
        <w:rPr>
          <w:rFonts w:ascii="Times New Roman" w:hAnsi="Times New Roman" w:cs="Times New Roman"/>
          <w:sz w:val="22"/>
          <w:szCs w:val="26"/>
        </w:rPr>
        <w:t>u</w:t>
      </w:r>
      <w:r w:rsidRPr="003A1203">
        <w:rPr>
          <w:rFonts w:ascii="Times New Roman" w:hAnsi="Times New Roman" w:cs="Times New Roman"/>
          <w:sz w:val="22"/>
          <w:szCs w:val="26"/>
        </w:rPr>
        <w:t>r, agency costs and o</w:t>
      </w:r>
      <w:r>
        <w:rPr>
          <w:rFonts w:ascii="Times New Roman" w:hAnsi="Times New Roman" w:cs="Times New Roman"/>
          <w:sz w:val="22"/>
          <w:szCs w:val="26"/>
        </w:rPr>
        <w:t xml:space="preserve">wnership structure. </w:t>
      </w:r>
      <w:r w:rsidRPr="00E84E85">
        <w:rPr>
          <w:rFonts w:ascii="Times New Roman" w:hAnsi="Times New Roman" w:cs="Times New Roman"/>
          <w:i/>
          <w:sz w:val="22"/>
          <w:szCs w:val="26"/>
        </w:rPr>
        <w:t>Journal of Financial Economics</w:t>
      </w:r>
      <w:r w:rsidRPr="003A1203">
        <w:rPr>
          <w:rFonts w:ascii="Times New Roman" w:hAnsi="Times New Roman" w:cs="Times New Roman"/>
          <w:sz w:val="22"/>
          <w:szCs w:val="26"/>
        </w:rPr>
        <w:t>, 3(4), 305-360.</w:t>
      </w:r>
    </w:p>
    <w:p w14:paraId="0107A1BB" w14:textId="77777777" w:rsidR="00CA1E77" w:rsidRPr="003A1203"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JENSEN, G., SOLBERG, D., &amp; ZORN, T. 1992. </w:t>
      </w:r>
      <w:r w:rsidRPr="003A1203">
        <w:rPr>
          <w:rFonts w:ascii="Times New Roman" w:hAnsi="Times New Roman" w:cs="Times New Roman"/>
          <w:sz w:val="22"/>
          <w:szCs w:val="26"/>
        </w:rPr>
        <w:t>Simultaneous determination of insider ownership, debt, and dividend policies</w:t>
      </w:r>
      <w:r w:rsidRPr="00E84E85">
        <w:rPr>
          <w:rFonts w:ascii="Times New Roman" w:hAnsi="Times New Roman" w:cs="Times New Roman"/>
          <w:i/>
          <w:sz w:val="22"/>
          <w:szCs w:val="26"/>
        </w:rPr>
        <w:t>. Journal of Financial and Quantitative Analysis</w:t>
      </w:r>
      <w:r>
        <w:rPr>
          <w:rFonts w:ascii="Times New Roman" w:hAnsi="Times New Roman" w:cs="Times New Roman"/>
          <w:sz w:val="22"/>
          <w:szCs w:val="26"/>
        </w:rPr>
        <w:t>,</w:t>
      </w:r>
      <w:r w:rsidRPr="003A1203">
        <w:rPr>
          <w:rFonts w:ascii="Times New Roman" w:hAnsi="Times New Roman" w:cs="Times New Roman"/>
          <w:sz w:val="22"/>
          <w:szCs w:val="26"/>
        </w:rPr>
        <w:t xml:space="preserve"> 27, 247</w:t>
      </w:r>
      <w:r>
        <w:rPr>
          <w:rFonts w:ascii="Times New Roman" w:hAnsi="Times New Roman" w:cs="Times New Roman"/>
          <w:sz w:val="22"/>
          <w:szCs w:val="26"/>
        </w:rPr>
        <w:t>-</w:t>
      </w:r>
      <w:r w:rsidRPr="003A1203">
        <w:rPr>
          <w:rFonts w:ascii="Times New Roman" w:hAnsi="Times New Roman" w:cs="Times New Roman"/>
          <w:sz w:val="22"/>
          <w:szCs w:val="26"/>
        </w:rPr>
        <w:t>263.</w:t>
      </w:r>
    </w:p>
    <w:p w14:paraId="1CD4215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KAPOOR, S. 2009. </w:t>
      </w:r>
      <w:r w:rsidRPr="003A1203">
        <w:rPr>
          <w:rFonts w:ascii="Times New Roman" w:hAnsi="Times New Roman" w:cs="Times New Roman"/>
          <w:sz w:val="22"/>
          <w:szCs w:val="26"/>
        </w:rPr>
        <w:t>Impact of dividend policy on shareholders' value: a study of Indian firms.</w:t>
      </w:r>
      <w:r>
        <w:rPr>
          <w:rFonts w:ascii="Times New Roman" w:hAnsi="Times New Roman" w:cs="Times New Roman"/>
          <w:sz w:val="22"/>
          <w:szCs w:val="26"/>
        </w:rPr>
        <w:t xml:space="preserve"> </w:t>
      </w:r>
      <w:r w:rsidRPr="006333FA">
        <w:rPr>
          <w:rFonts w:ascii="Times New Roman" w:hAnsi="Times New Roman" w:cs="Times New Roman"/>
          <w:sz w:val="22"/>
          <w:szCs w:val="26"/>
        </w:rPr>
        <w:t>Synopsis of thesis to be submitted</w:t>
      </w:r>
      <w:r>
        <w:rPr>
          <w:rFonts w:ascii="Times New Roman" w:hAnsi="Times New Roman" w:cs="Times New Roman"/>
          <w:sz w:val="22"/>
          <w:szCs w:val="26"/>
        </w:rPr>
        <w:t xml:space="preserve"> </w:t>
      </w:r>
      <w:r w:rsidRPr="006333FA">
        <w:rPr>
          <w:rFonts w:ascii="Times New Roman" w:hAnsi="Times New Roman" w:cs="Times New Roman"/>
          <w:sz w:val="22"/>
          <w:szCs w:val="26"/>
        </w:rPr>
        <w:t>in partial fulfilment of the requirement of the degree of</w:t>
      </w:r>
      <w:r>
        <w:rPr>
          <w:rFonts w:ascii="Times New Roman" w:hAnsi="Times New Roman" w:cs="Times New Roman"/>
          <w:sz w:val="22"/>
          <w:szCs w:val="26"/>
        </w:rPr>
        <w:t xml:space="preserve"> </w:t>
      </w:r>
      <w:r w:rsidRPr="006333FA">
        <w:rPr>
          <w:rFonts w:ascii="Times New Roman" w:hAnsi="Times New Roman" w:cs="Times New Roman"/>
          <w:sz w:val="22"/>
          <w:szCs w:val="26"/>
        </w:rPr>
        <w:t>doctor of philosophy.</w:t>
      </w:r>
      <w:r>
        <w:rPr>
          <w:rFonts w:ascii="Times New Roman" w:hAnsi="Times New Roman" w:cs="Times New Roman"/>
          <w:sz w:val="22"/>
          <w:szCs w:val="26"/>
        </w:rPr>
        <w:t xml:space="preserve"> </w:t>
      </w:r>
      <w:r w:rsidRPr="006333FA">
        <w:rPr>
          <w:rFonts w:ascii="Times New Roman" w:hAnsi="Times New Roman" w:cs="Times New Roman"/>
          <w:sz w:val="22"/>
          <w:szCs w:val="26"/>
        </w:rPr>
        <w:t>Jaypee Institute of Information</w:t>
      </w:r>
      <w:r>
        <w:rPr>
          <w:rFonts w:ascii="Times New Roman" w:hAnsi="Times New Roman" w:cs="Times New Roman"/>
          <w:sz w:val="22"/>
          <w:szCs w:val="26"/>
        </w:rPr>
        <w:t xml:space="preserve"> </w:t>
      </w:r>
      <w:r w:rsidRPr="006333FA">
        <w:rPr>
          <w:rFonts w:ascii="Times New Roman" w:hAnsi="Times New Roman" w:cs="Times New Roman"/>
          <w:sz w:val="22"/>
          <w:szCs w:val="26"/>
        </w:rPr>
        <w:t>Technology, Noida.</w:t>
      </w:r>
    </w:p>
    <w:p w14:paraId="1110702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KATO, H. K., LOEWENSTEIN, U., &amp; TSAY, W. 2002. </w:t>
      </w:r>
      <w:r w:rsidRPr="007F6469">
        <w:rPr>
          <w:rFonts w:ascii="Times New Roman" w:hAnsi="Times New Roman" w:cs="Times New Roman"/>
          <w:sz w:val="22"/>
          <w:szCs w:val="26"/>
        </w:rPr>
        <w:t xml:space="preserve">Dividend policy, cash flow, and investment in Japan. </w:t>
      </w:r>
      <w:r w:rsidRPr="00E84E85">
        <w:rPr>
          <w:rFonts w:ascii="Times New Roman" w:hAnsi="Times New Roman" w:cs="Times New Roman"/>
          <w:i/>
          <w:sz w:val="22"/>
          <w:szCs w:val="26"/>
        </w:rPr>
        <w:t>Pacific-Basin Finance Journal</w:t>
      </w:r>
      <w:r w:rsidRPr="007F6469">
        <w:rPr>
          <w:rFonts w:ascii="Times New Roman" w:hAnsi="Times New Roman" w:cs="Times New Roman"/>
          <w:sz w:val="22"/>
          <w:szCs w:val="26"/>
        </w:rPr>
        <w:t>, 10(4), 443-473.</w:t>
      </w:r>
    </w:p>
    <w:p w14:paraId="3EAB9A8A"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KLAPPER, L. F. &amp; LOVE, I. 2004. </w:t>
      </w:r>
      <w:r w:rsidRPr="003A1203">
        <w:rPr>
          <w:rFonts w:ascii="Times New Roman" w:hAnsi="Times New Roman" w:cs="Times New Roman"/>
          <w:sz w:val="22"/>
          <w:szCs w:val="26"/>
        </w:rPr>
        <w:t>“Corporate Governance, Investor Protection, and Performance in Emerging Markets</w:t>
      </w:r>
      <w:r>
        <w:rPr>
          <w:rFonts w:ascii="Times New Roman" w:hAnsi="Times New Roman" w:cs="Times New Roman"/>
          <w:sz w:val="22"/>
          <w:szCs w:val="26"/>
        </w:rPr>
        <w:t xml:space="preserve">. </w:t>
      </w:r>
      <w:r w:rsidRPr="00E84E85">
        <w:rPr>
          <w:rFonts w:ascii="Times New Roman" w:hAnsi="Times New Roman" w:cs="Times New Roman"/>
          <w:i/>
          <w:sz w:val="22"/>
          <w:szCs w:val="26"/>
        </w:rPr>
        <w:t>Journal of Corporate Finance</w:t>
      </w:r>
      <w:r w:rsidRPr="00E84E85">
        <w:rPr>
          <w:rFonts w:ascii="Times New Roman" w:hAnsi="Times New Roman" w:cs="Times New Roman"/>
          <w:sz w:val="22"/>
          <w:szCs w:val="26"/>
        </w:rPr>
        <w:t>,</w:t>
      </w:r>
      <w:r w:rsidRPr="006333FA">
        <w:rPr>
          <w:rFonts w:ascii="Times New Roman" w:hAnsi="Times New Roman" w:cs="Times New Roman"/>
          <w:sz w:val="22"/>
          <w:szCs w:val="26"/>
        </w:rPr>
        <w:t xml:space="preserve"> 10, 703–728.</w:t>
      </w:r>
    </w:p>
    <w:p w14:paraId="585486D2"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KUMAR, J. 2006. O</w:t>
      </w:r>
      <w:r w:rsidRPr="00E91386">
        <w:rPr>
          <w:rFonts w:ascii="Times New Roman" w:hAnsi="Times New Roman" w:cs="Times New Roman"/>
          <w:sz w:val="22"/>
          <w:szCs w:val="26"/>
        </w:rPr>
        <w:t>wnership structure and dividend pay-out policy in India. Corporate Governance and Dividend Pay-out in India</w:t>
      </w:r>
      <w:r>
        <w:rPr>
          <w:rFonts w:ascii="Times New Roman" w:hAnsi="Times New Roman" w:cs="Times New Roman"/>
          <w:sz w:val="22"/>
          <w:szCs w:val="26"/>
        </w:rPr>
        <w:t>.</w:t>
      </w:r>
      <w:r w:rsidRPr="00E91386">
        <w:rPr>
          <w:rFonts w:ascii="Times New Roman" w:hAnsi="Times New Roman" w:cs="Times New Roman"/>
          <w:sz w:val="22"/>
          <w:szCs w:val="26"/>
        </w:rPr>
        <w:t xml:space="preserve"> </w:t>
      </w:r>
      <w:r w:rsidRPr="00E84E85">
        <w:rPr>
          <w:rFonts w:ascii="Times New Roman" w:hAnsi="Times New Roman" w:cs="Times New Roman"/>
          <w:i/>
          <w:sz w:val="22"/>
          <w:szCs w:val="26"/>
        </w:rPr>
        <w:t>Journal of Emerging Market Finance</w:t>
      </w:r>
      <w:r w:rsidRPr="00E91386">
        <w:rPr>
          <w:rFonts w:ascii="Times New Roman" w:hAnsi="Times New Roman" w:cs="Times New Roman"/>
          <w:sz w:val="22"/>
          <w:szCs w:val="26"/>
        </w:rPr>
        <w:t>, 5(1), 15-58.</w:t>
      </w:r>
    </w:p>
    <w:p w14:paraId="3DC510F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LA PORTA, R., LOPEZ-DE-SILANES, F., &amp; SHLEIFER, A. 1999. </w:t>
      </w:r>
      <w:r w:rsidRPr="003A1203">
        <w:rPr>
          <w:rFonts w:ascii="Times New Roman" w:hAnsi="Times New Roman" w:cs="Times New Roman"/>
          <w:sz w:val="22"/>
          <w:szCs w:val="26"/>
        </w:rPr>
        <w:t xml:space="preserve">“Corporate Ownership around the World.” </w:t>
      </w:r>
      <w:r w:rsidRPr="00E84E85">
        <w:rPr>
          <w:rFonts w:ascii="Times New Roman" w:hAnsi="Times New Roman" w:cs="Times New Roman"/>
          <w:i/>
          <w:sz w:val="22"/>
          <w:szCs w:val="26"/>
        </w:rPr>
        <w:t>Journal of Finance</w:t>
      </w:r>
      <w:r>
        <w:rPr>
          <w:rFonts w:ascii="Times New Roman" w:hAnsi="Times New Roman" w:cs="Times New Roman"/>
          <w:sz w:val="22"/>
          <w:szCs w:val="26"/>
        </w:rPr>
        <w:t>,</w:t>
      </w:r>
      <w:r w:rsidRPr="003A1203">
        <w:rPr>
          <w:rFonts w:ascii="Times New Roman" w:hAnsi="Times New Roman" w:cs="Times New Roman"/>
          <w:sz w:val="22"/>
          <w:szCs w:val="26"/>
        </w:rPr>
        <w:t xml:space="preserve"> 54, 471-517</w:t>
      </w:r>
      <w:r>
        <w:rPr>
          <w:rFonts w:ascii="Times New Roman" w:hAnsi="Times New Roman" w:cs="Times New Roman"/>
          <w:sz w:val="22"/>
          <w:szCs w:val="26"/>
        </w:rPr>
        <w:t>.</w:t>
      </w:r>
    </w:p>
    <w:p w14:paraId="4C29869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LA PORTA, R., LOPEZ-DE-SILANES, F., SHLEIFER, A., &amp; VISHNY, R. 2000. </w:t>
      </w:r>
      <w:r w:rsidRPr="003A1203">
        <w:rPr>
          <w:rFonts w:ascii="Times New Roman" w:hAnsi="Times New Roman" w:cs="Times New Roman"/>
          <w:sz w:val="22"/>
          <w:szCs w:val="26"/>
        </w:rPr>
        <w:t xml:space="preserve">“Agency Problems and Dividend Policies around the World.” </w:t>
      </w:r>
      <w:r>
        <w:rPr>
          <w:rFonts w:ascii="Times New Roman" w:hAnsi="Times New Roman" w:cs="Times New Roman"/>
          <w:i/>
          <w:sz w:val="22"/>
          <w:szCs w:val="26"/>
        </w:rPr>
        <w:t>Journal of Finance</w:t>
      </w:r>
      <w:r>
        <w:rPr>
          <w:rFonts w:ascii="Times New Roman" w:hAnsi="Times New Roman" w:cs="Times New Roman"/>
          <w:sz w:val="22"/>
          <w:szCs w:val="26"/>
        </w:rPr>
        <w:t>, 55, 1-33.</w:t>
      </w:r>
    </w:p>
    <w:p w14:paraId="701C152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LA PORTA, R., LOPEZ-DE-SILANES, F.,</w:t>
      </w:r>
      <w:r w:rsidRPr="00E84E85">
        <w:rPr>
          <w:rFonts w:ascii="Times New Roman" w:hAnsi="Times New Roman" w:cs="Times New Roman"/>
          <w:sz w:val="22"/>
          <w:szCs w:val="26"/>
        </w:rPr>
        <w:t xml:space="preserve"> SHLEIFER, A.</w:t>
      </w:r>
      <w:r>
        <w:rPr>
          <w:rFonts w:ascii="Times New Roman" w:hAnsi="Times New Roman" w:cs="Times New Roman"/>
          <w:sz w:val="22"/>
          <w:szCs w:val="26"/>
        </w:rPr>
        <w:t>,</w:t>
      </w:r>
      <w:r w:rsidRPr="00E84E85">
        <w:rPr>
          <w:rFonts w:ascii="Times New Roman" w:hAnsi="Times New Roman" w:cs="Times New Roman"/>
          <w:sz w:val="22"/>
          <w:szCs w:val="26"/>
        </w:rPr>
        <w:t xml:space="preserve"> &amp; VISHNY, R. 2000</w:t>
      </w:r>
      <w:r>
        <w:rPr>
          <w:rFonts w:ascii="Times New Roman" w:hAnsi="Times New Roman" w:cs="Times New Roman"/>
          <w:sz w:val="22"/>
          <w:szCs w:val="26"/>
        </w:rPr>
        <w:t xml:space="preserve">. </w:t>
      </w:r>
      <w:r w:rsidRPr="003A1203">
        <w:rPr>
          <w:rFonts w:ascii="Times New Roman" w:hAnsi="Times New Roman" w:cs="Times New Roman"/>
          <w:sz w:val="22"/>
          <w:szCs w:val="26"/>
        </w:rPr>
        <w:t>Investor protection and co</w:t>
      </w:r>
      <w:r>
        <w:rPr>
          <w:rFonts w:ascii="Times New Roman" w:hAnsi="Times New Roman" w:cs="Times New Roman"/>
          <w:sz w:val="22"/>
          <w:szCs w:val="26"/>
        </w:rPr>
        <w:t xml:space="preserve">rporate governance. </w:t>
      </w:r>
      <w:r w:rsidRPr="00E84E85">
        <w:rPr>
          <w:rFonts w:ascii="Times New Roman" w:hAnsi="Times New Roman" w:cs="Times New Roman"/>
          <w:i/>
          <w:sz w:val="22"/>
          <w:szCs w:val="26"/>
        </w:rPr>
        <w:t>Journal of Financial Economics</w:t>
      </w:r>
      <w:r w:rsidRPr="003A1203">
        <w:rPr>
          <w:rFonts w:ascii="Times New Roman" w:hAnsi="Times New Roman" w:cs="Times New Roman"/>
          <w:sz w:val="22"/>
          <w:szCs w:val="26"/>
        </w:rPr>
        <w:t>, 58(1), 3-27.</w:t>
      </w:r>
    </w:p>
    <w:p w14:paraId="006581DF"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LINTNER, J. 1956. </w:t>
      </w:r>
      <w:r w:rsidRPr="003A1203">
        <w:rPr>
          <w:rFonts w:ascii="Times New Roman" w:hAnsi="Times New Roman" w:cs="Times New Roman"/>
          <w:sz w:val="22"/>
          <w:szCs w:val="26"/>
        </w:rPr>
        <w:t xml:space="preserve">"Distribution of incomes of corporations among dividends, retained earnings, and taxes." </w:t>
      </w:r>
      <w:r w:rsidRPr="00E84E85">
        <w:rPr>
          <w:rFonts w:ascii="Times New Roman" w:hAnsi="Times New Roman" w:cs="Times New Roman"/>
          <w:i/>
          <w:sz w:val="22"/>
          <w:szCs w:val="26"/>
        </w:rPr>
        <w:t>The American Economic Review</w:t>
      </w:r>
      <w:r>
        <w:rPr>
          <w:rFonts w:ascii="Times New Roman" w:hAnsi="Times New Roman" w:cs="Times New Roman"/>
          <w:sz w:val="22"/>
          <w:szCs w:val="26"/>
        </w:rPr>
        <w:t>,</w:t>
      </w:r>
      <w:r w:rsidRPr="003A1203">
        <w:rPr>
          <w:rFonts w:ascii="Times New Roman" w:hAnsi="Times New Roman" w:cs="Times New Roman"/>
          <w:sz w:val="22"/>
          <w:szCs w:val="26"/>
        </w:rPr>
        <w:t xml:space="preserve"> 46(2)</w:t>
      </w:r>
      <w:r>
        <w:rPr>
          <w:rFonts w:ascii="Times New Roman" w:hAnsi="Times New Roman" w:cs="Times New Roman"/>
          <w:sz w:val="22"/>
          <w:szCs w:val="26"/>
        </w:rPr>
        <w:t>,</w:t>
      </w:r>
      <w:r w:rsidRPr="003A1203">
        <w:rPr>
          <w:rFonts w:ascii="Times New Roman" w:hAnsi="Times New Roman" w:cs="Times New Roman"/>
          <w:sz w:val="22"/>
          <w:szCs w:val="26"/>
        </w:rPr>
        <w:t xml:space="preserve"> 97-113. </w:t>
      </w:r>
    </w:p>
    <w:p w14:paraId="5133FAB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MANGCU, X., SHUBANE, M. G., &amp; HADLAND, A. 2007. </w:t>
      </w:r>
      <w:r>
        <w:rPr>
          <w:rFonts w:ascii="Times New Roman" w:hAnsi="Times New Roman" w:cs="Times New Roman"/>
          <w:i/>
          <w:sz w:val="22"/>
          <w:szCs w:val="26"/>
        </w:rPr>
        <w:t xml:space="preserve">Visions of Black Economic Empowerment. </w:t>
      </w:r>
      <w:r w:rsidRPr="009036E6">
        <w:rPr>
          <w:rFonts w:ascii="Times New Roman" w:hAnsi="Times New Roman" w:cs="Times New Roman"/>
          <w:sz w:val="22"/>
          <w:szCs w:val="26"/>
        </w:rPr>
        <w:t>Johannesburg: Jacana Media.</w:t>
      </w:r>
    </w:p>
    <w:p w14:paraId="5226FD6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MANSFIELD, E. R. &amp; HELMS, B. P. 1982. </w:t>
      </w:r>
      <w:r w:rsidRPr="003A1203">
        <w:rPr>
          <w:rFonts w:ascii="Times New Roman" w:hAnsi="Times New Roman" w:cs="Times New Roman"/>
          <w:sz w:val="22"/>
          <w:szCs w:val="26"/>
        </w:rPr>
        <w:t xml:space="preserve">"Detecting multicollinearity." </w:t>
      </w:r>
      <w:r w:rsidRPr="00E84E85">
        <w:rPr>
          <w:rFonts w:ascii="Times New Roman" w:hAnsi="Times New Roman" w:cs="Times New Roman"/>
          <w:i/>
          <w:sz w:val="22"/>
          <w:szCs w:val="26"/>
        </w:rPr>
        <w:t>The American Statistician</w:t>
      </w:r>
      <w:r>
        <w:rPr>
          <w:rFonts w:ascii="Times New Roman" w:hAnsi="Times New Roman" w:cs="Times New Roman"/>
          <w:sz w:val="22"/>
          <w:szCs w:val="26"/>
        </w:rPr>
        <w:t>,</w:t>
      </w:r>
      <w:r w:rsidRPr="003A1203">
        <w:rPr>
          <w:rFonts w:ascii="Times New Roman" w:hAnsi="Times New Roman" w:cs="Times New Roman"/>
          <w:sz w:val="22"/>
          <w:szCs w:val="26"/>
        </w:rPr>
        <w:t xml:space="preserve"> 36(3a)</w:t>
      </w:r>
      <w:r>
        <w:rPr>
          <w:rFonts w:ascii="Times New Roman" w:hAnsi="Times New Roman" w:cs="Times New Roman"/>
          <w:sz w:val="22"/>
          <w:szCs w:val="26"/>
        </w:rPr>
        <w:t>,</w:t>
      </w:r>
      <w:r w:rsidRPr="003A1203">
        <w:rPr>
          <w:rFonts w:ascii="Times New Roman" w:hAnsi="Times New Roman" w:cs="Times New Roman"/>
          <w:sz w:val="22"/>
          <w:szCs w:val="26"/>
        </w:rPr>
        <w:t xml:space="preserve"> 158-160. </w:t>
      </w:r>
    </w:p>
    <w:p w14:paraId="3CD3368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MARTINS, L. F., PERSSON, M. V., IDRIS, I., CZYGAN, M., &amp; VOTHIHONG, P. 2017. </w:t>
      </w:r>
      <w:r w:rsidRPr="00020DA0">
        <w:rPr>
          <w:rFonts w:ascii="Times New Roman" w:hAnsi="Times New Roman" w:cs="Times New Roman"/>
          <w:i/>
          <w:sz w:val="22"/>
          <w:szCs w:val="26"/>
        </w:rPr>
        <w:t>Python: End-to-end Data Analysis</w:t>
      </w:r>
      <w:r>
        <w:rPr>
          <w:rFonts w:ascii="Times New Roman" w:hAnsi="Times New Roman" w:cs="Times New Roman"/>
          <w:sz w:val="22"/>
          <w:szCs w:val="26"/>
        </w:rPr>
        <w:t>, New York. Packt Books. Packt Publishing.</w:t>
      </w:r>
    </w:p>
    <w:p w14:paraId="0DDE9230" w14:textId="77777777" w:rsidR="00CA1E77" w:rsidRPr="003A1203"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MAURY, C. B. &amp; PAJUSTE, A. 2002. </w:t>
      </w:r>
      <w:r w:rsidRPr="003A1203">
        <w:rPr>
          <w:rFonts w:ascii="Times New Roman" w:hAnsi="Times New Roman" w:cs="Times New Roman"/>
          <w:sz w:val="22"/>
          <w:szCs w:val="26"/>
        </w:rPr>
        <w:t xml:space="preserve">Controlling shareholders, agency problems, and dividend policy in Finland. </w:t>
      </w:r>
      <w:r w:rsidRPr="00696D15">
        <w:rPr>
          <w:rFonts w:ascii="Times New Roman" w:hAnsi="Times New Roman" w:cs="Times New Roman"/>
          <w:i/>
          <w:sz w:val="22"/>
          <w:szCs w:val="26"/>
        </w:rPr>
        <w:t>LTA</w:t>
      </w:r>
      <w:r w:rsidRPr="003A1203">
        <w:rPr>
          <w:rFonts w:ascii="Times New Roman" w:hAnsi="Times New Roman" w:cs="Times New Roman"/>
          <w:sz w:val="22"/>
          <w:szCs w:val="26"/>
        </w:rPr>
        <w:t>, 1(2), 15-45.</w:t>
      </w:r>
    </w:p>
    <w:p w14:paraId="2E9AEC1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MEYER, B.D. 1995. </w:t>
      </w:r>
      <w:r w:rsidRPr="003A1203">
        <w:rPr>
          <w:rFonts w:ascii="Times New Roman" w:hAnsi="Times New Roman" w:cs="Times New Roman"/>
          <w:sz w:val="22"/>
          <w:szCs w:val="26"/>
        </w:rPr>
        <w:t xml:space="preserve">"Natural and quasi-experiments in economics." </w:t>
      </w:r>
      <w:r w:rsidRPr="00E84E85">
        <w:rPr>
          <w:rFonts w:ascii="Times New Roman" w:hAnsi="Times New Roman" w:cs="Times New Roman"/>
          <w:i/>
          <w:sz w:val="22"/>
          <w:szCs w:val="26"/>
        </w:rPr>
        <w:t>Journal of Business &amp; Economic Statistics</w:t>
      </w:r>
      <w:r>
        <w:rPr>
          <w:rFonts w:ascii="Times New Roman" w:hAnsi="Times New Roman" w:cs="Times New Roman"/>
          <w:sz w:val="22"/>
          <w:szCs w:val="26"/>
        </w:rPr>
        <w:t>,</w:t>
      </w:r>
      <w:r w:rsidRPr="003A1203">
        <w:rPr>
          <w:rFonts w:ascii="Times New Roman" w:hAnsi="Times New Roman" w:cs="Times New Roman"/>
          <w:sz w:val="22"/>
          <w:szCs w:val="26"/>
        </w:rPr>
        <w:t xml:space="preserve"> 13(2)</w:t>
      </w:r>
      <w:r>
        <w:rPr>
          <w:rFonts w:ascii="Times New Roman" w:hAnsi="Times New Roman" w:cs="Times New Roman"/>
          <w:sz w:val="22"/>
          <w:szCs w:val="26"/>
        </w:rPr>
        <w:t>,</w:t>
      </w:r>
      <w:r w:rsidRPr="003A1203">
        <w:rPr>
          <w:rFonts w:ascii="Times New Roman" w:hAnsi="Times New Roman" w:cs="Times New Roman"/>
          <w:sz w:val="22"/>
          <w:szCs w:val="26"/>
        </w:rPr>
        <w:t xml:space="preserve"> 151-161. </w:t>
      </w:r>
    </w:p>
    <w:p w14:paraId="085F1D99"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MILES, J. 2014. </w:t>
      </w:r>
      <w:r w:rsidRPr="008F583D">
        <w:rPr>
          <w:rFonts w:ascii="Times New Roman" w:hAnsi="Times New Roman" w:cs="Times New Roman"/>
          <w:i/>
          <w:sz w:val="22"/>
          <w:szCs w:val="26"/>
        </w:rPr>
        <w:t>R Squared, Adjusted R Squared</w:t>
      </w:r>
      <w:r>
        <w:rPr>
          <w:rFonts w:ascii="Times New Roman" w:hAnsi="Times New Roman" w:cs="Times New Roman"/>
          <w:sz w:val="22"/>
          <w:szCs w:val="26"/>
        </w:rPr>
        <w:t>, New York. Wiley Online Library.</w:t>
      </w:r>
      <w:r w:rsidRPr="00473BA7">
        <w:rPr>
          <w:rFonts w:ascii="Times New Roman" w:hAnsi="Times New Roman" w:cs="Times New Roman"/>
          <w:b/>
          <w:sz w:val="22"/>
          <w:szCs w:val="26"/>
        </w:rPr>
        <w:t xml:space="preserve"> </w:t>
      </w:r>
      <w:r w:rsidRPr="00473BA7">
        <w:rPr>
          <w:rFonts w:ascii="Times New Roman" w:hAnsi="Times New Roman" w:cs="Times New Roman"/>
          <w:sz w:val="22"/>
          <w:szCs w:val="26"/>
        </w:rPr>
        <w:t>[Accessed 11 April 2017].</w:t>
      </w:r>
    </w:p>
    <w:p w14:paraId="43FF2CC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MILLER, M. H. &amp; MODIGLIANI, F. 1961. </w:t>
      </w:r>
      <w:r w:rsidRPr="003A1203">
        <w:rPr>
          <w:rFonts w:ascii="Times New Roman" w:hAnsi="Times New Roman" w:cs="Times New Roman"/>
          <w:sz w:val="22"/>
          <w:szCs w:val="26"/>
        </w:rPr>
        <w:t xml:space="preserve">"Dividend policy, growth, and the valuation of shares." </w:t>
      </w:r>
      <w:r w:rsidRPr="008F583D">
        <w:rPr>
          <w:rFonts w:ascii="Times New Roman" w:hAnsi="Times New Roman" w:cs="Times New Roman"/>
          <w:i/>
          <w:sz w:val="22"/>
          <w:szCs w:val="26"/>
        </w:rPr>
        <w:t>The Journal of Business</w:t>
      </w:r>
      <w:r>
        <w:rPr>
          <w:rFonts w:ascii="Times New Roman" w:hAnsi="Times New Roman" w:cs="Times New Roman"/>
          <w:sz w:val="22"/>
          <w:szCs w:val="26"/>
        </w:rPr>
        <w:t>,</w:t>
      </w:r>
      <w:r w:rsidRPr="003A1203">
        <w:rPr>
          <w:rFonts w:ascii="Times New Roman" w:hAnsi="Times New Roman" w:cs="Times New Roman"/>
          <w:sz w:val="22"/>
          <w:szCs w:val="26"/>
        </w:rPr>
        <w:t xml:space="preserve"> 34(4)</w:t>
      </w:r>
      <w:r>
        <w:rPr>
          <w:rFonts w:ascii="Times New Roman" w:hAnsi="Times New Roman" w:cs="Times New Roman"/>
          <w:sz w:val="22"/>
          <w:szCs w:val="26"/>
        </w:rPr>
        <w:t>,</w:t>
      </w:r>
      <w:r w:rsidRPr="003A1203">
        <w:rPr>
          <w:rFonts w:ascii="Times New Roman" w:hAnsi="Times New Roman" w:cs="Times New Roman"/>
          <w:sz w:val="22"/>
          <w:szCs w:val="26"/>
        </w:rPr>
        <w:t xml:space="preserve"> 411-433. </w:t>
      </w:r>
    </w:p>
    <w:p w14:paraId="2F64CE7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MUNILLA, L. &amp; MILES, M.P. 2005. </w:t>
      </w:r>
      <w:r w:rsidRPr="00A50290">
        <w:rPr>
          <w:rFonts w:ascii="Times New Roman" w:hAnsi="Times New Roman" w:cs="Times New Roman"/>
          <w:sz w:val="22"/>
          <w:szCs w:val="26"/>
        </w:rPr>
        <w:t>The Corporate Social Responsibility Continuum as a Component of Stakeholder Theory</w:t>
      </w:r>
      <w:r>
        <w:rPr>
          <w:rFonts w:ascii="Times New Roman" w:hAnsi="Times New Roman" w:cs="Times New Roman"/>
          <w:sz w:val="22"/>
          <w:szCs w:val="26"/>
        </w:rPr>
        <w:t>.</w:t>
      </w:r>
      <w:r w:rsidRPr="00A50290">
        <w:rPr>
          <w:rFonts w:ascii="Times New Roman" w:hAnsi="Times New Roman" w:cs="Times New Roman"/>
          <w:sz w:val="22"/>
          <w:szCs w:val="26"/>
        </w:rPr>
        <w:t xml:space="preserve"> </w:t>
      </w:r>
      <w:r w:rsidRPr="00A50290">
        <w:rPr>
          <w:rFonts w:ascii="Times New Roman" w:hAnsi="Times New Roman" w:cs="Times New Roman"/>
          <w:i/>
          <w:sz w:val="22"/>
          <w:szCs w:val="26"/>
        </w:rPr>
        <w:t>Business and Society Review</w:t>
      </w:r>
      <w:r>
        <w:rPr>
          <w:rFonts w:ascii="Times New Roman" w:hAnsi="Times New Roman" w:cs="Times New Roman"/>
          <w:sz w:val="22"/>
          <w:szCs w:val="26"/>
        </w:rPr>
        <w:t>,</w:t>
      </w:r>
      <w:r w:rsidRPr="00A50290">
        <w:rPr>
          <w:rFonts w:ascii="Times New Roman" w:hAnsi="Times New Roman" w:cs="Times New Roman"/>
          <w:sz w:val="22"/>
          <w:szCs w:val="26"/>
        </w:rPr>
        <w:t xml:space="preserve"> 110(4), 371–387.</w:t>
      </w:r>
    </w:p>
    <w:p w14:paraId="495189B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MYERS, S. 1984. </w:t>
      </w:r>
      <w:r w:rsidRPr="00C00BE2">
        <w:rPr>
          <w:rFonts w:ascii="Times New Roman" w:hAnsi="Times New Roman" w:cs="Times New Roman"/>
          <w:sz w:val="22"/>
          <w:szCs w:val="26"/>
        </w:rPr>
        <w:t xml:space="preserve"> The capital structure puzzle</w:t>
      </w:r>
      <w:r>
        <w:rPr>
          <w:rFonts w:ascii="Times New Roman" w:hAnsi="Times New Roman" w:cs="Times New Roman"/>
          <w:sz w:val="22"/>
          <w:szCs w:val="26"/>
        </w:rPr>
        <w:t>.</w:t>
      </w:r>
      <w:r w:rsidRPr="00C00BE2">
        <w:rPr>
          <w:rFonts w:ascii="Times New Roman" w:hAnsi="Times New Roman" w:cs="Times New Roman"/>
          <w:sz w:val="22"/>
          <w:szCs w:val="26"/>
        </w:rPr>
        <w:t xml:space="preserve"> </w:t>
      </w:r>
      <w:r w:rsidRPr="008F583D">
        <w:rPr>
          <w:rFonts w:ascii="Times New Roman" w:hAnsi="Times New Roman" w:cs="Times New Roman"/>
          <w:i/>
          <w:sz w:val="22"/>
          <w:szCs w:val="26"/>
        </w:rPr>
        <w:t>Journal of Finance</w:t>
      </w:r>
      <w:r>
        <w:rPr>
          <w:rFonts w:ascii="Times New Roman" w:hAnsi="Times New Roman" w:cs="Times New Roman"/>
          <w:sz w:val="22"/>
          <w:szCs w:val="26"/>
        </w:rPr>
        <w:t>,</w:t>
      </w:r>
      <w:r w:rsidRPr="00C00BE2">
        <w:rPr>
          <w:rFonts w:ascii="Times New Roman" w:hAnsi="Times New Roman" w:cs="Times New Roman"/>
          <w:sz w:val="22"/>
          <w:szCs w:val="26"/>
        </w:rPr>
        <w:t xml:space="preserve"> 39, 575-592.</w:t>
      </w:r>
    </w:p>
    <w:p w14:paraId="581D0D31"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NHLAPO, T. S. 2008. Black Economic Empowerment Funding Efficiency: A South African Perspective. Master in Business Administration Management, North West University, North West. </w:t>
      </w:r>
    </w:p>
    <w:p w14:paraId="6D8FF73A"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NGUBANE, M. 2010. The Challenges in Funding of Broad Based Black Economic Empowerment. Master of Business Administration Degree, University of Cape Town, Cape Town.</w:t>
      </w:r>
    </w:p>
    <w:p w14:paraId="470C5186" w14:textId="77777777" w:rsidR="00CA1E77" w:rsidRDefault="00CA1E77" w:rsidP="00CA1E77">
      <w:pPr>
        <w:spacing w:line="480" w:lineRule="auto"/>
        <w:ind w:left="0"/>
        <w:rPr>
          <w:rStyle w:val="Hyperlink"/>
          <w:rFonts w:ascii="Times New Roman" w:hAnsi="Times New Roman" w:cs="Times New Roman"/>
          <w:color w:val="auto"/>
          <w:sz w:val="22"/>
          <w:szCs w:val="26"/>
          <w:u w:val="none"/>
        </w:rPr>
      </w:pPr>
      <w:r>
        <w:rPr>
          <w:rFonts w:ascii="Times New Roman" w:hAnsi="Times New Roman" w:cs="Times New Roman"/>
          <w:sz w:val="22"/>
          <w:szCs w:val="26"/>
        </w:rPr>
        <w:t xml:space="preserve">NYAMGERO, F. 2015 </w:t>
      </w:r>
      <w:r w:rsidRPr="008F583D">
        <w:rPr>
          <w:rFonts w:ascii="Times New Roman" w:hAnsi="Times New Roman" w:cs="Times New Roman"/>
          <w:i/>
          <w:sz w:val="22"/>
          <w:szCs w:val="26"/>
        </w:rPr>
        <w:t>Are South African Firms Holding More Cash Than Before?</w:t>
      </w:r>
      <w:r>
        <w:rPr>
          <w:rFonts w:ascii="Times New Roman" w:hAnsi="Times New Roman" w:cs="Times New Roman"/>
          <w:sz w:val="22"/>
          <w:szCs w:val="26"/>
        </w:rPr>
        <w:t xml:space="preserve"> Available: </w:t>
      </w:r>
      <w:hyperlink r:id="rId20" w:history="1">
        <w:r w:rsidRPr="00A60CCE">
          <w:rPr>
            <w:rStyle w:val="Hyperlink"/>
            <w:rFonts w:ascii="Times New Roman" w:hAnsi="Times New Roman" w:cs="Times New Roman"/>
            <w:sz w:val="22"/>
            <w:szCs w:val="26"/>
          </w:rPr>
          <w:t>https://repository.up.ac.za/bitstream/handle/2263/52279/Nyamgero_South_2016.pdf?sequence=1</w:t>
        </w:r>
      </w:hyperlink>
      <w:r>
        <w:rPr>
          <w:rStyle w:val="Hyperlink"/>
          <w:rFonts w:ascii="Times New Roman" w:hAnsi="Times New Roman" w:cs="Times New Roman"/>
          <w:sz w:val="22"/>
          <w:szCs w:val="26"/>
        </w:rPr>
        <w:t xml:space="preserve"> </w:t>
      </w:r>
      <w:r w:rsidRPr="008F583D">
        <w:rPr>
          <w:rStyle w:val="Hyperlink"/>
          <w:rFonts w:ascii="Times New Roman" w:hAnsi="Times New Roman" w:cs="Times New Roman"/>
          <w:color w:val="auto"/>
          <w:sz w:val="22"/>
          <w:szCs w:val="26"/>
          <w:u w:val="none"/>
        </w:rPr>
        <w:t xml:space="preserve">. </w:t>
      </w:r>
      <w:r>
        <w:rPr>
          <w:rStyle w:val="Hyperlink"/>
          <w:rFonts w:ascii="Times New Roman" w:hAnsi="Times New Roman" w:cs="Times New Roman"/>
          <w:color w:val="auto"/>
          <w:sz w:val="22"/>
          <w:szCs w:val="26"/>
          <w:u w:val="none"/>
        </w:rPr>
        <w:t>[Accessed 03</w:t>
      </w:r>
      <w:r w:rsidRPr="008F583D">
        <w:rPr>
          <w:rStyle w:val="Hyperlink"/>
          <w:rFonts w:ascii="Times New Roman" w:hAnsi="Times New Roman" w:cs="Times New Roman"/>
          <w:color w:val="auto"/>
          <w:sz w:val="22"/>
          <w:szCs w:val="26"/>
          <w:u w:val="none"/>
        </w:rPr>
        <w:t xml:space="preserve"> </w:t>
      </w:r>
      <w:r>
        <w:rPr>
          <w:rStyle w:val="Hyperlink"/>
          <w:rFonts w:ascii="Times New Roman" w:hAnsi="Times New Roman" w:cs="Times New Roman"/>
          <w:color w:val="auto"/>
          <w:sz w:val="22"/>
          <w:szCs w:val="26"/>
          <w:u w:val="none"/>
        </w:rPr>
        <w:t>April</w:t>
      </w:r>
      <w:r w:rsidRPr="008F583D">
        <w:rPr>
          <w:rStyle w:val="Hyperlink"/>
          <w:rFonts w:ascii="Times New Roman" w:hAnsi="Times New Roman" w:cs="Times New Roman"/>
          <w:color w:val="auto"/>
          <w:sz w:val="22"/>
          <w:szCs w:val="26"/>
          <w:u w:val="none"/>
        </w:rPr>
        <w:t xml:space="preserve"> 2017].</w:t>
      </w:r>
    </w:p>
    <w:p w14:paraId="3EA0596C" w14:textId="77777777" w:rsidR="00CA1E77" w:rsidRDefault="00CA1E77" w:rsidP="00CA1E77">
      <w:pPr>
        <w:spacing w:line="480" w:lineRule="auto"/>
        <w:ind w:left="0"/>
        <w:rPr>
          <w:rFonts w:ascii="Times New Roman" w:hAnsi="Times New Roman" w:cs="Times New Roman"/>
          <w:sz w:val="22"/>
          <w:szCs w:val="26"/>
        </w:rPr>
      </w:pPr>
      <w:r>
        <w:rPr>
          <w:rStyle w:val="Hyperlink"/>
          <w:rFonts w:ascii="Times New Roman" w:hAnsi="Times New Roman" w:cs="Times New Roman"/>
          <w:color w:val="auto"/>
          <w:sz w:val="22"/>
          <w:szCs w:val="26"/>
          <w:u w:val="none"/>
        </w:rPr>
        <w:t xml:space="preserve">OYEWOLE, F. 1996. </w:t>
      </w:r>
      <w:r w:rsidRPr="002D315A">
        <w:rPr>
          <w:rFonts w:ascii="Times New Roman" w:hAnsi="Times New Roman" w:cs="Times New Roman"/>
          <w:sz w:val="22"/>
          <w:szCs w:val="26"/>
        </w:rPr>
        <w:t>Proposal regarding a black economic empowerment fund</w:t>
      </w:r>
      <w:r>
        <w:rPr>
          <w:rFonts w:ascii="Times New Roman" w:hAnsi="Times New Roman" w:cs="Times New Roman"/>
          <w:sz w:val="22"/>
          <w:szCs w:val="26"/>
        </w:rPr>
        <w:t>.</w:t>
      </w:r>
      <w:r w:rsidRPr="002D315A">
        <w:rPr>
          <w:rFonts w:ascii="Times New Roman" w:hAnsi="Times New Roman" w:cs="Times New Roman"/>
          <w:sz w:val="22"/>
          <w:szCs w:val="26"/>
        </w:rPr>
        <w:t xml:space="preserve"> </w:t>
      </w:r>
      <w:r w:rsidRPr="008F583D">
        <w:rPr>
          <w:rFonts w:ascii="Times New Roman" w:hAnsi="Times New Roman" w:cs="Times New Roman"/>
          <w:i/>
          <w:sz w:val="22"/>
          <w:szCs w:val="26"/>
        </w:rPr>
        <w:t>Standard Corporate and Merchant Bank unpublished document</w:t>
      </w:r>
      <w:r>
        <w:rPr>
          <w:rFonts w:ascii="Times New Roman" w:hAnsi="Times New Roman" w:cs="Times New Roman"/>
          <w:sz w:val="22"/>
          <w:szCs w:val="26"/>
        </w:rPr>
        <w:t>. [Accessed 26</w:t>
      </w:r>
      <w:r w:rsidRPr="00C26E53">
        <w:rPr>
          <w:rFonts w:ascii="Times New Roman" w:hAnsi="Times New Roman" w:cs="Times New Roman"/>
          <w:sz w:val="22"/>
          <w:szCs w:val="26"/>
        </w:rPr>
        <w:t xml:space="preserve"> </w:t>
      </w:r>
      <w:r>
        <w:rPr>
          <w:rFonts w:ascii="Times New Roman" w:hAnsi="Times New Roman" w:cs="Times New Roman"/>
          <w:sz w:val="22"/>
          <w:szCs w:val="26"/>
        </w:rPr>
        <w:t>August</w:t>
      </w:r>
      <w:r w:rsidRPr="00C26E53">
        <w:rPr>
          <w:rFonts w:ascii="Times New Roman" w:hAnsi="Times New Roman" w:cs="Times New Roman"/>
          <w:sz w:val="22"/>
          <w:szCs w:val="26"/>
        </w:rPr>
        <w:t xml:space="preserve"> 2017].</w:t>
      </w:r>
    </w:p>
    <w:p w14:paraId="2893529C"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PALLANT, J. 2013. </w:t>
      </w:r>
      <w:r w:rsidRPr="008F583D">
        <w:rPr>
          <w:rFonts w:ascii="Times New Roman" w:hAnsi="Times New Roman" w:cs="Times New Roman"/>
          <w:i/>
          <w:sz w:val="22"/>
          <w:szCs w:val="26"/>
        </w:rPr>
        <w:t>SPSS survival manual</w:t>
      </w:r>
      <w:r>
        <w:rPr>
          <w:rFonts w:ascii="Times New Roman" w:hAnsi="Times New Roman" w:cs="Times New Roman"/>
          <w:sz w:val="22"/>
          <w:szCs w:val="26"/>
        </w:rPr>
        <w:t xml:space="preserve">. </w:t>
      </w:r>
      <w:r w:rsidRPr="009C746D">
        <w:rPr>
          <w:rFonts w:ascii="Times New Roman" w:hAnsi="Times New Roman" w:cs="Times New Roman"/>
          <w:sz w:val="22"/>
          <w:szCs w:val="26"/>
        </w:rPr>
        <w:t xml:space="preserve"> London, McGraw-Hill Education</w:t>
      </w:r>
      <w:r>
        <w:rPr>
          <w:rFonts w:ascii="Times New Roman" w:hAnsi="Times New Roman" w:cs="Times New Roman"/>
          <w:sz w:val="22"/>
          <w:szCs w:val="26"/>
        </w:rPr>
        <w:t>, United Kingdom</w:t>
      </w:r>
      <w:r w:rsidRPr="009C746D">
        <w:rPr>
          <w:rFonts w:ascii="Times New Roman" w:hAnsi="Times New Roman" w:cs="Times New Roman"/>
          <w:sz w:val="22"/>
          <w:szCs w:val="26"/>
        </w:rPr>
        <w:t>.</w:t>
      </w:r>
    </w:p>
    <w:p w14:paraId="36D5045D"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PINNOCK, D. &amp; BUTLER, R. 2005. The ins and outs of structuring deals in South Africa. </w:t>
      </w:r>
      <w:r>
        <w:rPr>
          <w:rFonts w:ascii="Times New Roman" w:hAnsi="Times New Roman" w:cs="Times New Roman"/>
          <w:i/>
          <w:sz w:val="22"/>
          <w:szCs w:val="26"/>
        </w:rPr>
        <w:t xml:space="preserve">International Financial Law Review, </w:t>
      </w:r>
      <w:r>
        <w:rPr>
          <w:rFonts w:ascii="Times New Roman" w:hAnsi="Times New Roman" w:cs="Times New Roman"/>
          <w:sz w:val="22"/>
          <w:szCs w:val="26"/>
        </w:rPr>
        <w:t>2005 Guide to Private Equity, 24.</w:t>
      </w:r>
    </w:p>
    <w:p w14:paraId="25152786"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PLAATJIES, E. 2014. Funding structure efficiency and empowerment success: A Broad-Based Economic Empowerment Study. </w:t>
      </w:r>
      <w:r w:rsidRPr="008F583D">
        <w:rPr>
          <w:rFonts w:ascii="Times New Roman" w:hAnsi="Times New Roman" w:cs="Times New Roman"/>
          <w:i/>
          <w:sz w:val="22"/>
          <w:szCs w:val="26"/>
        </w:rPr>
        <w:t>MMFI</w:t>
      </w:r>
      <w:r>
        <w:rPr>
          <w:rFonts w:ascii="Times New Roman" w:hAnsi="Times New Roman" w:cs="Times New Roman"/>
          <w:sz w:val="22"/>
          <w:szCs w:val="26"/>
        </w:rPr>
        <w:t>, Wits Business School, Johannesburg.</w:t>
      </w:r>
    </w:p>
    <w:p w14:paraId="3799FAF3" w14:textId="77777777" w:rsidR="00CA1E77" w:rsidRPr="000740D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RADEBE, S. 2006. “Model for Equity Needs a Rethink”. </w:t>
      </w:r>
      <w:r>
        <w:rPr>
          <w:rFonts w:ascii="Times New Roman" w:hAnsi="Times New Roman" w:cs="Times New Roman"/>
          <w:i/>
          <w:sz w:val="22"/>
          <w:szCs w:val="26"/>
        </w:rPr>
        <w:t>Financial Mail.</w:t>
      </w:r>
      <w:r>
        <w:rPr>
          <w:rFonts w:ascii="Times New Roman" w:hAnsi="Times New Roman" w:cs="Times New Roman"/>
          <w:sz w:val="22"/>
          <w:szCs w:val="26"/>
        </w:rPr>
        <w:t xml:space="preserve"> [Accessed 13</w:t>
      </w:r>
      <w:r w:rsidRPr="00C26E53">
        <w:rPr>
          <w:rFonts w:ascii="Times New Roman" w:hAnsi="Times New Roman" w:cs="Times New Roman"/>
          <w:sz w:val="22"/>
          <w:szCs w:val="26"/>
        </w:rPr>
        <w:t xml:space="preserve"> </w:t>
      </w:r>
      <w:r>
        <w:rPr>
          <w:rFonts w:ascii="Times New Roman" w:hAnsi="Times New Roman" w:cs="Times New Roman"/>
          <w:sz w:val="22"/>
          <w:szCs w:val="26"/>
        </w:rPr>
        <w:t>March</w:t>
      </w:r>
      <w:r w:rsidRPr="00C26E53">
        <w:rPr>
          <w:rFonts w:ascii="Times New Roman" w:hAnsi="Times New Roman" w:cs="Times New Roman"/>
          <w:sz w:val="22"/>
          <w:szCs w:val="26"/>
        </w:rPr>
        <w:t xml:space="preserve"> 2017].</w:t>
      </w:r>
    </w:p>
    <w:p w14:paraId="603068BA"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SHLEIFER, A. &amp; VISHNY, R. W. 1997. </w:t>
      </w:r>
      <w:r w:rsidRPr="003A1203">
        <w:rPr>
          <w:rFonts w:ascii="Times New Roman" w:hAnsi="Times New Roman" w:cs="Times New Roman"/>
          <w:sz w:val="22"/>
          <w:szCs w:val="26"/>
        </w:rPr>
        <w:t xml:space="preserve">A survey of corporate governance. </w:t>
      </w:r>
      <w:r w:rsidRPr="00020DA0">
        <w:rPr>
          <w:rFonts w:ascii="Times New Roman" w:hAnsi="Times New Roman" w:cs="Times New Roman"/>
          <w:i/>
          <w:sz w:val="22"/>
          <w:szCs w:val="26"/>
        </w:rPr>
        <w:t>The Journal of finance</w:t>
      </w:r>
      <w:r w:rsidRPr="003A1203">
        <w:rPr>
          <w:rFonts w:ascii="Times New Roman" w:hAnsi="Times New Roman" w:cs="Times New Roman"/>
          <w:sz w:val="22"/>
          <w:szCs w:val="26"/>
        </w:rPr>
        <w:t>, 52(2), 737-783.</w:t>
      </w:r>
    </w:p>
    <w:p w14:paraId="3C2E9F4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SIEGEL, D. S. &amp; VITALIANO, D. F. 2007. A</w:t>
      </w:r>
      <w:r w:rsidRPr="0073699E">
        <w:rPr>
          <w:rFonts w:ascii="Times New Roman" w:hAnsi="Times New Roman" w:cs="Times New Roman"/>
          <w:sz w:val="22"/>
          <w:szCs w:val="26"/>
        </w:rPr>
        <w:t xml:space="preserve">n empirical analysis of the strategic use of corporate social responsibility. </w:t>
      </w:r>
      <w:r w:rsidRPr="00020DA0">
        <w:rPr>
          <w:rFonts w:ascii="Times New Roman" w:hAnsi="Times New Roman" w:cs="Times New Roman"/>
          <w:i/>
          <w:sz w:val="22"/>
          <w:szCs w:val="26"/>
        </w:rPr>
        <w:t>Journal of Economics and Management Strategy</w:t>
      </w:r>
      <w:r w:rsidRPr="0073699E">
        <w:rPr>
          <w:rFonts w:ascii="Times New Roman" w:hAnsi="Times New Roman" w:cs="Times New Roman"/>
          <w:sz w:val="22"/>
          <w:szCs w:val="26"/>
        </w:rPr>
        <w:t>, 16(3)</w:t>
      </w:r>
      <w:r>
        <w:rPr>
          <w:rFonts w:ascii="Times New Roman" w:hAnsi="Times New Roman" w:cs="Times New Roman"/>
          <w:sz w:val="22"/>
          <w:szCs w:val="26"/>
        </w:rPr>
        <w:t>,</w:t>
      </w:r>
      <w:r w:rsidRPr="0073699E">
        <w:rPr>
          <w:rFonts w:ascii="Times New Roman" w:hAnsi="Times New Roman" w:cs="Times New Roman"/>
          <w:sz w:val="22"/>
          <w:szCs w:val="26"/>
        </w:rPr>
        <w:t xml:space="preserve"> 773-792.</w:t>
      </w:r>
    </w:p>
    <w:p w14:paraId="63A2573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SMITH, C. W. JR. &amp; WATTS, R. L. 1992. </w:t>
      </w:r>
      <w:r w:rsidRPr="003A1203">
        <w:rPr>
          <w:rFonts w:ascii="Times New Roman" w:hAnsi="Times New Roman" w:cs="Times New Roman"/>
          <w:sz w:val="22"/>
          <w:szCs w:val="26"/>
        </w:rPr>
        <w:t>The investment opportunity set and corporate</w:t>
      </w:r>
      <w:r>
        <w:rPr>
          <w:rFonts w:ascii="Times New Roman" w:hAnsi="Times New Roman" w:cs="Times New Roman"/>
          <w:sz w:val="22"/>
          <w:szCs w:val="26"/>
        </w:rPr>
        <w:t xml:space="preserve"> </w:t>
      </w:r>
      <w:r w:rsidRPr="003A1203">
        <w:rPr>
          <w:rFonts w:ascii="Times New Roman" w:hAnsi="Times New Roman" w:cs="Times New Roman"/>
          <w:sz w:val="22"/>
          <w:szCs w:val="26"/>
        </w:rPr>
        <w:t>financing, dividend, and compensation policies</w:t>
      </w:r>
      <w:r>
        <w:rPr>
          <w:rFonts w:ascii="Times New Roman" w:hAnsi="Times New Roman" w:cs="Times New Roman"/>
          <w:sz w:val="22"/>
          <w:szCs w:val="26"/>
        </w:rPr>
        <w:t>.</w:t>
      </w:r>
      <w:r w:rsidRPr="003A1203">
        <w:rPr>
          <w:rFonts w:ascii="Times New Roman" w:hAnsi="Times New Roman" w:cs="Times New Roman"/>
          <w:sz w:val="22"/>
          <w:szCs w:val="26"/>
        </w:rPr>
        <w:t xml:space="preserve"> </w:t>
      </w:r>
      <w:r w:rsidRPr="00020DA0">
        <w:rPr>
          <w:rFonts w:ascii="Times New Roman" w:hAnsi="Times New Roman" w:cs="Times New Roman"/>
          <w:i/>
          <w:sz w:val="22"/>
          <w:szCs w:val="26"/>
        </w:rPr>
        <w:t>Journal of Financial Economics</w:t>
      </w:r>
      <w:r>
        <w:rPr>
          <w:rFonts w:ascii="Times New Roman" w:hAnsi="Times New Roman" w:cs="Times New Roman"/>
          <w:sz w:val="22"/>
          <w:szCs w:val="26"/>
        </w:rPr>
        <w:t>,</w:t>
      </w:r>
      <w:r w:rsidRPr="003A1203">
        <w:rPr>
          <w:rFonts w:ascii="Times New Roman" w:hAnsi="Times New Roman" w:cs="Times New Roman"/>
          <w:sz w:val="22"/>
          <w:szCs w:val="26"/>
        </w:rPr>
        <w:t xml:space="preserve"> 32, 263-292.</w:t>
      </w:r>
    </w:p>
    <w:p w14:paraId="65F8B7B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SKADE, T. 2015. </w:t>
      </w:r>
      <w:r w:rsidRPr="00020DA0">
        <w:rPr>
          <w:rFonts w:ascii="Times New Roman" w:hAnsi="Times New Roman" w:cs="Times New Roman"/>
          <w:i/>
          <w:sz w:val="22"/>
          <w:szCs w:val="26"/>
        </w:rPr>
        <w:t>Black South Africans have netted R317bn in BEE deals</w:t>
      </w:r>
      <w:r>
        <w:rPr>
          <w:rFonts w:ascii="Times New Roman" w:hAnsi="Times New Roman" w:cs="Times New Roman"/>
          <w:i/>
          <w:sz w:val="22"/>
          <w:szCs w:val="26"/>
        </w:rPr>
        <w:t>.</w:t>
      </w:r>
      <w:r w:rsidRPr="003A1203">
        <w:rPr>
          <w:rFonts w:ascii="Times New Roman" w:hAnsi="Times New Roman" w:cs="Times New Roman"/>
          <w:sz w:val="22"/>
          <w:szCs w:val="26"/>
        </w:rPr>
        <w:t xml:space="preserve"> A</w:t>
      </w:r>
      <w:r>
        <w:rPr>
          <w:rFonts w:ascii="Times New Roman" w:hAnsi="Times New Roman" w:cs="Times New Roman"/>
          <w:sz w:val="22"/>
          <w:szCs w:val="26"/>
        </w:rPr>
        <w:t>vailable</w:t>
      </w:r>
      <w:r w:rsidRPr="003A1203">
        <w:rPr>
          <w:rFonts w:ascii="Times New Roman" w:hAnsi="Times New Roman" w:cs="Times New Roman"/>
          <w:sz w:val="22"/>
          <w:szCs w:val="26"/>
        </w:rPr>
        <w:t>:</w:t>
      </w:r>
      <w:r>
        <w:rPr>
          <w:rFonts w:ascii="Times New Roman" w:hAnsi="Times New Roman" w:cs="Times New Roman"/>
          <w:sz w:val="22"/>
          <w:szCs w:val="26"/>
        </w:rPr>
        <w:t xml:space="preserve"> </w:t>
      </w:r>
      <w:hyperlink r:id="rId21" w:history="1">
        <w:r w:rsidRPr="008F5020">
          <w:rPr>
            <w:rStyle w:val="Hyperlink"/>
            <w:rFonts w:ascii="Times New Roman" w:hAnsi="Times New Roman" w:cs="Times New Roman"/>
            <w:sz w:val="22"/>
            <w:szCs w:val="26"/>
          </w:rPr>
          <w:t>http://www.destinyconnect.com/2015/06/29/black-south-africans-have-netted-r317bn-in-bee-deals</w:t>
        </w:r>
      </w:hyperlink>
      <w:r>
        <w:rPr>
          <w:rFonts w:ascii="Times New Roman" w:hAnsi="Times New Roman" w:cs="Times New Roman"/>
          <w:sz w:val="22"/>
          <w:szCs w:val="26"/>
        </w:rPr>
        <w:t xml:space="preserve">.  </w:t>
      </w:r>
      <w:r w:rsidRPr="00020DA0">
        <w:rPr>
          <w:rFonts w:ascii="Times New Roman" w:hAnsi="Times New Roman" w:cs="Times New Roman"/>
          <w:sz w:val="22"/>
          <w:szCs w:val="26"/>
        </w:rPr>
        <w:t>[Accessed 0</w:t>
      </w:r>
      <w:r>
        <w:rPr>
          <w:rFonts w:ascii="Times New Roman" w:hAnsi="Times New Roman" w:cs="Times New Roman"/>
          <w:sz w:val="22"/>
          <w:szCs w:val="26"/>
        </w:rPr>
        <w:t>3</w:t>
      </w:r>
      <w:r w:rsidRPr="00020DA0">
        <w:rPr>
          <w:rFonts w:ascii="Times New Roman" w:hAnsi="Times New Roman" w:cs="Times New Roman"/>
          <w:sz w:val="22"/>
          <w:szCs w:val="26"/>
        </w:rPr>
        <w:t xml:space="preserve"> April 2017].</w:t>
      </w:r>
    </w:p>
    <w:p w14:paraId="11ABCB8F"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SOUTH AFRICAN REVENUE SERVICES (SARS). 2017. </w:t>
      </w:r>
      <w:r w:rsidRPr="00020DA0">
        <w:rPr>
          <w:rFonts w:ascii="Times New Roman" w:hAnsi="Times New Roman" w:cs="Times New Roman"/>
          <w:i/>
          <w:sz w:val="22"/>
          <w:szCs w:val="26"/>
        </w:rPr>
        <w:t>Interest and Dividends</w:t>
      </w:r>
      <w:r w:rsidRPr="00652A46">
        <w:rPr>
          <w:rFonts w:ascii="Times New Roman" w:hAnsi="Times New Roman" w:cs="Times New Roman"/>
          <w:sz w:val="22"/>
          <w:szCs w:val="26"/>
        </w:rPr>
        <w:t xml:space="preserve">. </w:t>
      </w:r>
      <w:r>
        <w:rPr>
          <w:rFonts w:ascii="Times New Roman" w:hAnsi="Times New Roman" w:cs="Times New Roman"/>
          <w:sz w:val="22"/>
          <w:szCs w:val="26"/>
        </w:rPr>
        <w:t xml:space="preserve">Available: </w:t>
      </w:r>
      <w:hyperlink r:id="rId22" w:history="1">
        <w:r w:rsidRPr="008F5020">
          <w:rPr>
            <w:rStyle w:val="Hyperlink"/>
            <w:rFonts w:ascii="Times New Roman" w:hAnsi="Times New Roman" w:cs="Times New Roman"/>
            <w:sz w:val="22"/>
            <w:szCs w:val="26"/>
          </w:rPr>
          <w:t>http://www.sars.gov.za/Tax-Rates/Income-Tax/Pages/Interest-and-Dividends.aspx</w:t>
        </w:r>
      </w:hyperlink>
      <w:r>
        <w:rPr>
          <w:rFonts w:ascii="Times New Roman" w:hAnsi="Times New Roman" w:cs="Times New Roman"/>
          <w:sz w:val="22"/>
          <w:szCs w:val="26"/>
        </w:rPr>
        <w:t>. [Accessed 12 November</w:t>
      </w:r>
      <w:r w:rsidRPr="00020DA0">
        <w:rPr>
          <w:rFonts w:ascii="Times New Roman" w:hAnsi="Times New Roman" w:cs="Times New Roman"/>
          <w:sz w:val="22"/>
          <w:szCs w:val="26"/>
        </w:rPr>
        <w:t xml:space="preserve"> 2017].</w:t>
      </w:r>
    </w:p>
    <w:p w14:paraId="06ACE0A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STATISTICS SOUTH AFRICA. 2</w:t>
      </w:r>
      <w:r w:rsidRPr="0073699E">
        <w:rPr>
          <w:rFonts w:ascii="Times New Roman" w:hAnsi="Times New Roman" w:cs="Times New Roman"/>
          <w:sz w:val="22"/>
          <w:szCs w:val="26"/>
        </w:rPr>
        <w:t xml:space="preserve">006. </w:t>
      </w:r>
      <w:r w:rsidRPr="00702A65">
        <w:rPr>
          <w:rFonts w:ascii="Times New Roman" w:hAnsi="Times New Roman" w:cs="Times New Roman"/>
          <w:i/>
          <w:sz w:val="22"/>
          <w:szCs w:val="26"/>
        </w:rPr>
        <w:t>Statistical Release P0021. Annual Financial Statistics</w:t>
      </w:r>
      <w:r w:rsidRPr="0073699E">
        <w:rPr>
          <w:rFonts w:ascii="Times New Roman" w:hAnsi="Times New Roman" w:cs="Times New Roman"/>
          <w:sz w:val="22"/>
          <w:szCs w:val="26"/>
        </w:rPr>
        <w:t xml:space="preserve">. Available: </w:t>
      </w:r>
      <w:hyperlink r:id="rId23" w:history="1">
        <w:r w:rsidRPr="00BD2405">
          <w:rPr>
            <w:rStyle w:val="Hyperlink"/>
            <w:rFonts w:ascii="Times New Roman" w:hAnsi="Times New Roman" w:cs="Times New Roman"/>
            <w:sz w:val="22"/>
            <w:szCs w:val="26"/>
          </w:rPr>
          <w:t>http://www.statssa.gov.za/publications/P0021/P00212006.pdf</w:t>
        </w:r>
      </w:hyperlink>
      <w:r>
        <w:rPr>
          <w:rStyle w:val="Hyperlink"/>
          <w:rFonts w:ascii="Times New Roman" w:hAnsi="Times New Roman" w:cs="Times New Roman"/>
          <w:sz w:val="22"/>
          <w:szCs w:val="26"/>
        </w:rPr>
        <w:t xml:space="preserve"> </w:t>
      </w:r>
      <w:r w:rsidRPr="00702A65">
        <w:rPr>
          <w:rStyle w:val="Hyperlink"/>
          <w:rFonts w:ascii="Times New Roman" w:hAnsi="Times New Roman" w:cs="Times New Roman"/>
          <w:color w:val="auto"/>
          <w:sz w:val="22"/>
          <w:szCs w:val="26"/>
          <w:u w:val="none"/>
        </w:rPr>
        <w:t xml:space="preserve">. </w:t>
      </w:r>
      <w:r>
        <w:rPr>
          <w:rStyle w:val="Hyperlink"/>
          <w:rFonts w:ascii="Times New Roman" w:hAnsi="Times New Roman" w:cs="Times New Roman"/>
          <w:color w:val="auto"/>
          <w:sz w:val="22"/>
          <w:szCs w:val="26"/>
          <w:u w:val="none"/>
        </w:rPr>
        <w:t>[Accessed 21</w:t>
      </w:r>
      <w:r w:rsidRPr="00702A65">
        <w:rPr>
          <w:rStyle w:val="Hyperlink"/>
          <w:rFonts w:ascii="Times New Roman" w:hAnsi="Times New Roman" w:cs="Times New Roman"/>
          <w:color w:val="auto"/>
          <w:sz w:val="22"/>
          <w:szCs w:val="26"/>
          <w:u w:val="none"/>
        </w:rPr>
        <w:t xml:space="preserve"> </w:t>
      </w:r>
      <w:r>
        <w:rPr>
          <w:rStyle w:val="Hyperlink"/>
          <w:rFonts w:ascii="Times New Roman" w:hAnsi="Times New Roman" w:cs="Times New Roman"/>
          <w:color w:val="auto"/>
          <w:sz w:val="22"/>
          <w:szCs w:val="26"/>
          <w:u w:val="none"/>
        </w:rPr>
        <w:t>September</w:t>
      </w:r>
      <w:r w:rsidRPr="00702A65">
        <w:rPr>
          <w:rStyle w:val="Hyperlink"/>
          <w:rFonts w:ascii="Times New Roman" w:hAnsi="Times New Roman" w:cs="Times New Roman"/>
          <w:color w:val="auto"/>
          <w:sz w:val="22"/>
          <w:szCs w:val="26"/>
          <w:u w:val="none"/>
        </w:rPr>
        <w:t xml:space="preserve"> 2017].</w:t>
      </w:r>
    </w:p>
    <w:p w14:paraId="313326E2" w14:textId="77777777" w:rsidR="00CA1E77" w:rsidRPr="003A1203"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STATISTICS SOUTH AFRICA.</w:t>
      </w:r>
      <w:r w:rsidRPr="0073699E">
        <w:rPr>
          <w:rFonts w:ascii="Times New Roman" w:hAnsi="Times New Roman" w:cs="Times New Roman"/>
          <w:sz w:val="22"/>
          <w:szCs w:val="26"/>
        </w:rPr>
        <w:t xml:space="preserve"> 2016: </w:t>
      </w:r>
      <w:r w:rsidRPr="00702A65">
        <w:rPr>
          <w:rFonts w:ascii="Times New Roman" w:hAnsi="Times New Roman" w:cs="Times New Roman"/>
          <w:i/>
          <w:sz w:val="22"/>
          <w:szCs w:val="26"/>
        </w:rPr>
        <w:t>A quick look at debt in the private sector</w:t>
      </w:r>
      <w:r w:rsidRPr="00702A65">
        <w:rPr>
          <w:rFonts w:ascii="Times New Roman" w:hAnsi="Times New Roman" w:cs="Times New Roman"/>
          <w:sz w:val="22"/>
          <w:szCs w:val="26"/>
        </w:rPr>
        <w:t>.</w:t>
      </w:r>
      <w:r w:rsidRPr="0073699E">
        <w:rPr>
          <w:rFonts w:ascii="Times New Roman" w:hAnsi="Times New Roman" w:cs="Times New Roman"/>
          <w:sz w:val="22"/>
          <w:szCs w:val="26"/>
        </w:rPr>
        <w:t xml:space="preserve"> Available:</w:t>
      </w:r>
      <w:r>
        <w:rPr>
          <w:rFonts w:ascii="Times New Roman" w:hAnsi="Times New Roman" w:cs="Times New Roman"/>
          <w:sz w:val="22"/>
          <w:szCs w:val="26"/>
        </w:rPr>
        <w:t xml:space="preserve"> </w:t>
      </w:r>
      <w:hyperlink r:id="rId24" w:history="1">
        <w:r w:rsidRPr="008F5020">
          <w:rPr>
            <w:rStyle w:val="Hyperlink"/>
            <w:rFonts w:ascii="Times New Roman" w:hAnsi="Times New Roman" w:cs="Times New Roman"/>
            <w:sz w:val="22"/>
            <w:szCs w:val="26"/>
          </w:rPr>
          <w:t>http://www.statssa.gov.za/wp-content/uploads/2016/02/infographic.png</w:t>
        </w:r>
      </w:hyperlink>
      <w:r>
        <w:rPr>
          <w:rFonts w:ascii="Times New Roman" w:hAnsi="Times New Roman" w:cs="Times New Roman"/>
          <w:sz w:val="22"/>
          <w:szCs w:val="26"/>
        </w:rPr>
        <w:t xml:space="preserve">                                 and </w:t>
      </w:r>
      <w:hyperlink r:id="rId25" w:history="1">
        <w:r w:rsidRPr="008F5020">
          <w:rPr>
            <w:rStyle w:val="Hyperlink"/>
            <w:rFonts w:ascii="Times New Roman" w:hAnsi="Times New Roman" w:cs="Times New Roman"/>
            <w:sz w:val="22"/>
            <w:szCs w:val="26"/>
          </w:rPr>
          <w:t>http://www.statssa.gov.za/?p=6126</w:t>
        </w:r>
      </w:hyperlink>
      <w:r>
        <w:rPr>
          <w:rFonts w:ascii="Times New Roman" w:hAnsi="Times New Roman" w:cs="Times New Roman"/>
          <w:sz w:val="22"/>
          <w:szCs w:val="26"/>
        </w:rPr>
        <w:t xml:space="preserve"> . </w:t>
      </w:r>
      <w:r w:rsidRPr="00702A65">
        <w:rPr>
          <w:rFonts w:ascii="Times New Roman" w:hAnsi="Times New Roman" w:cs="Times New Roman"/>
          <w:sz w:val="22"/>
          <w:szCs w:val="26"/>
        </w:rPr>
        <w:t>[Accessed 21 September 2017].</w:t>
      </w:r>
    </w:p>
    <w:p w14:paraId="12677922" w14:textId="77777777" w:rsidR="00CA1E77" w:rsidRDefault="00CA1E77" w:rsidP="00CA1E77">
      <w:pPr>
        <w:spacing w:line="480" w:lineRule="auto"/>
        <w:ind w:left="-10" w:firstLine="0"/>
        <w:rPr>
          <w:rFonts w:ascii="Times New Roman" w:hAnsi="Times New Roman" w:cs="Times New Roman"/>
          <w:sz w:val="22"/>
          <w:szCs w:val="26"/>
        </w:rPr>
      </w:pPr>
      <w:r>
        <w:rPr>
          <w:rFonts w:ascii="Times New Roman" w:hAnsi="Times New Roman" w:cs="Times New Roman"/>
          <w:sz w:val="22"/>
          <w:szCs w:val="26"/>
        </w:rPr>
        <w:t xml:space="preserve">STRYDOM, B., CHRISTISON, A., &amp; MATIAS, J. 2009. </w:t>
      </w:r>
      <w:r w:rsidRPr="003A1203">
        <w:rPr>
          <w:rFonts w:ascii="Times New Roman" w:hAnsi="Times New Roman" w:cs="Times New Roman"/>
          <w:sz w:val="22"/>
          <w:szCs w:val="26"/>
        </w:rPr>
        <w:t xml:space="preserve">An empirical investigation of the effect of black economic empowerment transactions on share prices: 1996-2006. </w:t>
      </w:r>
      <w:r w:rsidRPr="00702A65">
        <w:rPr>
          <w:rFonts w:ascii="Times New Roman" w:hAnsi="Times New Roman" w:cs="Times New Roman"/>
          <w:i/>
          <w:sz w:val="22"/>
          <w:szCs w:val="26"/>
        </w:rPr>
        <w:t>African Journal of Accounting, Economics, Finance and Banking Research</w:t>
      </w:r>
      <w:r w:rsidRPr="003A1203">
        <w:rPr>
          <w:rFonts w:ascii="Times New Roman" w:hAnsi="Times New Roman" w:cs="Times New Roman"/>
          <w:sz w:val="22"/>
          <w:szCs w:val="26"/>
        </w:rPr>
        <w:t>, 5(5)</w:t>
      </w:r>
      <w:r>
        <w:rPr>
          <w:rFonts w:ascii="Times New Roman" w:hAnsi="Times New Roman" w:cs="Times New Roman"/>
          <w:sz w:val="22"/>
          <w:szCs w:val="26"/>
        </w:rPr>
        <w:t xml:space="preserve">, </w:t>
      </w:r>
      <w:r w:rsidRPr="003A1203">
        <w:rPr>
          <w:rFonts w:ascii="Times New Roman" w:hAnsi="Times New Roman" w:cs="Times New Roman"/>
          <w:sz w:val="22"/>
          <w:szCs w:val="26"/>
        </w:rPr>
        <w:t xml:space="preserve">67-76. </w:t>
      </w:r>
    </w:p>
    <w:p w14:paraId="269EB657"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SUITS, D. B. 2012. </w:t>
      </w:r>
      <w:r w:rsidRPr="007D0AA3">
        <w:rPr>
          <w:rFonts w:ascii="Times New Roman" w:hAnsi="Times New Roman" w:cs="Times New Roman"/>
          <w:sz w:val="22"/>
          <w:szCs w:val="26"/>
        </w:rPr>
        <w:t xml:space="preserve">Use of Dummy Variables in Regression Equations. University of Michigan. </w:t>
      </w:r>
      <w:r w:rsidRPr="00702A65">
        <w:rPr>
          <w:rFonts w:ascii="Times New Roman" w:hAnsi="Times New Roman" w:cs="Times New Roman"/>
          <w:i/>
          <w:sz w:val="22"/>
          <w:szCs w:val="26"/>
        </w:rPr>
        <w:t>Journal of the American Statistical Association</w:t>
      </w:r>
      <w:r>
        <w:rPr>
          <w:rFonts w:ascii="Times New Roman" w:hAnsi="Times New Roman" w:cs="Times New Roman"/>
          <w:sz w:val="22"/>
          <w:szCs w:val="26"/>
        </w:rPr>
        <w:t>, Volume 52.</w:t>
      </w:r>
    </w:p>
    <w:p w14:paraId="31C5E8C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THANATAWEE, Y. 2014. </w:t>
      </w:r>
      <w:r w:rsidRPr="003A1203">
        <w:rPr>
          <w:rFonts w:ascii="Times New Roman" w:hAnsi="Times New Roman" w:cs="Times New Roman"/>
          <w:sz w:val="22"/>
          <w:szCs w:val="26"/>
        </w:rPr>
        <w:t xml:space="preserve">"Ownership structure and dividend policy: Evidence from China." </w:t>
      </w:r>
      <w:r w:rsidRPr="00702A65">
        <w:rPr>
          <w:rFonts w:ascii="Times New Roman" w:hAnsi="Times New Roman" w:cs="Times New Roman"/>
          <w:i/>
          <w:sz w:val="22"/>
          <w:szCs w:val="26"/>
        </w:rPr>
        <w:t>International Journal of Economics and Finance</w:t>
      </w:r>
      <w:r w:rsidRPr="00702A65">
        <w:rPr>
          <w:rFonts w:ascii="Times New Roman" w:hAnsi="Times New Roman" w:cs="Times New Roman"/>
          <w:sz w:val="22"/>
          <w:szCs w:val="26"/>
        </w:rPr>
        <w:t>, 197-204.</w:t>
      </w:r>
    </w:p>
    <w:p w14:paraId="10808EA3" w14:textId="77777777" w:rsidR="00CA1E77" w:rsidRDefault="00CA1E77" w:rsidP="00CA1E77">
      <w:pPr>
        <w:spacing w:line="480" w:lineRule="auto"/>
        <w:ind w:left="0"/>
        <w:rPr>
          <w:rFonts w:ascii="Times New Roman" w:hAnsi="Times New Roman" w:cs="Times New Roman"/>
          <w:sz w:val="22"/>
          <w:szCs w:val="26"/>
        </w:rPr>
      </w:pPr>
      <w:r w:rsidRPr="00DD0D9D">
        <w:rPr>
          <w:rFonts w:ascii="Times New Roman" w:hAnsi="Times New Roman" w:cs="Times New Roman"/>
          <w:sz w:val="22"/>
          <w:szCs w:val="26"/>
        </w:rPr>
        <w:t>V</w:t>
      </w:r>
      <w:r>
        <w:rPr>
          <w:rFonts w:ascii="Times New Roman" w:hAnsi="Times New Roman" w:cs="Times New Roman"/>
          <w:sz w:val="22"/>
          <w:szCs w:val="26"/>
        </w:rPr>
        <w:t>AN</w:t>
      </w:r>
      <w:r w:rsidRPr="00DD0D9D">
        <w:rPr>
          <w:rFonts w:ascii="Times New Roman" w:hAnsi="Times New Roman" w:cs="Times New Roman"/>
          <w:sz w:val="22"/>
          <w:szCs w:val="26"/>
        </w:rPr>
        <w:t xml:space="preserve"> </w:t>
      </w:r>
      <w:r>
        <w:rPr>
          <w:rFonts w:ascii="Times New Roman" w:hAnsi="Times New Roman" w:cs="Times New Roman"/>
          <w:sz w:val="22"/>
          <w:szCs w:val="26"/>
        </w:rPr>
        <w:t>DER</w:t>
      </w:r>
      <w:r w:rsidRPr="00DD0D9D">
        <w:rPr>
          <w:rFonts w:ascii="Times New Roman" w:hAnsi="Times New Roman" w:cs="Times New Roman"/>
          <w:sz w:val="22"/>
          <w:szCs w:val="26"/>
        </w:rPr>
        <w:t xml:space="preserve"> M</w:t>
      </w:r>
      <w:r>
        <w:rPr>
          <w:rFonts w:ascii="Times New Roman" w:hAnsi="Times New Roman" w:cs="Times New Roman"/>
          <w:sz w:val="22"/>
          <w:szCs w:val="26"/>
        </w:rPr>
        <w:t>ERWE, C. M. A. &amp; FERREIRA</w:t>
      </w:r>
      <w:r w:rsidRPr="00DD0D9D">
        <w:rPr>
          <w:rFonts w:ascii="Times New Roman" w:hAnsi="Times New Roman" w:cs="Times New Roman"/>
          <w:sz w:val="22"/>
          <w:szCs w:val="26"/>
        </w:rPr>
        <w:t>, P. 2014. ʻThe association between the seven elements of the black economic empowerment score and market performance’</w:t>
      </w:r>
      <w:r>
        <w:rPr>
          <w:rFonts w:ascii="Times New Roman" w:hAnsi="Times New Roman" w:cs="Times New Roman"/>
          <w:sz w:val="22"/>
          <w:szCs w:val="26"/>
        </w:rPr>
        <w:t>.</w:t>
      </w:r>
      <w:r w:rsidRPr="00DD0D9D">
        <w:rPr>
          <w:rFonts w:ascii="Times New Roman" w:hAnsi="Times New Roman" w:cs="Times New Roman"/>
          <w:sz w:val="22"/>
          <w:szCs w:val="26"/>
        </w:rPr>
        <w:t xml:space="preserve"> </w:t>
      </w:r>
      <w:r w:rsidRPr="00DD0D9D">
        <w:rPr>
          <w:rFonts w:ascii="Times New Roman" w:hAnsi="Times New Roman" w:cs="Times New Roman"/>
          <w:i/>
          <w:sz w:val="22"/>
          <w:szCs w:val="26"/>
        </w:rPr>
        <w:t>South African Journal of Economics</w:t>
      </w:r>
      <w:r w:rsidRPr="00DD0D9D">
        <w:rPr>
          <w:rFonts w:ascii="Times New Roman" w:hAnsi="Times New Roman" w:cs="Times New Roman"/>
          <w:sz w:val="22"/>
          <w:szCs w:val="26"/>
        </w:rPr>
        <w:t>, 17(5)</w:t>
      </w:r>
      <w:r>
        <w:rPr>
          <w:rFonts w:ascii="Times New Roman" w:hAnsi="Times New Roman" w:cs="Times New Roman"/>
          <w:sz w:val="22"/>
          <w:szCs w:val="26"/>
        </w:rPr>
        <w:t>,</w:t>
      </w:r>
      <w:r w:rsidRPr="00DD0D9D">
        <w:rPr>
          <w:rFonts w:ascii="Times New Roman" w:hAnsi="Times New Roman" w:cs="Times New Roman"/>
          <w:sz w:val="22"/>
          <w:szCs w:val="26"/>
        </w:rPr>
        <w:t xml:space="preserve"> 544–556.</w:t>
      </w:r>
    </w:p>
    <w:p w14:paraId="2EECC35B"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VAN DER NEST, D. 2004. </w:t>
      </w:r>
      <w:r w:rsidRPr="002D315A">
        <w:rPr>
          <w:rFonts w:ascii="Times New Roman" w:hAnsi="Times New Roman" w:cs="Times New Roman"/>
          <w:sz w:val="22"/>
          <w:szCs w:val="26"/>
        </w:rPr>
        <w:t>The impact of BEE on the management of small companies in S.A.</w:t>
      </w:r>
      <w:r>
        <w:rPr>
          <w:rFonts w:ascii="Times New Roman" w:hAnsi="Times New Roman" w:cs="Times New Roman"/>
          <w:sz w:val="22"/>
          <w:szCs w:val="26"/>
        </w:rPr>
        <w:t xml:space="preserve"> </w:t>
      </w:r>
      <w:r w:rsidRPr="002D315A">
        <w:rPr>
          <w:rFonts w:ascii="Times New Roman" w:hAnsi="Times New Roman" w:cs="Times New Roman"/>
          <w:sz w:val="22"/>
          <w:szCs w:val="26"/>
        </w:rPr>
        <w:t>Johannesburg. RAU (Mini Dissertation - M.B.A)</w:t>
      </w:r>
      <w:r>
        <w:rPr>
          <w:rFonts w:ascii="Times New Roman" w:hAnsi="Times New Roman" w:cs="Times New Roman"/>
          <w:sz w:val="22"/>
          <w:szCs w:val="26"/>
        </w:rPr>
        <w:t>, Johannesburg</w:t>
      </w:r>
      <w:r w:rsidRPr="002D315A">
        <w:rPr>
          <w:rFonts w:ascii="Times New Roman" w:hAnsi="Times New Roman" w:cs="Times New Roman"/>
          <w:sz w:val="22"/>
          <w:szCs w:val="26"/>
        </w:rPr>
        <w:t>.</w:t>
      </w:r>
    </w:p>
    <w:p w14:paraId="4C0F401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lastRenderedPageBreak/>
        <w:t xml:space="preserve">WANG, C. F. &amp; GUO, Y. 2011. </w:t>
      </w:r>
      <w:r w:rsidRPr="003A1203">
        <w:rPr>
          <w:rFonts w:ascii="Times New Roman" w:hAnsi="Times New Roman" w:cs="Times New Roman"/>
          <w:sz w:val="22"/>
          <w:szCs w:val="26"/>
        </w:rPr>
        <w:t xml:space="preserve">"Do dividend tax cuts lead firms to increase dividends: Evidence from China." </w:t>
      </w:r>
      <w:r w:rsidRPr="00020DA0">
        <w:rPr>
          <w:rFonts w:ascii="Times New Roman" w:hAnsi="Times New Roman" w:cs="Times New Roman"/>
          <w:i/>
          <w:sz w:val="22"/>
          <w:szCs w:val="26"/>
        </w:rPr>
        <w:t>China Journal of Accounting Research</w:t>
      </w:r>
      <w:r>
        <w:rPr>
          <w:rFonts w:ascii="Times New Roman" w:hAnsi="Times New Roman" w:cs="Times New Roman"/>
          <w:sz w:val="22"/>
          <w:szCs w:val="26"/>
        </w:rPr>
        <w:t>,</w:t>
      </w:r>
      <w:r w:rsidRPr="003A1203">
        <w:rPr>
          <w:rFonts w:ascii="Times New Roman" w:hAnsi="Times New Roman" w:cs="Times New Roman"/>
          <w:sz w:val="22"/>
          <w:szCs w:val="26"/>
        </w:rPr>
        <w:t xml:space="preserve"> 4(4)</w:t>
      </w:r>
      <w:r>
        <w:rPr>
          <w:rFonts w:ascii="Times New Roman" w:hAnsi="Times New Roman" w:cs="Times New Roman"/>
          <w:sz w:val="22"/>
          <w:szCs w:val="26"/>
        </w:rPr>
        <w:t>,</w:t>
      </w:r>
      <w:r w:rsidRPr="003A1203">
        <w:rPr>
          <w:rFonts w:ascii="Times New Roman" w:hAnsi="Times New Roman" w:cs="Times New Roman"/>
          <w:sz w:val="22"/>
          <w:szCs w:val="26"/>
        </w:rPr>
        <w:t xml:space="preserve"> 197-209. </w:t>
      </w:r>
    </w:p>
    <w:p w14:paraId="001B925F"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WARD, M. &amp; MULLER, C. 2010. </w:t>
      </w:r>
      <w:r w:rsidRPr="003A1203">
        <w:rPr>
          <w:rFonts w:ascii="Times New Roman" w:hAnsi="Times New Roman" w:cs="Times New Roman"/>
          <w:sz w:val="22"/>
          <w:szCs w:val="26"/>
        </w:rPr>
        <w:t xml:space="preserve">The long term share price reaction to Black Economic Empowerment announcements on the JSE. </w:t>
      </w:r>
      <w:r w:rsidRPr="00020DA0">
        <w:rPr>
          <w:rFonts w:ascii="Times New Roman" w:hAnsi="Times New Roman" w:cs="Times New Roman"/>
          <w:i/>
          <w:sz w:val="22"/>
          <w:szCs w:val="26"/>
        </w:rPr>
        <w:t>Investment Analysts Journal</w:t>
      </w:r>
      <w:r w:rsidRPr="003A1203">
        <w:rPr>
          <w:rFonts w:ascii="Times New Roman" w:hAnsi="Times New Roman" w:cs="Times New Roman"/>
          <w:sz w:val="22"/>
          <w:szCs w:val="26"/>
        </w:rPr>
        <w:t>, 71</w:t>
      </w:r>
      <w:r>
        <w:rPr>
          <w:rFonts w:ascii="Times New Roman" w:hAnsi="Times New Roman" w:cs="Times New Roman"/>
          <w:sz w:val="22"/>
          <w:szCs w:val="26"/>
        </w:rPr>
        <w:t xml:space="preserve">, </w:t>
      </w:r>
      <w:r w:rsidRPr="003A1203">
        <w:rPr>
          <w:rFonts w:ascii="Times New Roman" w:hAnsi="Times New Roman" w:cs="Times New Roman"/>
          <w:sz w:val="22"/>
          <w:szCs w:val="26"/>
        </w:rPr>
        <w:t xml:space="preserve">27-36. </w:t>
      </w:r>
    </w:p>
    <w:p w14:paraId="3CCB0753"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WERKSMANS ATTORNEYS, 2015. </w:t>
      </w:r>
      <w:r w:rsidRPr="00020DA0">
        <w:rPr>
          <w:rFonts w:ascii="Times New Roman" w:hAnsi="Times New Roman" w:cs="Times New Roman"/>
          <w:i/>
          <w:sz w:val="22"/>
          <w:szCs w:val="26"/>
        </w:rPr>
        <w:t xml:space="preserve">Amendments to the BBBEE Act and the Codes Explained.  </w:t>
      </w:r>
      <w:r w:rsidRPr="00696D15">
        <w:rPr>
          <w:rFonts w:ascii="Times New Roman" w:hAnsi="Times New Roman" w:cs="Times New Roman"/>
          <w:sz w:val="22"/>
          <w:szCs w:val="26"/>
        </w:rPr>
        <w:t>Sandton.</w:t>
      </w:r>
      <w:r>
        <w:rPr>
          <w:rFonts w:ascii="Times New Roman" w:hAnsi="Times New Roman" w:cs="Times New Roman"/>
          <w:sz w:val="22"/>
          <w:szCs w:val="26"/>
        </w:rPr>
        <w:t xml:space="preserve"> Available: </w:t>
      </w:r>
      <w:hyperlink r:id="rId26" w:history="1">
        <w:r w:rsidRPr="00BD2405">
          <w:rPr>
            <w:rStyle w:val="Hyperlink"/>
            <w:rFonts w:ascii="Times New Roman" w:hAnsi="Times New Roman" w:cs="Times New Roman"/>
            <w:sz w:val="22"/>
            <w:szCs w:val="26"/>
          </w:rPr>
          <w:t>http://www.werksmans.com/wp-content/uploads/2015/04/042870-WERKSMANS-bbbee-bookletsp.pdf</w:t>
        </w:r>
      </w:hyperlink>
      <w:r w:rsidRPr="003A1203">
        <w:rPr>
          <w:rFonts w:ascii="Times New Roman" w:hAnsi="Times New Roman" w:cs="Times New Roman"/>
          <w:sz w:val="22"/>
          <w:szCs w:val="26"/>
        </w:rPr>
        <w:t xml:space="preserve">. </w:t>
      </w:r>
      <w:r>
        <w:rPr>
          <w:rFonts w:ascii="Times New Roman" w:hAnsi="Times New Roman" w:cs="Times New Roman"/>
          <w:sz w:val="22"/>
          <w:szCs w:val="26"/>
        </w:rPr>
        <w:t>[Accessed 18 May</w:t>
      </w:r>
      <w:r w:rsidRPr="00516483">
        <w:rPr>
          <w:rFonts w:ascii="Times New Roman" w:hAnsi="Times New Roman" w:cs="Times New Roman"/>
          <w:sz w:val="22"/>
          <w:szCs w:val="26"/>
        </w:rPr>
        <w:t xml:space="preserve"> 2017].</w:t>
      </w:r>
    </w:p>
    <w:p w14:paraId="53E4D990"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WOLMARANS, H. P. 2003. </w:t>
      </w:r>
      <w:r w:rsidRPr="0073699E">
        <w:rPr>
          <w:rFonts w:ascii="Times New Roman" w:hAnsi="Times New Roman" w:cs="Times New Roman"/>
          <w:sz w:val="22"/>
          <w:szCs w:val="26"/>
        </w:rPr>
        <w:t xml:space="preserve">"Does Lintner’s dividend model explain South African dividend payments?" </w:t>
      </w:r>
      <w:r w:rsidRPr="00020DA0">
        <w:rPr>
          <w:rFonts w:ascii="Times New Roman" w:hAnsi="Times New Roman" w:cs="Times New Roman"/>
          <w:i/>
          <w:sz w:val="22"/>
          <w:szCs w:val="26"/>
        </w:rPr>
        <w:t>Meditari Accountancy Research</w:t>
      </w:r>
      <w:r>
        <w:rPr>
          <w:rFonts w:ascii="Times New Roman" w:hAnsi="Times New Roman" w:cs="Times New Roman"/>
          <w:sz w:val="22"/>
          <w:szCs w:val="26"/>
        </w:rPr>
        <w:t>,</w:t>
      </w:r>
      <w:r w:rsidRPr="0073699E">
        <w:rPr>
          <w:rFonts w:ascii="Times New Roman" w:hAnsi="Times New Roman" w:cs="Times New Roman"/>
          <w:sz w:val="22"/>
          <w:szCs w:val="26"/>
        </w:rPr>
        <w:t xml:space="preserve"> 11(1)</w:t>
      </w:r>
      <w:r>
        <w:rPr>
          <w:rFonts w:ascii="Times New Roman" w:hAnsi="Times New Roman" w:cs="Times New Roman"/>
          <w:sz w:val="22"/>
          <w:szCs w:val="26"/>
        </w:rPr>
        <w:t>,</w:t>
      </w:r>
      <w:r w:rsidRPr="0073699E">
        <w:rPr>
          <w:rFonts w:ascii="Times New Roman" w:hAnsi="Times New Roman" w:cs="Times New Roman"/>
          <w:sz w:val="22"/>
          <w:szCs w:val="26"/>
        </w:rPr>
        <w:t xml:space="preserve"> 243-254.</w:t>
      </w:r>
    </w:p>
    <w:p w14:paraId="0D7B4C72"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WOLMARANS, H. &amp; SARTORIUS, K. 2009. </w:t>
      </w:r>
      <w:r w:rsidRPr="003A1203">
        <w:rPr>
          <w:rFonts w:ascii="Times New Roman" w:hAnsi="Times New Roman" w:cs="Times New Roman"/>
          <w:sz w:val="22"/>
          <w:szCs w:val="26"/>
        </w:rPr>
        <w:t xml:space="preserve">Corporate social responsibility: the financial impact of black economic empowerment transactions in South Africa. </w:t>
      </w:r>
      <w:r w:rsidRPr="00020DA0">
        <w:rPr>
          <w:rFonts w:ascii="Times New Roman" w:hAnsi="Times New Roman" w:cs="Times New Roman"/>
          <w:i/>
          <w:sz w:val="22"/>
          <w:szCs w:val="26"/>
        </w:rPr>
        <w:t>SAJEMS</w:t>
      </w:r>
      <w:r w:rsidRPr="003A1203">
        <w:rPr>
          <w:rFonts w:ascii="Times New Roman" w:hAnsi="Times New Roman" w:cs="Times New Roman"/>
          <w:sz w:val="22"/>
          <w:szCs w:val="26"/>
        </w:rPr>
        <w:t>, 12(2)</w:t>
      </w:r>
      <w:r>
        <w:rPr>
          <w:rFonts w:ascii="Times New Roman" w:hAnsi="Times New Roman" w:cs="Times New Roman"/>
          <w:sz w:val="22"/>
          <w:szCs w:val="26"/>
        </w:rPr>
        <w:t>,</w:t>
      </w:r>
      <w:r w:rsidRPr="003A1203">
        <w:rPr>
          <w:rFonts w:ascii="Times New Roman" w:hAnsi="Times New Roman" w:cs="Times New Roman"/>
          <w:sz w:val="22"/>
          <w:szCs w:val="26"/>
        </w:rPr>
        <w:t xml:space="preserve"> 180-193.</w:t>
      </w:r>
    </w:p>
    <w:p w14:paraId="4E3070CE" w14:textId="77777777" w:rsidR="00CA1E7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WOOLLEY, R. 2005. </w:t>
      </w:r>
      <w:r w:rsidRPr="00020DA0">
        <w:rPr>
          <w:rFonts w:ascii="Times New Roman" w:hAnsi="Times New Roman" w:cs="Times New Roman"/>
          <w:i/>
          <w:sz w:val="22"/>
          <w:szCs w:val="26"/>
        </w:rPr>
        <w:t>Everybody’s guide to Black economic empowerment and how to implement it</w:t>
      </w:r>
      <w:r>
        <w:rPr>
          <w:rFonts w:ascii="Times New Roman" w:hAnsi="Times New Roman" w:cs="Times New Roman"/>
          <w:sz w:val="22"/>
          <w:szCs w:val="26"/>
        </w:rPr>
        <w:t>.</w:t>
      </w:r>
      <w:r w:rsidRPr="0073699E">
        <w:rPr>
          <w:rFonts w:ascii="Times New Roman" w:hAnsi="Times New Roman" w:cs="Times New Roman"/>
          <w:sz w:val="22"/>
          <w:szCs w:val="26"/>
        </w:rPr>
        <w:t xml:space="preserve"> Cape Town</w:t>
      </w:r>
      <w:r>
        <w:rPr>
          <w:rFonts w:ascii="Times New Roman" w:hAnsi="Times New Roman" w:cs="Times New Roman"/>
          <w:sz w:val="22"/>
          <w:szCs w:val="26"/>
        </w:rPr>
        <w:t>.</w:t>
      </w:r>
      <w:r w:rsidRPr="0073699E">
        <w:rPr>
          <w:rFonts w:ascii="Times New Roman" w:hAnsi="Times New Roman" w:cs="Times New Roman"/>
          <w:sz w:val="22"/>
          <w:szCs w:val="26"/>
        </w:rPr>
        <w:t xml:space="preserve"> Zebra Press.</w:t>
      </w:r>
    </w:p>
    <w:p w14:paraId="33645BF0" w14:textId="77777777" w:rsidR="00CA1E77" w:rsidRPr="00473BA7" w:rsidRDefault="00CA1E77" w:rsidP="00CA1E77">
      <w:pPr>
        <w:spacing w:line="480" w:lineRule="auto"/>
        <w:ind w:left="0"/>
        <w:rPr>
          <w:rFonts w:ascii="Times New Roman" w:hAnsi="Times New Roman" w:cs="Times New Roman"/>
          <w:sz w:val="22"/>
          <w:szCs w:val="26"/>
        </w:rPr>
      </w:pPr>
      <w:r>
        <w:rPr>
          <w:rFonts w:ascii="Times New Roman" w:hAnsi="Times New Roman" w:cs="Times New Roman"/>
          <w:sz w:val="22"/>
          <w:szCs w:val="26"/>
        </w:rPr>
        <w:t xml:space="preserve">WOOLRIDGE, J. M. 2002. </w:t>
      </w:r>
      <w:r w:rsidRPr="00020DA0">
        <w:rPr>
          <w:rFonts w:ascii="Times New Roman" w:hAnsi="Times New Roman" w:cs="Times New Roman"/>
          <w:i/>
          <w:sz w:val="22"/>
          <w:szCs w:val="26"/>
        </w:rPr>
        <w:t>Econometric Analysis of Cross Section and Panel Data</w:t>
      </w:r>
      <w:r>
        <w:rPr>
          <w:rFonts w:ascii="Times New Roman" w:hAnsi="Times New Roman" w:cs="Times New Roman"/>
          <w:sz w:val="22"/>
          <w:szCs w:val="26"/>
        </w:rPr>
        <w:t>. The MIT Press Cambridge, Massachusetts, London, England.</w:t>
      </w:r>
    </w:p>
    <w:p w14:paraId="2C27DC82" w14:textId="77777777" w:rsidR="00BD3157" w:rsidRDefault="00BD3157" w:rsidP="00BD3157"/>
    <w:p w14:paraId="1043244C" w14:textId="77777777" w:rsidR="00CA1E77" w:rsidRDefault="00CA1E77" w:rsidP="00BD3157"/>
    <w:p w14:paraId="7AD42C81" w14:textId="77777777" w:rsidR="00CA1E77" w:rsidRDefault="00CA1E77" w:rsidP="00BD3157"/>
    <w:p w14:paraId="38BC5A35" w14:textId="77777777" w:rsidR="00CA1E77" w:rsidRDefault="00CA1E77" w:rsidP="00BD3157"/>
    <w:p w14:paraId="2CDD7B25" w14:textId="77777777" w:rsidR="00CA1E77" w:rsidRDefault="00CA1E77" w:rsidP="00BD3157"/>
    <w:p w14:paraId="47CA16C1" w14:textId="77777777" w:rsidR="00CA1E77" w:rsidRDefault="00CA1E77" w:rsidP="00BD3157"/>
    <w:p w14:paraId="2ED7BB90" w14:textId="77777777" w:rsidR="00CA1E77" w:rsidRDefault="00CA1E77" w:rsidP="00BD3157"/>
    <w:p w14:paraId="254347CD" w14:textId="77777777" w:rsidR="00CA1E77" w:rsidRDefault="00CA1E77" w:rsidP="00BD3157"/>
    <w:p w14:paraId="212637B3" w14:textId="77777777" w:rsidR="00CA1E77" w:rsidRDefault="00CA1E77" w:rsidP="00BD3157"/>
    <w:p w14:paraId="5CE75667" w14:textId="77777777" w:rsidR="009E508C" w:rsidRDefault="00667747" w:rsidP="00536234">
      <w:pPr>
        <w:pStyle w:val="Heading1"/>
        <w:ind w:left="0"/>
        <w:jc w:val="center"/>
        <w:rPr>
          <w:rFonts w:ascii="Times New Roman" w:hAnsi="Times New Roman" w:cs="Times New Roman"/>
          <w:b/>
          <w:color w:val="auto"/>
          <w:sz w:val="28"/>
          <w:u w:val="single"/>
        </w:rPr>
      </w:pPr>
      <w:bookmarkStart w:id="71" w:name="_Toc506717816"/>
      <w:r w:rsidRPr="00507D0D">
        <w:rPr>
          <w:rFonts w:ascii="Times New Roman" w:hAnsi="Times New Roman" w:cs="Times New Roman"/>
          <w:b/>
          <w:color w:val="auto"/>
          <w:sz w:val="28"/>
          <w:u w:val="single"/>
        </w:rPr>
        <w:t>APPENDIX A</w:t>
      </w:r>
      <w:bookmarkEnd w:id="71"/>
    </w:p>
    <w:p w14:paraId="31EA9725" w14:textId="77777777" w:rsidR="00B5127E" w:rsidRPr="00B5127E" w:rsidRDefault="00B5127E" w:rsidP="00536234">
      <w:pPr>
        <w:ind w:left="0"/>
      </w:pPr>
    </w:p>
    <w:tbl>
      <w:tblPr>
        <w:tblW w:w="9224" w:type="dxa"/>
        <w:tblInd w:w="-107" w:type="dxa"/>
        <w:tblCellMar>
          <w:top w:w="10" w:type="dxa"/>
          <w:left w:w="107" w:type="dxa"/>
          <w:right w:w="134" w:type="dxa"/>
        </w:tblCellMar>
        <w:tblLook w:val="04A0" w:firstRow="1" w:lastRow="0" w:firstColumn="1" w:lastColumn="0" w:noHBand="0" w:noVBand="1"/>
      </w:tblPr>
      <w:tblGrid>
        <w:gridCol w:w="1979"/>
        <w:gridCol w:w="7245"/>
      </w:tblGrid>
      <w:tr w:rsidR="00965EDA" w:rsidRPr="003A1203" w14:paraId="5805DAE0" w14:textId="77777777" w:rsidTr="00965EDA">
        <w:trPr>
          <w:trHeight w:val="841"/>
        </w:trPr>
        <w:tc>
          <w:tcPr>
            <w:tcW w:w="1979"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0FB5253C" w14:textId="2FE8A675" w:rsidR="00965EDA" w:rsidRPr="003A1203" w:rsidRDefault="00965EDA" w:rsidP="00536234">
            <w:pPr>
              <w:tabs>
                <w:tab w:val="left" w:pos="180"/>
                <w:tab w:val="center" w:pos="727"/>
              </w:tabs>
              <w:spacing w:after="0" w:line="480" w:lineRule="auto"/>
              <w:ind w:left="0" w:firstLine="0"/>
              <w:jc w:val="left"/>
              <w:rPr>
                <w:rFonts w:ascii="Times New Roman" w:hAnsi="Times New Roman" w:cs="Times New Roman"/>
                <w:sz w:val="22"/>
              </w:rPr>
            </w:pPr>
            <w:r w:rsidRPr="003A1203">
              <w:rPr>
                <w:rFonts w:ascii="Times New Roman" w:hAnsi="Times New Roman" w:cs="Times New Roman"/>
                <w:b/>
                <w:sz w:val="22"/>
              </w:rPr>
              <w:tab/>
            </w:r>
            <w:r w:rsidRPr="003A1203">
              <w:rPr>
                <w:rFonts w:ascii="Times New Roman" w:hAnsi="Times New Roman" w:cs="Times New Roman"/>
                <w:b/>
                <w:sz w:val="22"/>
              </w:rPr>
              <w:tab/>
            </w:r>
            <w:r w:rsidR="00A04D1A">
              <w:rPr>
                <w:rFonts w:ascii="Times New Roman" w:hAnsi="Times New Roman" w:cs="Times New Roman"/>
                <w:b/>
                <w:sz w:val="22"/>
              </w:rPr>
              <w:t>Figure</w:t>
            </w:r>
          </w:p>
        </w:tc>
        <w:tc>
          <w:tcPr>
            <w:tcW w:w="7245"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vAlign w:val="center"/>
          </w:tcPr>
          <w:p w14:paraId="33622A84" w14:textId="30EAFD06" w:rsidR="00965EDA" w:rsidRPr="003A1203" w:rsidRDefault="00A04D1A">
            <w:pPr>
              <w:spacing w:after="0" w:line="480" w:lineRule="auto"/>
              <w:ind w:left="0" w:firstLine="0"/>
              <w:jc w:val="center"/>
              <w:rPr>
                <w:rFonts w:ascii="Times New Roman" w:hAnsi="Times New Roman" w:cs="Times New Roman"/>
                <w:sz w:val="22"/>
              </w:rPr>
            </w:pPr>
            <w:r>
              <w:rPr>
                <w:rFonts w:ascii="Times New Roman" w:hAnsi="Times New Roman" w:cs="Times New Roman"/>
                <w:b/>
                <w:sz w:val="22"/>
              </w:rPr>
              <w:t>Figure</w:t>
            </w:r>
            <w:r w:rsidR="006860E7">
              <w:rPr>
                <w:rFonts w:ascii="Times New Roman" w:hAnsi="Times New Roman" w:cs="Times New Roman"/>
                <w:b/>
                <w:sz w:val="22"/>
              </w:rPr>
              <w:t xml:space="preserve"> Description</w:t>
            </w:r>
          </w:p>
        </w:tc>
      </w:tr>
      <w:tr w:rsidR="00965EDA" w:rsidRPr="003A1203" w14:paraId="6418FE95" w14:textId="77777777" w:rsidTr="00965EDA">
        <w:trPr>
          <w:trHeight w:val="634"/>
        </w:trPr>
        <w:tc>
          <w:tcPr>
            <w:tcW w:w="1979" w:type="dxa"/>
            <w:tcBorders>
              <w:top w:val="single" w:sz="4" w:space="0" w:color="000000"/>
              <w:left w:val="single" w:sz="4" w:space="0" w:color="000000"/>
              <w:bottom w:val="single" w:sz="4" w:space="0" w:color="000000"/>
              <w:right w:val="single" w:sz="4" w:space="0" w:color="000000"/>
            </w:tcBorders>
            <w:vAlign w:val="center"/>
          </w:tcPr>
          <w:p w14:paraId="73AAA3CE"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A</w:t>
            </w:r>
          </w:p>
        </w:tc>
        <w:tc>
          <w:tcPr>
            <w:tcW w:w="7245" w:type="dxa"/>
            <w:tcBorders>
              <w:top w:val="single" w:sz="4" w:space="0" w:color="000000"/>
              <w:left w:val="single" w:sz="4" w:space="0" w:color="000000"/>
              <w:bottom w:val="single" w:sz="4" w:space="0" w:color="000000"/>
              <w:right w:val="single" w:sz="4" w:space="0" w:color="000000"/>
            </w:tcBorders>
            <w:vAlign w:val="center"/>
          </w:tcPr>
          <w:p w14:paraId="745B0D45" w14:textId="77777777" w:rsidR="00965EDA" w:rsidRPr="003A1203" w:rsidRDefault="00965EDA" w:rsidP="00536234">
            <w:pPr>
              <w:spacing w:after="0" w:line="480" w:lineRule="auto"/>
              <w:ind w:left="0" w:firstLine="0"/>
              <w:jc w:val="center"/>
              <w:rPr>
                <w:rFonts w:ascii="Times New Roman" w:hAnsi="Times New Roman" w:cs="Times New Roman"/>
                <w:sz w:val="22"/>
              </w:rPr>
            </w:pPr>
            <w:r w:rsidRPr="00965EDA">
              <w:rPr>
                <w:rFonts w:ascii="Times New Roman" w:hAnsi="Times New Roman" w:cs="Times New Roman"/>
                <w:sz w:val="22"/>
              </w:rPr>
              <w:t>Skewness/Kurtosis Test for Normality</w:t>
            </w:r>
          </w:p>
        </w:tc>
      </w:tr>
      <w:tr w:rsidR="00965EDA" w:rsidRPr="003A1203" w14:paraId="682BEEFC" w14:textId="77777777" w:rsidTr="00965EDA">
        <w:trPr>
          <w:trHeight w:val="844"/>
        </w:trPr>
        <w:tc>
          <w:tcPr>
            <w:tcW w:w="1979" w:type="dxa"/>
            <w:tcBorders>
              <w:top w:val="single" w:sz="4" w:space="0" w:color="000000"/>
              <w:left w:val="single" w:sz="4" w:space="0" w:color="000000"/>
              <w:bottom w:val="single" w:sz="4" w:space="0" w:color="000000"/>
              <w:right w:val="single" w:sz="4" w:space="0" w:color="000000"/>
            </w:tcBorders>
            <w:vAlign w:val="center"/>
          </w:tcPr>
          <w:p w14:paraId="2DEB9756"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B</w:t>
            </w:r>
          </w:p>
        </w:tc>
        <w:tc>
          <w:tcPr>
            <w:tcW w:w="7245" w:type="dxa"/>
            <w:tcBorders>
              <w:top w:val="single" w:sz="4" w:space="0" w:color="000000"/>
              <w:left w:val="single" w:sz="4" w:space="0" w:color="000000"/>
              <w:bottom w:val="single" w:sz="4" w:space="0" w:color="000000"/>
              <w:right w:val="single" w:sz="4" w:space="0" w:color="000000"/>
            </w:tcBorders>
            <w:vAlign w:val="center"/>
          </w:tcPr>
          <w:p w14:paraId="421985B9" w14:textId="77777777" w:rsidR="00965EDA" w:rsidRPr="003A1203" w:rsidRDefault="00965EDA" w:rsidP="00536234">
            <w:pPr>
              <w:spacing w:after="0" w:line="480" w:lineRule="auto"/>
              <w:ind w:left="0" w:firstLine="0"/>
              <w:jc w:val="center"/>
              <w:rPr>
                <w:rFonts w:ascii="Times New Roman" w:hAnsi="Times New Roman" w:cs="Times New Roman"/>
                <w:sz w:val="22"/>
              </w:rPr>
            </w:pPr>
            <w:r w:rsidRPr="00965EDA">
              <w:rPr>
                <w:rFonts w:ascii="Times New Roman" w:hAnsi="Times New Roman" w:cs="Times New Roman"/>
                <w:sz w:val="22"/>
              </w:rPr>
              <w:t>Normality Plots for all Models</w:t>
            </w:r>
          </w:p>
        </w:tc>
      </w:tr>
      <w:tr w:rsidR="00965EDA" w:rsidRPr="003A1203" w14:paraId="109BCD84" w14:textId="77777777" w:rsidTr="00965EDA">
        <w:trPr>
          <w:trHeight w:val="659"/>
        </w:trPr>
        <w:tc>
          <w:tcPr>
            <w:tcW w:w="1979" w:type="dxa"/>
            <w:tcBorders>
              <w:top w:val="single" w:sz="4" w:space="0" w:color="000000"/>
              <w:left w:val="single" w:sz="4" w:space="0" w:color="000000"/>
              <w:bottom w:val="single" w:sz="4" w:space="0" w:color="000000"/>
              <w:right w:val="single" w:sz="4" w:space="0" w:color="000000"/>
            </w:tcBorders>
            <w:vAlign w:val="center"/>
          </w:tcPr>
          <w:p w14:paraId="787C1F26"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C</w:t>
            </w:r>
          </w:p>
        </w:tc>
        <w:tc>
          <w:tcPr>
            <w:tcW w:w="7245" w:type="dxa"/>
            <w:tcBorders>
              <w:top w:val="single" w:sz="4" w:space="0" w:color="000000"/>
              <w:left w:val="single" w:sz="4" w:space="0" w:color="000000"/>
              <w:bottom w:val="single" w:sz="4" w:space="0" w:color="000000"/>
              <w:right w:val="single" w:sz="4" w:space="0" w:color="000000"/>
            </w:tcBorders>
            <w:vAlign w:val="center"/>
          </w:tcPr>
          <w:p w14:paraId="4CC3DA55" w14:textId="77777777" w:rsidR="00965EDA" w:rsidRPr="003A1203" w:rsidRDefault="00965EDA" w:rsidP="00536234">
            <w:pPr>
              <w:spacing w:after="0" w:line="480" w:lineRule="auto"/>
              <w:ind w:left="0" w:firstLine="0"/>
              <w:jc w:val="center"/>
              <w:rPr>
                <w:rFonts w:ascii="Times New Roman" w:hAnsi="Times New Roman" w:cs="Times New Roman"/>
                <w:sz w:val="22"/>
              </w:rPr>
            </w:pPr>
            <w:r w:rsidRPr="00965EDA">
              <w:rPr>
                <w:rFonts w:ascii="Times New Roman" w:hAnsi="Times New Roman" w:cs="Times New Roman"/>
                <w:sz w:val="22"/>
              </w:rPr>
              <w:t>Variance Inflation Factor Test</w:t>
            </w:r>
            <w:r w:rsidR="00CA0B89">
              <w:rPr>
                <w:rFonts w:ascii="Times New Roman" w:hAnsi="Times New Roman" w:cs="Times New Roman"/>
                <w:sz w:val="22"/>
              </w:rPr>
              <w:t xml:space="preserve"> for Multicollinearity</w:t>
            </w:r>
          </w:p>
        </w:tc>
      </w:tr>
      <w:tr w:rsidR="00965EDA" w:rsidRPr="003A1203" w14:paraId="40C3F42C" w14:textId="77777777" w:rsidTr="00965EDA">
        <w:trPr>
          <w:trHeight w:val="697"/>
        </w:trPr>
        <w:tc>
          <w:tcPr>
            <w:tcW w:w="1979" w:type="dxa"/>
            <w:tcBorders>
              <w:top w:val="single" w:sz="4" w:space="0" w:color="000000"/>
              <w:left w:val="single" w:sz="4" w:space="0" w:color="000000"/>
              <w:bottom w:val="single" w:sz="4" w:space="0" w:color="000000"/>
              <w:right w:val="single" w:sz="4" w:space="0" w:color="000000"/>
            </w:tcBorders>
            <w:vAlign w:val="center"/>
          </w:tcPr>
          <w:p w14:paraId="4428043D"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D</w:t>
            </w:r>
          </w:p>
        </w:tc>
        <w:tc>
          <w:tcPr>
            <w:tcW w:w="7245" w:type="dxa"/>
            <w:tcBorders>
              <w:top w:val="single" w:sz="4" w:space="0" w:color="000000"/>
              <w:left w:val="single" w:sz="4" w:space="0" w:color="000000"/>
              <w:bottom w:val="single" w:sz="4" w:space="0" w:color="000000"/>
              <w:right w:val="single" w:sz="4" w:space="0" w:color="000000"/>
            </w:tcBorders>
            <w:vAlign w:val="center"/>
          </w:tcPr>
          <w:p w14:paraId="4E377658" w14:textId="77777777" w:rsidR="00965EDA" w:rsidRPr="003A1203" w:rsidRDefault="00CA0B89"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Correlation Matrix Test for Multicollinearity</w:t>
            </w:r>
          </w:p>
        </w:tc>
      </w:tr>
      <w:tr w:rsidR="00965EDA" w:rsidRPr="003A1203" w14:paraId="0AE72C1A" w14:textId="77777777" w:rsidTr="00965EDA">
        <w:trPr>
          <w:trHeight w:val="694"/>
        </w:trPr>
        <w:tc>
          <w:tcPr>
            <w:tcW w:w="1979" w:type="dxa"/>
            <w:tcBorders>
              <w:top w:val="single" w:sz="4" w:space="0" w:color="000000"/>
              <w:left w:val="single" w:sz="4" w:space="0" w:color="000000"/>
              <w:bottom w:val="single" w:sz="4" w:space="0" w:color="000000"/>
              <w:right w:val="single" w:sz="4" w:space="0" w:color="000000"/>
            </w:tcBorders>
            <w:vAlign w:val="center"/>
          </w:tcPr>
          <w:p w14:paraId="387B0C88"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E</w:t>
            </w:r>
          </w:p>
        </w:tc>
        <w:tc>
          <w:tcPr>
            <w:tcW w:w="7245" w:type="dxa"/>
            <w:tcBorders>
              <w:top w:val="single" w:sz="4" w:space="0" w:color="000000"/>
              <w:left w:val="single" w:sz="4" w:space="0" w:color="000000"/>
              <w:bottom w:val="single" w:sz="4" w:space="0" w:color="000000"/>
              <w:right w:val="single" w:sz="4" w:space="0" w:color="000000"/>
            </w:tcBorders>
            <w:vAlign w:val="center"/>
          </w:tcPr>
          <w:p w14:paraId="639CA15C" w14:textId="77777777" w:rsidR="00965EDA" w:rsidRPr="003A1203" w:rsidRDefault="00CA0B89" w:rsidP="00536234">
            <w:pPr>
              <w:spacing w:after="0" w:line="480" w:lineRule="auto"/>
              <w:ind w:left="0" w:firstLine="0"/>
              <w:jc w:val="center"/>
              <w:rPr>
                <w:rFonts w:ascii="Times New Roman" w:hAnsi="Times New Roman" w:cs="Times New Roman"/>
                <w:sz w:val="22"/>
              </w:rPr>
            </w:pPr>
            <w:r w:rsidRPr="00CA0B89">
              <w:rPr>
                <w:rFonts w:ascii="Times New Roman" w:hAnsi="Times New Roman" w:cs="Times New Roman"/>
                <w:sz w:val="22"/>
              </w:rPr>
              <w:t>Woolridge Test for Autocorrelation</w:t>
            </w:r>
          </w:p>
        </w:tc>
      </w:tr>
      <w:tr w:rsidR="00965EDA" w:rsidRPr="003A1203" w14:paraId="6237B4F2" w14:textId="77777777" w:rsidTr="00965EDA">
        <w:trPr>
          <w:trHeight w:val="703"/>
        </w:trPr>
        <w:tc>
          <w:tcPr>
            <w:tcW w:w="1979" w:type="dxa"/>
            <w:tcBorders>
              <w:top w:val="single" w:sz="4" w:space="0" w:color="000000"/>
              <w:left w:val="single" w:sz="4" w:space="0" w:color="000000"/>
              <w:bottom w:val="single" w:sz="4" w:space="0" w:color="000000"/>
              <w:right w:val="single" w:sz="4" w:space="0" w:color="000000"/>
            </w:tcBorders>
            <w:vAlign w:val="center"/>
          </w:tcPr>
          <w:p w14:paraId="6193A794"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F</w:t>
            </w:r>
          </w:p>
        </w:tc>
        <w:tc>
          <w:tcPr>
            <w:tcW w:w="7245" w:type="dxa"/>
            <w:tcBorders>
              <w:top w:val="single" w:sz="4" w:space="0" w:color="000000"/>
              <w:left w:val="single" w:sz="4" w:space="0" w:color="000000"/>
              <w:bottom w:val="single" w:sz="4" w:space="0" w:color="000000"/>
              <w:right w:val="single" w:sz="4" w:space="0" w:color="000000"/>
            </w:tcBorders>
            <w:vAlign w:val="center"/>
          </w:tcPr>
          <w:p w14:paraId="7890B333" w14:textId="77777777" w:rsidR="00965EDA" w:rsidRPr="003A1203" w:rsidRDefault="00CA0B89" w:rsidP="00536234">
            <w:pPr>
              <w:spacing w:after="0" w:line="480" w:lineRule="auto"/>
              <w:ind w:left="0" w:firstLine="0"/>
              <w:jc w:val="center"/>
              <w:rPr>
                <w:rFonts w:ascii="Times New Roman" w:hAnsi="Times New Roman" w:cs="Times New Roman"/>
                <w:sz w:val="22"/>
              </w:rPr>
            </w:pPr>
            <w:r w:rsidRPr="00CA0B89">
              <w:rPr>
                <w:rFonts w:ascii="Times New Roman" w:hAnsi="Times New Roman" w:cs="Times New Roman"/>
                <w:sz w:val="22"/>
              </w:rPr>
              <w:t>Durbin -Wu-Hausman Test</w:t>
            </w:r>
            <w:r>
              <w:rPr>
                <w:rFonts w:ascii="Times New Roman" w:hAnsi="Times New Roman" w:cs="Times New Roman"/>
                <w:sz w:val="22"/>
              </w:rPr>
              <w:t xml:space="preserve"> to Test between Pooled Regression and Fixed Effects</w:t>
            </w:r>
          </w:p>
        </w:tc>
      </w:tr>
      <w:tr w:rsidR="00965EDA" w:rsidRPr="003A1203" w14:paraId="00C60AFA" w14:textId="77777777" w:rsidTr="00965EDA">
        <w:trPr>
          <w:trHeight w:val="685"/>
        </w:trPr>
        <w:tc>
          <w:tcPr>
            <w:tcW w:w="1979" w:type="dxa"/>
            <w:tcBorders>
              <w:top w:val="single" w:sz="4" w:space="0" w:color="000000"/>
              <w:left w:val="single" w:sz="4" w:space="0" w:color="000000"/>
              <w:bottom w:val="single" w:sz="4" w:space="0" w:color="000000"/>
              <w:right w:val="single" w:sz="4" w:space="0" w:color="000000"/>
            </w:tcBorders>
            <w:vAlign w:val="center"/>
          </w:tcPr>
          <w:p w14:paraId="0E2586DA" w14:textId="77777777" w:rsidR="00965EDA" w:rsidRPr="003A1203" w:rsidRDefault="00965EDA"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G</w:t>
            </w:r>
          </w:p>
        </w:tc>
        <w:tc>
          <w:tcPr>
            <w:tcW w:w="7245" w:type="dxa"/>
            <w:tcBorders>
              <w:top w:val="single" w:sz="4" w:space="0" w:color="000000"/>
              <w:left w:val="single" w:sz="4" w:space="0" w:color="000000"/>
              <w:bottom w:val="single" w:sz="4" w:space="0" w:color="000000"/>
              <w:right w:val="single" w:sz="4" w:space="0" w:color="000000"/>
            </w:tcBorders>
            <w:vAlign w:val="center"/>
          </w:tcPr>
          <w:p w14:paraId="50B311FE" w14:textId="77777777" w:rsidR="00965EDA" w:rsidRPr="003A1203" w:rsidRDefault="00CA0B89" w:rsidP="00536234">
            <w:pPr>
              <w:spacing w:after="0" w:line="480" w:lineRule="auto"/>
              <w:ind w:left="0" w:firstLine="0"/>
              <w:jc w:val="center"/>
              <w:rPr>
                <w:rFonts w:ascii="Times New Roman" w:hAnsi="Times New Roman" w:cs="Times New Roman"/>
                <w:sz w:val="22"/>
              </w:rPr>
            </w:pPr>
            <w:r w:rsidRPr="00CA0B89">
              <w:rPr>
                <w:rFonts w:ascii="Times New Roman" w:hAnsi="Times New Roman" w:cs="Times New Roman"/>
                <w:sz w:val="22"/>
              </w:rPr>
              <w:t>Hausman Test to Test between Fixed Effects and Random Effects</w:t>
            </w:r>
          </w:p>
        </w:tc>
      </w:tr>
      <w:tr w:rsidR="00965EDA" w:rsidRPr="003A1203" w14:paraId="6EB6A1C8" w14:textId="77777777" w:rsidTr="00965EDA">
        <w:trPr>
          <w:trHeight w:val="692"/>
        </w:trPr>
        <w:tc>
          <w:tcPr>
            <w:tcW w:w="1979" w:type="dxa"/>
            <w:tcBorders>
              <w:top w:val="single" w:sz="4" w:space="0" w:color="000000"/>
              <w:left w:val="single" w:sz="4" w:space="0" w:color="000000"/>
              <w:bottom w:val="single" w:sz="4" w:space="0" w:color="000000"/>
              <w:right w:val="single" w:sz="4" w:space="0" w:color="000000"/>
            </w:tcBorders>
            <w:vAlign w:val="center"/>
          </w:tcPr>
          <w:p w14:paraId="489FDA28" w14:textId="41F99397" w:rsidR="00965EDA" w:rsidRPr="003A1203" w:rsidRDefault="00A53BD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H</w:t>
            </w:r>
          </w:p>
        </w:tc>
        <w:tc>
          <w:tcPr>
            <w:tcW w:w="7245" w:type="dxa"/>
            <w:tcBorders>
              <w:top w:val="single" w:sz="4" w:space="0" w:color="000000"/>
              <w:left w:val="single" w:sz="4" w:space="0" w:color="000000"/>
              <w:bottom w:val="single" w:sz="4" w:space="0" w:color="000000"/>
              <w:right w:val="single" w:sz="4" w:space="0" w:color="000000"/>
            </w:tcBorders>
            <w:vAlign w:val="center"/>
          </w:tcPr>
          <w:p w14:paraId="3781195C" w14:textId="77777777" w:rsidR="00965EDA" w:rsidRPr="003A1203" w:rsidRDefault="00CA0B89" w:rsidP="00536234">
            <w:pPr>
              <w:spacing w:after="0" w:line="480" w:lineRule="auto"/>
              <w:ind w:left="0" w:firstLine="0"/>
              <w:jc w:val="center"/>
              <w:rPr>
                <w:rFonts w:ascii="Times New Roman" w:hAnsi="Times New Roman" w:cs="Times New Roman"/>
                <w:sz w:val="22"/>
              </w:rPr>
            </w:pPr>
            <w:r w:rsidRPr="00CA0B89">
              <w:rPr>
                <w:rFonts w:ascii="Times New Roman" w:hAnsi="Times New Roman" w:cs="Times New Roman"/>
                <w:sz w:val="22"/>
              </w:rPr>
              <w:t>Modified Wald Test for Groupwise Heteroskedasticity</w:t>
            </w:r>
          </w:p>
        </w:tc>
      </w:tr>
      <w:tr w:rsidR="00965EDA" w:rsidRPr="003A1203" w14:paraId="6583EFE5" w14:textId="77777777" w:rsidTr="00965EDA">
        <w:trPr>
          <w:trHeight w:val="687"/>
        </w:trPr>
        <w:tc>
          <w:tcPr>
            <w:tcW w:w="1979" w:type="dxa"/>
            <w:tcBorders>
              <w:top w:val="single" w:sz="4" w:space="0" w:color="000000"/>
              <w:left w:val="single" w:sz="4" w:space="0" w:color="000000"/>
              <w:bottom w:val="single" w:sz="4" w:space="0" w:color="000000"/>
              <w:right w:val="single" w:sz="4" w:space="0" w:color="000000"/>
            </w:tcBorders>
            <w:vAlign w:val="center"/>
          </w:tcPr>
          <w:p w14:paraId="6F695ACF" w14:textId="1E9FDB7A" w:rsidR="00965EDA" w:rsidRPr="003A1203" w:rsidRDefault="00A53BD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I</w:t>
            </w:r>
          </w:p>
        </w:tc>
        <w:tc>
          <w:tcPr>
            <w:tcW w:w="7245" w:type="dxa"/>
            <w:tcBorders>
              <w:top w:val="single" w:sz="4" w:space="0" w:color="000000"/>
              <w:left w:val="single" w:sz="4" w:space="0" w:color="000000"/>
              <w:bottom w:val="single" w:sz="4" w:space="0" w:color="000000"/>
              <w:right w:val="single" w:sz="4" w:space="0" w:color="000000"/>
            </w:tcBorders>
            <w:vAlign w:val="center"/>
          </w:tcPr>
          <w:p w14:paraId="37CD996E" w14:textId="77777777" w:rsidR="00965EDA" w:rsidRPr="003A1203" w:rsidRDefault="00CA0B89" w:rsidP="00536234">
            <w:pPr>
              <w:spacing w:after="0" w:line="480" w:lineRule="auto"/>
              <w:ind w:left="0" w:firstLine="0"/>
              <w:jc w:val="center"/>
              <w:rPr>
                <w:rFonts w:ascii="Times New Roman" w:hAnsi="Times New Roman" w:cs="Times New Roman"/>
                <w:sz w:val="22"/>
              </w:rPr>
            </w:pPr>
            <w:r w:rsidRPr="00CA0B89">
              <w:rPr>
                <w:rFonts w:ascii="Times New Roman" w:hAnsi="Times New Roman" w:cs="Times New Roman"/>
                <w:sz w:val="22"/>
              </w:rPr>
              <w:t>Breusch-Pagan / Cook-Weisberg Test for Heteroskedasticity</w:t>
            </w:r>
          </w:p>
        </w:tc>
      </w:tr>
      <w:tr w:rsidR="00965EDA" w:rsidRPr="003A1203" w14:paraId="646D4764" w14:textId="77777777" w:rsidTr="00965EDA">
        <w:trPr>
          <w:trHeight w:val="697"/>
        </w:trPr>
        <w:tc>
          <w:tcPr>
            <w:tcW w:w="1979" w:type="dxa"/>
            <w:tcBorders>
              <w:top w:val="single" w:sz="4" w:space="0" w:color="000000"/>
              <w:left w:val="single" w:sz="4" w:space="0" w:color="000000"/>
              <w:bottom w:val="single" w:sz="4" w:space="0" w:color="000000"/>
              <w:right w:val="single" w:sz="4" w:space="0" w:color="000000"/>
            </w:tcBorders>
            <w:vAlign w:val="center"/>
          </w:tcPr>
          <w:p w14:paraId="1197035A" w14:textId="75B3A611" w:rsidR="00965EDA" w:rsidRPr="003A1203" w:rsidRDefault="00A53BD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J</w:t>
            </w:r>
          </w:p>
        </w:tc>
        <w:tc>
          <w:tcPr>
            <w:tcW w:w="7245" w:type="dxa"/>
            <w:tcBorders>
              <w:top w:val="single" w:sz="4" w:space="0" w:color="000000"/>
              <w:left w:val="single" w:sz="4" w:space="0" w:color="000000"/>
              <w:bottom w:val="single" w:sz="4" w:space="0" w:color="000000"/>
              <w:right w:val="single" w:sz="4" w:space="0" w:color="000000"/>
            </w:tcBorders>
            <w:vAlign w:val="center"/>
          </w:tcPr>
          <w:p w14:paraId="69686165" w14:textId="77777777" w:rsidR="00965EDA" w:rsidRPr="003A1203" w:rsidRDefault="00702A65" w:rsidP="00536234">
            <w:pPr>
              <w:spacing w:after="0" w:line="480" w:lineRule="auto"/>
              <w:ind w:left="0" w:firstLine="0"/>
              <w:jc w:val="center"/>
              <w:rPr>
                <w:rFonts w:ascii="Times New Roman" w:hAnsi="Times New Roman" w:cs="Times New Roman"/>
                <w:sz w:val="22"/>
              </w:rPr>
            </w:pPr>
            <w:r w:rsidRPr="00702A65">
              <w:rPr>
                <w:rFonts w:ascii="Times New Roman" w:hAnsi="Times New Roman" w:cs="Times New Roman"/>
                <w:sz w:val="22"/>
              </w:rPr>
              <w:t>Table Comparing Models Prepared on a Balanced Panel to the Same Models Prepared on an Unbalanced Panel</w:t>
            </w:r>
          </w:p>
        </w:tc>
      </w:tr>
      <w:tr w:rsidR="00965EDA" w:rsidRPr="003A1203" w14:paraId="4E7F90C5" w14:textId="77777777" w:rsidTr="00965EDA">
        <w:trPr>
          <w:trHeight w:val="697"/>
        </w:trPr>
        <w:tc>
          <w:tcPr>
            <w:tcW w:w="1979" w:type="dxa"/>
            <w:tcBorders>
              <w:top w:val="single" w:sz="4" w:space="0" w:color="000000"/>
              <w:left w:val="single" w:sz="4" w:space="0" w:color="000000"/>
              <w:bottom w:val="single" w:sz="4" w:space="0" w:color="000000"/>
              <w:right w:val="single" w:sz="4" w:space="0" w:color="000000"/>
            </w:tcBorders>
            <w:vAlign w:val="center"/>
          </w:tcPr>
          <w:p w14:paraId="4F58B027" w14:textId="07F6D6B6" w:rsidR="00965EDA" w:rsidRDefault="00A53BD2" w:rsidP="00536234">
            <w:pPr>
              <w:spacing w:after="0" w:line="480" w:lineRule="auto"/>
              <w:ind w:left="0" w:firstLine="0"/>
              <w:jc w:val="center"/>
              <w:rPr>
                <w:rFonts w:ascii="Times New Roman" w:hAnsi="Times New Roman" w:cs="Times New Roman"/>
                <w:sz w:val="22"/>
              </w:rPr>
            </w:pPr>
            <w:r>
              <w:rPr>
                <w:rFonts w:ascii="Times New Roman" w:hAnsi="Times New Roman" w:cs="Times New Roman"/>
                <w:sz w:val="22"/>
              </w:rPr>
              <w:t>K</w:t>
            </w:r>
          </w:p>
        </w:tc>
        <w:tc>
          <w:tcPr>
            <w:tcW w:w="7245" w:type="dxa"/>
            <w:tcBorders>
              <w:top w:val="single" w:sz="4" w:space="0" w:color="000000"/>
              <w:left w:val="single" w:sz="4" w:space="0" w:color="000000"/>
              <w:bottom w:val="single" w:sz="4" w:space="0" w:color="000000"/>
              <w:right w:val="single" w:sz="4" w:space="0" w:color="000000"/>
            </w:tcBorders>
            <w:vAlign w:val="center"/>
          </w:tcPr>
          <w:p w14:paraId="186AA66E" w14:textId="77777777" w:rsidR="00965EDA" w:rsidRDefault="00702A65" w:rsidP="00536234">
            <w:pPr>
              <w:spacing w:after="0" w:line="480" w:lineRule="auto"/>
              <w:ind w:left="0" w:firstLine="0"/>
              <w:jc w:val="center"/>
              <w:rPr>
                <w:rFonts w:ascii="Times New Roman" w:hAnsi="Times New Roman" w:cs="Times New Roman"/>
                <w:sz w:val="22"/>
              </w:rPr>
            </w:pPr>
            <w:r w:rsidRPr="00702A65">
              <w:rPr>
                <w:rFonts w:ascii="Times New Roman" w:hAnsi="Times New Roman" w:cs="Times New Roman"/>
                <w:sz w:val="22"/>
              </w:rPr>
              <w:t>Table Showing Fixed Effects Weighted Least Squares Model Prepared using  a Shorter Time Period</w:t>
            </w:r>
          </w:p>
        </w:tc>
      </w:tr>
    </w:tbl>
    <w:p w14:paraId="0EE1A1FF" w14:textId="77777777" w:rsidR="00A71948" w:rsidRDefault="00A71948" w:rsidP="00536234">
      <w:pPr>
        <w:spacing w:line="480" w:lineRule="auto"/>
        <w:ind w:left="0"/>
        <w:rPr>
          <w:rFonts w:ascii="Times New Roman" w:hAnsi="Times New Roman" w:cs="Times New Roman"/>
          <w:b/>
          <w:sz w:val="22"/>
          <w:szCs w:val="26"/>
          <w:u w:val="single"/>
        </w:rPr>
      </w:pPr>
    </w:p>
    <w:p w14:paraId="0110719B" w14:textId="77777777" w:rsidR="00702A65" w:rsidRDefault="00702A65" w:rsidP="00536234">
      <w:pPr>
        <w:spacing w:line="480" w:lineRule="auto"/>
        <w:ind w:left="0"/>
        <w:rPr>
          <w:rFonts w:ascii="Times New Roman" w:hAnsi="Times New Roman" w:cs="Times New Roman"/>
          <w:b/>
          <w:sz w:val="22"/>
          <w:szCs w:val="26"/>
          <w:u w:val="single"/>
        </w:rPr>
      </w:pPr>
    </w:p>
    <w:p w14:paraId="6EE30319" w14:textId="77777777" w:rsidR="00143FE6" w:rsidRDefault="00143FE6">
      <w:pPr>
        <w:spacing w:after="160" w:line="259" w:lineRule="auto"/>
        <w:ind w:left="0" w:firstLine="0"/>
        <w:jc w:val="left"/>
        <w:rPr>
          <w:rFonts w:ascii="Times New Roman" w:hAnsi="Times New Roman" w:cs="Times New Roman"/>
          <w:b/>
          <w:sz w:val="22"/>
          <w:szCs w:val="26"/>
          <w:u w:val="single"/>
        </w:rPr>
      </w:pPr>
      <w:r>
        <w:rPr>
          <w:rFonts w:ascii="Times New Roman" w:hAnsi="Times New Roman" w:cs="Times New Roman"/>
          <w:b/>
          <w:sz w:val="22"/>
          <w:szCs w:val="26"/>
          <w:u w:val="single"/>
        </w:rPr>
        <w:br w:type="page"/>
      </w:r>
    </w:p>
    <w:p w14:paraId="15FAD457" w14:textId="77777777" w:rsidR="00A71948" w:rsidRDefault="00A71948" w:rsidP="00536234">
      <w:pPr>
        <w:spacing w:line="480" w:lineRule="auto"/>
        <w:ind w:left="0"/>
        <w:rPr>
          <w:rFonts w:ascii="Times New Roman" w:hAnsi="Times New Roman" w:cs="Times New Roman"/>
          <w:b/>
          <w:sz w:val="22"/>
          <w:szCs w:val="26"/>
          <w:u w:val="single"/>
        </w:rPr>
      </w:pPr>
    </w:p>
    <w:p w14:paraId="52B0CF2B" w14:textId="2397B366" w:rsidR="00965EDA" w:rsidRPr="00965EDA" w:rsidRDefault="00A04D1A"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t>Figure</w:t>
      </w:r>
      <w:r w:rsidR="00965EDA" w:rsidRPr="00965EDA">
        <w:rPr>
          <w:rFonts w:ascii="Times New Roman" w:hAnsi="Times New Roman" w:cs="Times New Roman"/>
          <w:b/>
          <w:sz w:val="22"/>
          <w:szCs w:val="26"/>
          <w:u w:val="single"/>
        </w:rPr>
        <w:t xml:space="preserve"> A:</w:t>
      </w:r>
      <w:r w:rsidR="00965EDA" w:rsidRPr="00965EDA">
        <w:rPr>
          <w:rFonts w:ascii="Times New Roman" w:eastAsia="Times New Roman" w:hAnsi="Times New Roman" w:cs="Times New Roman"/>
          <w:b/>
          <w:sz w:val="22"/>
          <w:u w:val="single"/>
        </w:rPr>
        <w:t xml:space="preserve"> Skewness/Kurtosis Test for Normality</w:t>
      </w:r>
    </w:p>
    <w:tbl>
      <w:tblPr>
        <w:tblW w:w="8819" w:type="dxa"/>
        <w:jc w:val="center"/>
        <w:tblLook w:val="04A0" w:firstRow="1" w:lastRow="0" w:firstColumn="1" w:lastColumn="0" w:noHBand="0" w:noVBand="1"/>
      </w:tblPr>
      <w:tblGrid>
        <w:gridCol w:w="1206"/>
        <w:gridCol w:w="1719"/>
        <w:gridCol w:w="1729"/>
        <w:gridCol w:w="1552"/>
        <w:gridCol w:w="1236"/>
        <w:gridCol w:w="1377"/>
      </w:tblGrid>
      <w:tr w:rsidR="00D12743" w:rsidRPr="00CA0B89" w14:paraId="16D34F22" w14:textId="77777777" w:rsidTr="00965EDA">
        <w:trPr>
          <w:trHeight w:val="311"/>
          <w:jc w:val="center"/>
        </w:trPr>
        <w:tc>
          <w:tcPr>
            <w:tcW w:w="6206" w:type="dxa"/>
            <w:gridSpan w:val="4"/>
            <w:tcBorders>
              <w:top w:val="single" w:sz="8" w:space="0" w:color="auto"/>
              <w:left w:val="single" w:sz="8" w:space="0" w:color="auto"/>
              <w:bottom w:val="nil"/>
              <w:right w:val="single" w:sz="4" w:space="0" w:color="auto"/>
            </w:tcBorders>
            <w:shd w:val="clear" w:color="auto" w:fill="auto"/>
            <w:noWrap/>
            <w:vAlign w:val="bottom"/>
            <w:hideMark/>
          </w:tcPr>
          <w:p w14:paraId="64087BF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 </w:t>
            </w:r>
          </w:p>
        </w:tc>
        <w:tc>
          <w:tcPr>
            <w:tcW w:w="261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896ACF"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Joint</w:t>
            </w:r>
          </w:p>
        </w:tc>
      </w:tr>
      <w:tr w:rsidR="00D12743" w:rsidRPr="00CA0B89" w14:paraId="02E318D0" w14:textId="77777777" w:rsidTr="00965EDA">
        <w:trPr>
          <w:trHeight w:val="311"/>
          <w:jc w:val="center"/>
        </w:trPr>
        <w:tc>
          <w:tcPr>
            <w:tcW w:w="12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38F8D37"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Variable</w:t>
            </w:r>
          </w:p>
        </w:tc>
        <w:tc>
          <w:tcPr>
            <w:tcW w:w="1719" w:type="dxa"/>
            <w:tcBorders>
              <w:top w:val="single" w:sz="8" w:space="0" w:color="auto"/>
              <w:left w:val="nil"/>
              <w:bottom w:val="single" w:sz="8" w:space="0" w:color="auto"/>
              <w:right w:val="single" w:sz="8" w:space="0" w:color="auto"/>
            </w:tcBorders>
            <w:shd w:val="clear" w:color="auto" w:fill="auto"/>
            <w:noWrap/>
            <w:vAlign w:val="bottom"/>
            <w:hideMark/>
          </w:tcPr>
          <w:p w14:paraId="752943DB"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Observations</w:t>
            </w:r>
          </w:p>
        </w:tc>
        <w:tc>
          <w:tcPr>
            <w:tcW w:w="1729" w:type="dxa"/>
            <w:tcBorders>
              <w:top w:val="single" w:sz="8" w:space="0" w:color="auto"/>
              <w:left w:val="nil"/>
              <w:bottom w:val="single" w:sz="8" w:space="0" w:color="auto"/>
              <w:right w:val="single" w:sz="8" w:space="0" w:color="auto"/>
            </w:tcBorders>
            <w:shd w:val="clear" w:color="auto" w:fill="auto"/>
            <w:noWrap/>
            <w:vAlign w:val="bottom"/>
            <w:hideMark/>
          </w:tcPr>
          <w:p w14:paraId="4B1D1055"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Pr(Skewness)</w:t>
            </w:r>
          </w:p>
        </w:tc>
        <w:tc>
          <w:tcPr>
            <w:tcW w:w="1552" w:type="dxa"/>
            <w:tcBorders>
              <w:top w:val="single" w:sz="8" w:space="0" w:color="auto"/>
              <w:left w:val="nil"/>
              <w:bottom w:val="single" w:sz="8" w:space="0" w:color="auto"/>
              <w:right w:val="single" w:sz="8" w:space="0" w:color="auto"/>
            </w:tcBorders>
            <w:shd w:val="clear" w:color="auto" w:fill="auto"/>
            <w:noWrap/>
            <w:vAlign w:val="bottom"/>
            <w:hideMark/>
          </w:tcPr>
          <w:p w14:paraId="35087CBF"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Pr(Kurtosis)</w:t>
            </w:r>
          </w:p>
        </w:tc>
        <w:tc>
          <w:tcPr>
            <w:tcW w:w="1236" w:type="dxa"/>
            <w:tcBorders>
              <w:top w:val="single" w:sz="4" w:space="0" w:color="auto"/>
              <w:left w:val="nil"/>
              <w:bottom w:val="single" w:sz="8" w:space="0" w:color="auto"/>
              <w:right w:val="single" w:sz="8" w:space="0" w:color="auto"/>
            </w:tcBorders>
            <w:shd w:val="clear" w:color="auto" w:fill="auto"/>
            <w:noWrap/>
            <w:vAlign w:val="bottom"/>
            <w:hideMark/>
          </w:tcPr>
          <w:p w14:paraId="21A68C7F"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adj chi2(2)</w:t>
            </w:r>
          </w:p>
        </w:tc>
        <w:tc>
          <w:tcPr>
            <w:tcW w:w="1377" w:type="dxa"/>
            <w:tcBorders>
              <w:top w:val="single" w:sz="4" w:space="0" w:color="auto"/>
              <w:left w:val="nil"/>
              <w:bottom w:val="single" w:sz="8" w:space="0" w:color="auto"/>
              <w:right w:val="single" w:sz="8" w:space="0" w:color="auto"/>
            </w:tcBorders>
            <w:shd w:val="clear" w:color="auto" w:fill="auto"/>
            <w:noWrap/>
            <w:vAlign w:val="bottom"/>
            <w:hideMark/>
          </w:tcPr>
          <w:p w14:paraId="0D68A733" w14:textId="77777777" w:rsidR="00D12743" w:rsidRPr="00CA0B89" w:rsidRDefault="00D12743" w:rsidP="00536234">
            <w:pPr>
              <w:spacing w:after="0" w:line="240" w:lineRule="auto"/>
              <w:ind w:left="0" w:firstLine="0"/>
              <w:jc w:val="center"/>
              <w:rPr>
                <w:rFonts w:ascii="Times New Roman" w:eastAsia="Times New Roman" w:hAnsi="Times New Roman" w:cs="Times New Roman"/>
                <w:b/>
                <w:sz w:val="20"/>
                <w:szCs w:val="20"/>
              </w:rPr>
            </w:pPr>
            <w:r w:rsidRPr="00CA0B89">
              <w:rPr>
                <w:rFonts w:ascii="Times New Roman" w:eastAsia="Times New Roman" w:hAnsi="Times New Roman" w:cs="Times New Roman"/>
                <w:b/>
                <w:sz w:val="20"/>
                <w:szCs w:val="20"/>
              </w:rPr>
              <w:t>Prob&gt;chi2</w:t>
            </w:r>
          </w:p>
        </w:tc>
      </w:tr>
      <w:tr w:rsidR="00D12743" w:rsidRPr="00CA0B89" w14:paraId="13B09265"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5D3B896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DPR</w:t>
            </w:r>
          </w:p>
        </w:tc>
        <w:tc>
          <w:tcPr>
            <w:tcW w:w="1719" w:type="dxa"/>
            <w:tcBorders>
              <w:top w:val="nil"/>
              <w:left w:val="nil"/>
              <w:bottom w:val="single" w:sz="4" w:space="0" w:color="auto"/>
              <w:right w:val="single" w:sz="4" w:space="0" w:color="auto"/>
            </w:tcBorders>
            <w:shd w:val="clear" w:color="auto" w:fill="auto"/>
            <w:noWrap/>
            <w:vAlign w:val="bottom"/>
            <w:hideMark/>
          </w:tcPr>
          <w:p w14:paraId="501303D8"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048754A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56C67230"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0.5864</w:t>
            </w:r>
          </w:p>
        </w:tc>
        <w:tc>
          <w:tcPr>
            <w:tcW w:w="1236" w:type="dxa"/>
            <w:tcBorders>
              <w:top w:val="nil"/>
              <w:left w:val="nil"/>
              <w:bottom w:val="single" w:sz="4" w:space="0" w:color="auto"/>
              <w:right w:val="single" w:sz="4" w:space="0" w:color="auto"/>
            </w:tcBorders>
            <w:shd w:val="clear" w:color="auto" w:fill="auto"/>
            <w:noWrap/>
            <w:vAlign w:val="bottom"/>
            <w:hideMark/>
          </w:tcPr>
          <w:p w14:paraId="16178324"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28.3600</w:t>
            </w:r>
          </w:p>
        </w:tc>
        <w:tc>
          <w:tcPr>
            <w:tcW w:w="1377" w:type="dxa"/>
            <w:tcBorders>
              <w:top w:val="nil"/>
              <w:left w:val="nil"/>
              <w:bottom w:val="single" w:sz="4" w:space="0" w:color="auto"/>
              <w:right w:val="single" w:sz="8" w:space="0" w:color="auto"/>
            </w:tcBorders>
            <w:shd w:val="clear" w:color="auto" w:fill="auto"/>
            <w:noWrap/>
            <w:vAlign w:val="bottom"/>
            <w:hideMark/>
          </w:tcPr>
          <w:p w14:paraId="1F0EBE8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1D58844C"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77ECF37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Deal</w:t>
            </w:r>
          </w:p>
        </w:tc>
        <w:tc>
          <w:tcPr>
            <w:tcW w:w="1719" w:type="dxa"/>
            <w:tcBorders>
              <w:top w:val="nil"/>
              <w:left w:val="nil"/>
              <w:bottom w:val="single" w:sz="4" w:space="0" w:color="auto"/>
              <w:right w:val="single" w:sz="4" w:space="0" w:color="auto"/>
            </w:tcBorders>
            <w:shd w:val="clear" w:color="auto" w:fill="auto"/>
            <w:noWrap/>
            <w:vAlign w:val="bottom"/>
            <w:hideMark/>
          </w:tcPr>
          <w:p w14:paraId="584641ED"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1A5C056E"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574908C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0.4053</w:t>
            </w:r>
          </w:p>
        </w:tc>
        <w:tc>
          <w:tcPr>
            <w:tcW w:w="1236" w:type="dxa"/>
            <w:tcBorders>
              <w:top w:val="nil"/>
              <w:left w:val="nil"/>
              <w:bottom w:val="single" w:sz="4" w:space="0" w:color="auto"/>
              <w:right w:val="single" w:sz="4" w:space="0" w:color="auto"/>
            </w:tcBorders>
            <w:shd w:val="clear" w:color="auto" w:fill="auto"/>
            <w:noWrap/>
            <w:vAlign w:val="bottom"/>
            <w:hideMark/>
          </w:tcPr>
          <w:p w14:paraId="27E1AC0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17907EAD"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46C26075"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67D81C1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Profit</w:t>
            </w:r>
          </w:p>
        </w:tc>
        <w:tc>
          <w:tcPr>
            <w:tcW w:w="1719" w:type="dxa"/>
            <w:tcBorders>
              <w:top w:val="nil"/>
              <w:left w:val="nil"/>
              <w:bottom w:val="single" w:sz="4" w:space="0" w:color="auto"/>
              <w:right w:val="single" w:sz="4" w:space="0" w:color="auto"/>
            </w:tcBorders>
            <w:shd w:val="clear" w:color="auto" w:fill="auto"/>
            <w:noWrap/>
            <w:vAlign w:val="bottom"/>
            <w:hideMark/>
          </w:tcPr>
          <w:p w14:paraId="68BA9F4E"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5A7E6454"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0.0001</w:t>
            </w:r>
          </w:p>
        </w:tc>
        <w:tc>
          <w:tcPr>
            <w:tcW w:w="1552" w:type="dxa"/>
            <w:tcBorders>
              <w:top w:val="nil"/>
              <w:left w:val="nil"/>
              <w:bottom w:val="single" w:sz="4" w:space="0" w:color="auto"/>
              <w:right w:val="single" w:sz="4" w:space="0" w:color="auto"/>
            </w:tcBorders>
            <w:shd w:val="clear" w:color="auto" w:fill="auto"/>
            <w:noWrap/>
            <w:vAlign w:val="bottom"/>
            <w:hideMark/>
          </w:tcPr>
          <w:p w14:paraId="3DDBC10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0.0004</w:t>
            </w:r>
          </w:p>
        </w:tc>
        <w:tc>
          <w:tcPr>
            <w:tcW w:w="1236" w:type="dxa"/>
            <w:tcBorders>
              <w:top w:val="nil"/>
              <w:left w:val="nil"/>
              <w:bottom w:val="single" w:sz="4" w:space="0" w:color="auto"/>
              <w:right w:val="single" w:sz="4" w:space="0" w:color="auto"/>
            </w:tcBorders>
            <w:shd w:val="clear" w:color="auto" w:fill="auto"/>
            <w:noWrap/>
            <w:vAlign w:val="bottom"/>
            <w:hideMark/>
          </w:tcPr>
          <w:p w14:paraId="328A2E6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23.0000</w:t>
            </w:r>
          </w:p>
        </w:tc>
        <w:tc>
          <w:tcPr>
            <w:tcW w:w="1377" w:type="dxa"/>
            <w:tcBorders>
              <w:top w:val="nil"/>
              <w:left w:val="nil"/>
              <w:bottom w:val="single" w:sz="4" w:space="0" w:color="auto"/>
              <w:right w:val="single" w:sz="8" w:space="0" w:color="auto"/>
            </w:tcBorders>
            <w:shd w:val="clear" w:color="auto" w:fill="auto"/>
            <w:noWrap/>
            <w:vAlign w:val="bottom"/>
            <w:hideMark/>
          </w:tcPr>
          <w:p w14:paraId="7A23B42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3D5DE8E4"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29FB35C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CS</w:t>
            </w:r>
          </w:p>
        </w:tc>
        <w:tc>
          <w:tcPr>
            <w:tcW w:w="1719" w:type="dxa"/>
            <w:tcBorders>
              <w:top w:val="nil"/>
              <w:left w:val="nil"/>
              <w:bottom w:val="single" w:sz="4" w:space="0" w:color="auto"/>
              <w:right w:val="single" w:sz="4" w:space="0" w:color="auto"/>
            </w:tcBorders>
            <w:shd w:val="clear" w:color="auto" w:fill="auto"/>
            <w:noWrap/>
            <w:vAlign w:val="bottom"/>
            <w:hideMark/>
          </w:tcPr>
          <w:p w14:paraId="254A115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25891E5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185DA54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5B998A8D"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2C65183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052132A2"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56BC4B8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Growth</w:t>
            </w:r>
          </w:p>
        </w:tc>
        <w:tc>
          <w:tcPr>
            <w:tcW w:w="1719" w:type="dxa"/>
            <w:tcBorders>
              <w:top w:val="nil"/>
              <w:left w:val="nil"/>
              <w:bottom w:val="single" w:sz="4" w:space="0" w:color="auto"/>
              <w:right w:val="single" w:sz="4" w:space="0" w:color="auto"/>
            </w:tcBorders>
            <w:shd w:val="clear" w:color="auto" w:fill="auto"/>
            <w:noWrap/>
            <w:vAlign w:val="bottom"/>
            <w:hideMark/>
          </w:tcPr>
          <w:p w14:paraId="10AAEFB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08BBC9C8"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27389FE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425B14C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3B3897B8"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05154060"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65A01A9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Liquidity</w:t>
            </w:r>
          </w:p>
        </w:tc>
        <w:tc>
          <w:tcPr>
            <w:tcW w:w="1719" w:type="dxa"/>
            <w:tcBorders>
              <w:top w:val="nil"/>
              <w:left w:val="nil"/>
              <w:bottom w:val="single" w:sz="4" w:space="0" w:color="auto"/>
              <w:right w:val="single" w:sz="4" w:space="0" w:color="auto"/>
            </w:tcBorders>
            <w:shd w:val="clear" w:color="auto" w:fill="auto"/>
            <w:noWrap/>
            <w:vAlign w:val="bottom"/>
            <w:hideMark/>
          </w:tcPr>
          <w:p w14:paraId="4A28CD00"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1A4D510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232AD6E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3D82654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4E754CE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4358B1D0"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1B53444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Size</w:t>
            </w:r>
          </w:p>
        </w:tc>
        <w:tc>
          <w:tcPr>
            <w:tcW w:w="1719" w:type="dxa"/>
            <w:tcBorders>
              <w:top w:val="nil"/>
              <w:left w:val="nil"/>
              <w:bottom w:val="single" w:sz="4" w:space="0" w:color="auto"/>
              <w:right w:val="single" w:sz="4" w:space="0" w:color="auto"/>
            </w:tcBorders>
            <w:shd w:val="clear" w:color="auto" w:fill="auto"/>
            <w:noWrap/>
            <w:vAlign w:val="bottom"/>
            <w:hideMark/>
          </w:tcPr>
          <w:p w14:paraId="646FCB88"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2FE01BE4"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439ABA7E"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0.1099</w:t>
            </w:r>
          </w:p>
        </w:tc>
        <w:tc>
          <w:tcPr>
            <w:tcW w:w="1236" w:type="dxa"/>
            <w:tcBorders>
              <w:top w:val="nil"/>
              <w:left w:val="nil"/>
              <w:bottom w:val="single" w:sz="4" w:space="0" w:color="auto"/>
              <w:right w:val="single" w:sz="4" w:space="0" w:color="auto"/>
            </w:tcBorders>
            <w:shd w:val="clear" w:color="auto" w:fill="auto"/>
            <w:noWrap/>
            <w:vAlign w:val="bottom"/>
            <w:hideMark/>
          </w:tcPr>
          <w:p w14:paraId="21F14440"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26.0200</w:t>
            </w:r>
          </w:p>
        </w:tc>
        <w:tc>
          <w:tcPr>
            <w:tcW w:w="1377" w:type="dxa"/>
            <w:tcBorders>
              <w:top w:val="nil"/>
              <w:left w:val="nil"/>
              <w:bottom w:val="single" w:sz="4" w:space="0" w:color="auto"/>
              <w:right w:val="single" w:sz="8" w:space="0" w:color="auto"/>
            </w:tcBorders>
            <w:shd w:val="clear" w:color="auto" w:fill="auto"/>
            <w:noWrap/>
            <w:vAlign w:val="bottom"/>
            <w:hideMark/>
          </w:tcPr>
          <w:p w14:paraId="3FD401E0"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05329AEA"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3CAA3E5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Sector1</w:t>
            </w:r>
          </w:p>
        </w:tc>
        <w:tc>
          <w:tcPr>
            <w:tcW w:w="1719" w:type="dxa"/>
            <w:tcBorders>
              <w:top w:val="nil"/>
              <w:left w:val="nil"/>
              <w:bottom w:val="single" w:sz="4" w:space="0" w:color="auto"/>
              <w:right w:val="single" w:sz="4" w:space="0" w:color="auto"/>
            </w:tcBorders>
            <w:shd w:val="clear" w:color="auto" w:fill="auto"/>
            <w:noWrap/>
            <w:vAlign w:val="bottom"/>
            <w:hideMark/>
          </w:tcPr>
          <w:p w14:paraId="6A25ADB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4287700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60E2594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66878EE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7981D76E"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4F82BEED"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016DB18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Sector2</w:t>
            </w:r>
          </w:p>
        </w:tc>
        <w:tc>
          <w:tcPr>
            <w:tcW w:w="1719" w:type="dxa"/>
            <w:tcBorders>
              <w:top w:val="nil"/>
              <w:left w:val="nil"/>
              <w:bottom w:val="single" w:sz="4" w:space="0" w:color="auto"/>
              <w:right w:val="single" w:sz="4" w:space="0" w:color="auto"/>
            </w:tcBorders>
            <w:shd w:val="clear" w:color="auto" w:fill="auto"/>
            <w:noWrap/>
            <w:vAlign w:val="bottom"/>
            <w:hideMark/>
          </w:tcPr>
          <w:p w14:paraId="6840CD4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190F1374"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726A0A1A"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0.0024</w:t>
            </w:r>
          </w:p>
        </w:tc>
        <w:tc>
          <w:tcPr>
            <w:tcW w:w="1236" w:type="dxa"/>
            <w:tcBorders>
              <w:top w:val="nil"/>
              <w:left w:val="nil"/>
              <w:bottom w:val="single" w:sz="4" w:space="0" w:color="auto"/>
              <w:right w:val="single" w:sz="4" w:space="0" w:color="auto"/>
            </w:tcBorders>
            <w:shd w:val="clear" w:color="auto" w:fill="auto"/>
            <w:noWrap/>
            <w:vAlign w:val="bottom"/>
            <w:hideMark/>
          </w:tcPr>
          <w:p w14:paraId="691273CA"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03F0FF6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158A4258"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65E35FE3"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Sector3</w:t>
            </w:r>
          </w:p>
        </w:tc>
        <w:tc>
          <w:tcPr>
            <w:tcW w:w="1719" w:type="dxa"/>
            <w:tcBorders>
              <w:top w:val="nil"/>
              <w:left w:val="nil"/>
              <w:bottom w:val="single" w:sz="4" w:space="0" w:color="auto"/>
              <w:right w:val="single" w:sz="4" w:space="0" w:color="auto"/>
            </w:tcBorders>
            <w:shd w:val="clear" w:color="auto" w:fill="auto"/>
            <w:noWrap/>
            <w:vAlign w:val="bottom"/>
            <w:hideMark/>
          </w:tcPr>
          <w:p w14:paraId="5EE286D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335BDE3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6668C45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5C4107B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45D19D3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758B92DF"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741FF63E"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Sector4</w:t>
            </w:r>
          </w:p>
        </w:tc>
        <w:tc>
          <w:tcPr>
            <w:tcW w:w="1719" w:type="dxa"/>
            <w:tcBorders>
              <w:top w:val="nil"/>
              <w:left w:val="nil"/>
              <w:bottom w:val="single" w:sz="4" w:space="0" w:color="auto"/>
              <w:right w:val="single" w:sz="4" w:space="0" w:color="auto"/>
            </w:tcBorders>
            <w:shd w:val="clear" w:color="auto" w:fill="auto"/>
            <w:noWrap/>
            <w:vAlign w:val="bottom"/>
            <w:hideMark/>
          </w:tcPr>
          <w:p w14:paraId="0936A548"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106F7F4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207231D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57EDD7C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5A7C81C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1CF304F6"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068E5E3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Sector5</w:t>
            </w:r>
          </w:p>
        </w:tc>
        <w:tc>
          <w:tcPr>
            <w:tcW w:w="1719" w:type="dxa"/>
            <w:tcBorders>
              <w:top w:val="nil"/>
              <w:left w:val="nil"/>
              <w:bottom w:val="single" w:sz="4" w:space="0" w:color="auto"/>
              <w:right w:val="single" w:sz="4" w:space="0" w:color="auto"/>
            </w:tcBorders>
            <w:shd w:val="clear" w:color="auto" w:fill="auto"/>
            <w:noWrap/>
            <w:vAlign w:val="bottom"/>
            <w:hideMark/>
          </w:tcPr>
          <w:p w14:paraId="1EC1185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70D0339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7E594F6C"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4" w:space="0" w:color="auto"/>
              <w:right w:val="single" w:sz="4" w:space="0" w:color="auto"/>
            </w:tcBorders>
            <w:shd w:val="clear" w:color="auto" w:fill="auto"/>
            <w:noWrap/>
            <w:vAlign w:val="bottom"/>
            <w:hideMark/>
          </w:tcPr>
          <w:p w14:paraId="4348DB6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5D15809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2D34D083" w14:textId="77777777" w:rsidTr="00965EDA">
        <w:trPr>
          <w:trHeight w:val="299"/>
          <w:jc w:val="center"/>
        </w:trPr>
        <w:tc>
          <w:tcPr>
            <w:tcW w:w="1206" w:type="dxa"/>
            <w:tcBorders>
              <w:top w:val="nil"/>
              <w:left w:val="single" w:sz="8" w:space="0" w:color="auto"/>
              <w:bottom w:val="single" w:sz="4" w:space="0" w:color="auto"/>
              <w:right w:val="single" w:sz="4" w:space="0" w:color="auto"/>
            </w:tcBorders>
            <w:shd w:val="clear" w:color="auto" w:fill="auto"/>
            <w:noWrap/>
            <w:vAlign w:val="bottom"/>
            <w:hideMark/>
          </w:tcPr>
          <w:p w14:paraId="32121E9F"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Sector6</w:t>
            </w:r>
          </w:p>
        </w:tc>
        <w:tc>
          <w:tcPr>
            <w:tcW w:w="1719" w:type="dxa"/>
            <w:tcBorders>
              <w:top w:val="nil"/>
              <w:left w:val="nil"/>
              <w:bottom w:val="single" w:sz="4" w:space="0" w:color="auto"/>
              <w:right w:val="single" w:sz="4" w:space="0" w:color="auto"/>
            </w:tcBorders>
            <w:shd w:val="clear" w:color="auto" w:fill="auto"/>
            <w:noWrap/>
            <w:vAlign w:val="bottom"/>
            <w:hideMark/>
          </w:tcPr>
          <w:p w14:paraId="7C2D77A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4" w:space="0" w:color="auto"/>
              <w:right w:val="single" w:sz="4" w:space="0" w:color="auto"/>
            </w:tcBorders>
            <w:shd w:val="clear" w:color="auto" w:fill="auto"/>
            <w:noWrap/>
            <w:vAlign w:val="bottom"/>
            <w:hideMark/>
          </w:tcPr>
          <w:p w14:paraId="77541CDA"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4" w:space="0" w:color="auto"/>
              <w:right w:val="single" w:sz="4" w:space="0" w:color="auto"/>
            </w:tcBorders>
            <w:shd w:val="clear" w:color="auto" w:fill="auto"/>
            <w:noWrap/>
            <w:vAlign w:val="bottom"/>
            <w:hideMark/>
          </w:tcPr>
          <w:p w14:paraId="70E3D9A5"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0.0683</w:t>
            </w:r>
          </w:p>
        </w:tc>
        <w:tc>
          <w:tcPr>
            <w:tcW w:w="1236" w:type="dxa"/>
            <w:tcBorders>
              <w:top w:val="nil"/>
              <w:left w:val="nil"/>
              <w:bottom w:val="single" w:sz="4" w:space="0" w:color="auto"/>
              <w:right w:val="single" w:sz="4" w:space="0" w:color="auto"/>
            </w:tcBorders>
            <w:shd w:val="clear" w:color="auto" w:fill="auto"/>
            <w:noWrap/>
            <w:vAlign w:val="bottom"/>
            <w:hideMark/>
          </w:tcPr>
          <w:p w14:paraId="702171E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4" w:space="0" w:color="auto"/>
              <w:right w:val="single" w:sz="8" w:space="0" w:color="auto"/>
            </w:tcBorders>
            <w:shd w:val="clear" w:color="auto" w:fill="auto"/>
            <w:noWrap/>
            <w:vAlign w:val="bottom"/>
            <w:hideMark/>
          </w:tcPr>
          <w:p w14:paraId="4E1C42A0"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r w:rsidR="00D12743" w:rsidRPr="00CA0B89" w14:paraId="6401E375" w14:textId="77777777" w:rsidTr="00965EDA">
        <w:trPr>
          <w:trHeight w:val="311"/>
          <w:jc w:val="center"/>
        </w:trPr>
        <w:tc>
          <w:tcPr>
            <w:tcW w:w="1206" w:type="dxa"/>
            <w:tcBorders>
              <w:top w:val="nil"/>
              <w:left w:val="single" w:sz="8" w:space="0" w:color="auto"/>
              <w:bottom w:val="single" w:sz="8" w:space="0" w:color="auto"/>
              <w:right w:val="single" w:sz="4" w:space="0" w:color="auto"/>
            </w:tcBorders>
            <w:shd w:val="clear" w:color="auto" w:fill="auto"/>
            <w:noWrap/>
            <w:vAlign w:val="bottom"/>
            <w:hideMark/>
          </w:tcPr>
          <w:p w14:paraId="5E300A01"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Sector7</w:t>
            </w:r>
          </w:p>
        </w:tc>
        <w:tc>
          <w:tcPr>
            <w:tcW w:w="1719" w:type="dxa"/>
            <w:tcBorders>
              <w:top w:val="nil"/>
              <w:left w:val="nil"/>
              <w:bottom w:val="single" w:sz="8" w:space="0" w:color="auto"/>
              <w:right w:val="single" w:sz="4" w:space="0" w:color="auto"/>
            </w:tcBorders>
            <w:shd w:val="clear" w:color="auto" w:fill="auto"/>
            <w:noWrap/>
            <w:vAlign w:val="bottom"/>
            <w:hideMark/>
          </w:tcPr>
          <w:p w14:paraId="73FCAF16"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632</w:t>
            </w:r>
          </w:p>
        </w:tc>
        <w:tc>
          <w:tcPr>
            <w:tcW w:w="1729" w:type="dxa"/>
            <w:tcBorders>
              <w:top w:val="nil"/>
              <w:left w:val="nil"/>
              <w:bottom w:val="single" w:sz="8" w:space="0" w:color="auto"/>
              <w:right w:val="single" w:sz="4" w:space="0" w:color="auto"/>
            </w:tcBorders>
            <w:shd w:val="clear" w:color="auto" w:fill="auto"/>
            <w:noWrap/>
            <w:vAlign w:val="bottom"/>
            <w:hideMark/>
          </w:tcPr>
          <w:p w14:paraId="3FD5E052"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552" w:type="dxa"/>
            <w:tcBorders>
              <w:top w:val="nil"/>
              <w:left w:val="nil"/>
              <w:bottom w:val="single" w:sz="8" w:space="0" w:color="auto"/>
              <w:right w:val="single" w:sz="4" w:space="0" w:color="auto"/>
            </w:tcBorders>
            <w:shd w:val="clear" w:color="auto" w:fill="auto"/>
            <w:noWrap/>
            <w:vAlign w:val="bottom"/>
            <w:hideMark/>
          </w:tcPr>
          <w:p w14:paraId="0B0B710D"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c>
          <w:tcPr>
            <w:tcW w:w="1236" w:type="dxa"/>
            <w:tcBorders>
              <w:top w:val="nil"/>
              <w:left w:val="nil"/>
              <w:bottom w:val="single" w:sz="8" w:space="0" w:color="auto"/>
              <w:right w:val="single" w:sz="4" w:space="0" w:color="auto"/>
            </w:tcBorders>
            <w:shd w:val="clear" w:color="auto" w:fill="auto"/>
            <w:noWrap/>
            <w:vAlign w:val="bottom"/>
            <w:hideMark/>
          </w:tcPr>
          <w:p w14:paraId="50FCA93B"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w:t>
            </w:r>
          </w:p>
        </w:tc>
        <w:tc>
          <w:tcPr>
            <w:tcW w:w="1377" w:type="dxa"/>
            <w:tcBorders>
              <w:top w:val="nil"/>
              <w:left w:val="nil"/>
              <w:bottom w:val="single" w:sz="8" w:space="0" w:color="auto"/>
              <w:right w:val="single" w:sz="8" w:space="0" w:color="auto"/>
            </w:tcBorders>
            <w:shd w:val="clear" w:color="auto" w:fill="auto"/>
            <w:noWrap/>
            <w:vAlign w:val="bottom"/>
            <w:hideMark/>
          </w:tcPr>
          <w:p w14:paraId="07F52E67" w14:textId="77777777" w:rsidR="00D12743" w:rsidRPr="00CA0B89" w:rsidRDefault="00D12743" w:rsidP="00536234">
            <w:pPr>
              <w:spacing w:after="0" w:line="240" w:lineRule="auto"/>
              <w:ind w:left="0" w:firstLine="0"/>
              <w:jc w:val="center"/>
              <w:rPr>
                <w:rFonts w:ascii="Times New Roman" w:eastAsia="Times New Roman" w:hAnsi="Times New Roman" w:cs="Times New Roman"/>
                <w:sz w:val="20"/>
                <w:szCs w:val="20"/>
              </w:rPr>
            </w:pPr>
            <w:r w:rsidRPr="00CA0B89">
              <w:rPr>
                <w:rFonts w:ascii="Times New Roman" w:eastAsia="Times New Roman" w:hAnsi="Times New Roman" w:cs="Times New Roman"/>
                <w:sz w:val="20"/>
                <w:szCs w:val="20"/>
              </w:rPr>
              <w:t>0.0000</w:t>
            </w:r>
          </w:p>
        </w:tc>
      </w:tr>
    </w:tbl>
    <w:p w14:paraId="377FE8A1" w14:textId="77777777" w:rsidR="00D12743" w:rsidRPr="00592B5E" w:rsidRDefault="00B5127E" w:rsidP="00536234">
      <w:pPr>
        <w:spacing w:line="480" w:lineRule="auto"/>
        <w:ind w:left="0"/>
        <w:jc w:val="right"/>
        <w:rPr>
          <w:rFonts w:ascii="Times New Roman" w:hAnsi="Times New Roman" w:cs="Times New Roman"/>
          <w:sz w:val="22"/>
        </w:rPr>
      </w:pPr>
      <w:r w:rsidRPr="00B5127E">
        <w:rPr>
          <w:rFonts w:ascii="Times New Roman" w:hAnsi="Times New Roman" w:cs="Times New Roman"/>
          <w:sz w:val="22"/>
        </w:rPr>
        <w:t>(Source: Stata)</w:t>
      </w:r>
    </w:p>
    <w:p w14:paraId="410C3C42" w14:textId="0DCA1B23" w:rsidR="00965EDA" w:rsidRDefault="00CA0B89" w:rsidP="00536234">
      <w:pPr>
        <w:spacing w:line="480" w:lineRule="auto"/>
        <w:ind w:left="0"/>
        <w:rPr>
          <w:rFonts w:ascii="Times New Roman" w:eastAsia="Times New Roman" w:hAnsi="Times New Roman" w:cs="Times New Roman"/>
          <w:b/>
          <w:sz w:val="22"/>
          <w:u w:val="single"/>
        </w:rPr>
      </w:pPr>
      <w:r>
        <w:rPr>
          <w:noProof/>
        </w:rPr>
        <w:drawing>
          <wp:anchor distT="0" distB="0" distL="114300" distR="114300" simplePos="0" relativeHeight="251658240" behindDoc="1" locked="0" layoutInCell="1" allowOverlap="1" wp14:anchorId="41A937C9" wp14:editId="598DE6F4">
            <wp:simplePos x="0" y="0"/>
            <wp:positionH relativeFrom="margin">
              <wp:align>left</wp:align>
            </wp:positionH>
            <wp:positionV relativeFrom="paragraph">
              <wp:posOffset>405130</wp:posOffset>
            </wp:positionV>
            <wp:extent cx="5768340" cy="3398520"/>
            <wp:effectExtent l="0" t="0" r="0" b="0"/>
            <wp:wrapNone/>
            <wp:docPr id="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8340" cy="3398520"/>
                    </a:xfrm>
                    <a:prstGeom prst="rect">
                      <a:avLst/>
                    </a:prstGeom>
                    <a:noFill/>
                    <a:ln>
                      <a:noFill/>
                    </a:ln>
                  </pic:spPr>
                </pic:pic>
              </a:graphicData>
            </a:graphic>
            <wp14:sizeRelH relativeFrom="page">
              <wp14:pctWidth>0</wp14:pctWidth>
            </wp14:sizeRelH>
            <wp14:sizeRelV relativeFrom="page">
              <wp14:pctHeight>0</wp14:pctHeight>
            </wp14:sizeRelV>
          </wp:anchor>
        </w:drawing>
      </w:r>
      <w:r w:rsidR="00A04D1A">
        <w:rPr>
          <w:rFonts w:ascii="Times New Roman" w:hAnsi="Times New Roman" w:cs="Times New Roman"/>
          <w:b/>
          <w:sz w:val="22"/>
          <w:szCs w:val="26"/>
          <w:u w:val="single"/>
        </w:rPr>
        <w:t>Figure B</w:t>
      </w:r>
      <w:r w:rsidR="00965EDA" w:rsidRPr="00965EDA">
        <w:rPr>
          <w:rFonts w:ascii="Times New Roman" w:hAnsi="Times New Roman" w:cs="Times New Roman"/>
          <w:b/>
          <w:sz w:val="22"/>
          <w:szCs w:val="26"/>
          <w:u w:val="single"/>
        </w:rPr>
        <w:t>:</w:t>
      </w:r>
      <w:r w:rsidR="00965EDA" w:rsidRPr="00965EDA">
        <w:rPr>
          <w:rFonts w:ascii="Times New Roman" w:eastAsia="Times New Roman" w:hAnsi="Times New Roman" w:cs="Times New Roman"/>
          <w:b/>
          <w:sz w:val="22"/>
          <w:u w:val="single"/>
        </w:rPr>
        <w:t xml:space="preserve"> </w:t>
      </w:r>
      <w:r w:rsidR="00A71948">
        <w:rPr>
          <w:rFonts w:ascii="Times New Roman" w:eastAsia="Times New Roman" w:hAnsi="Times New Roman" w:cs="Times New Roman"/>
          <w:b/>
          <w:sz w:val="22"/>
          <w:u w:val="single"/>
        </w:rPr>
        <w:t>Normality Plots for both Balanced and Unbalanced Panel</w:t>
      </w:r>
      <w:r w:rsidR="00965EDA">
        <w:rPr>
          <w:rFonts w:ascii="Times New Roman" w:eastAsia="Times New Roman" w:hAnsi="Times New Roman" w:cs="Times New Roman"/>
          <w:b/>
          <w:sz w:val="22"/>
          <w:u w:val="single"/>
        </w:rPr>
        <w:t xml:space="preserve"> Models</w:t>
      </w:r>
    </w:p>
    <w:p w14:paraId="0D708CAB" w14:textId="77777777" w:rsidR="00CA0B89" w:rsidRDefault="009B2BD2" w:rsidP="00536234">
      <w:pPr>
        <w:spacing w:line="480" w:lineRule="auto"/>
        <w:ind w:left="0"/>
        <w:rPr>
          <w:rFonts w:ascii="Times New Roman" w:hAnsi="Times New Roman" w:cs="Times New Roman"/>
          <w:b/>
          <w:sz w:val="22"/>
          <w:szCs w:val="26"/>
          <w:u w:val="single"/>
        </w:rPr>
      </w:pPr>
      <w:r w:rsidRPr="00A71948">
        <w:rPr>
          <w:rFonts w:ascii="Times New Roman" w:hAnsi="Times New Roman" w:cs="Times New Roman"/>
          <w:noProof/>
          <w:sz w:val="22"/>
          <w:szCs w:val="26"/>
        </w:rPr>
        <mc:AlternateContent>
          <mc:Choice Requires="wps">
            <w:drawing>
              <wp:anchor distT="45720" distB="45720" distL="114300" distR="114300" simplePos="0" relativeHeight="251660288" behindDoc="0" locked="0" layoutInCell="1" allowOverlap="1" wp14:anchorId="5D87424F" wp14:editId="33E20AFD">
                <wp:simplePos x="0" y="0"/>
                <wp:positionH relativeFrom="column">
                  <wp:posOffset>83820</wp:posOffset>
                </wp:positionH>
                <wp:positionV relativeFrom="paragraph">
                  <wp:posOffset>250190</wp:posOffset>
                </wp:positionV>
                <wp:extent cx="5608320" cy="19050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8320" cy="190500"/>
                        </a:xfrm>
                        <a:prstGeom prst="rect">
                          <a:avLst/>
                        </a:prstGeom>
                        <a:solidFill>
                          <a:srgbClr val="BCD8D4"/>
                        </a:solidFill>
                        <a:ln w="9525">
                          <a:noFill/>
                          <a:miter lim="800000"/>
                          <a:headEnd/>
                          <a:tailEnd/>
                        </a:ln>
                      </wps:spPr>
                      <wps:txbx>
                        <w:txbxContent>
                          <w:p w14:paraId="65C9A0A4" w14:textId="77777777" w:rsidR="008E5542" w:rsidRPr="009B2BD2" w:rsidRDefault="008E5542">
                            <w:pPr>
                              <w:rPr>
                                <w:b/>
                                <w:color w:val="000000" w:themeColor="text1"/>
                                <w:sz w:val="12"/>
                              </w:rPr>
                            </w:pPr>
                            <w:r w:rsidRPr="009B2BD2">
                              <w:rPr>
                                <w:b/>
                                <w:color w:val="C7E7DC"/>
                                <w:sz w:val="28"/>
                              </w:rPr>
                              <w:t xml:space="preserve">                             </w:t>
                            </w:r>
                            <w:r w:rsidRPr="009B2BD2">
                              <w:rPr>
                                <w:b/>
                                <w:color w:val="000000" w:themeColor="text1"/>
                                <w:sz w:val="12"/>
                              </w:rPr>
                              <w:t>Balanced Panel                                                                     Unbalanced Panel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87424F" id="_x0000_t202" coordsize="21600,21600" o:spt="202" path="m,l,21600r21600,l21600,xe">
                <v:stroke joinstyle="miter"/>
                <v:path gradientshapeok="t" o:connecttype="rect"/>
              </v:shapetype>
              <v:shape id="Text Box 2" o:spid="_x0000_s1026" type="#_x0000_t202" style="position:absolute;left:0;text-align:left;margin-left:6.6pt;margin-top:19.7pt;width:441.6pt;height:1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6R4IgIAABsEAAAOAAAAZHJzL2Uyb0RvYy54bWysU11v2yAUfZ+0/4B4X+xkSZdYcao2WadJ&#10;3YfU7gdgwDEacBmQ2N2v7wWnabS9TfMDAu69x+eee1hfD0aTo/RBga3pdFJSIi0Hoey+pj8e794t&#10;KQmRWcE0WFnTJxno9ebtm3XvKjmDDrSQniCIDVXvatrF6KqiCLyThoUJOGkx2II3LOLR7wvhWY/o&#10;RhezsrwqevDCeeAyBLzdjUG6yfhtK3n81rZBRqJritxiXn1em7QWmzWr9p65TvETDfYPLAxTFn96&#10;htqxyMjBq7+gjOIeArRxwsEU0LaKy9wDdjMt/+jmoWNO5l5QnODOMoX/B8u/Hr97ogTOjhLLDI7o&#10;UQ6R3MJAZkmd3oUKkx4cpsUBr1Nm6jS4e+A/A7Gw7Zjdyxvvoe8kE8humiqLi9IRJySQpv8CAn/D&#10;DhEy0NB6kwBRDILoOKWn82QSFY6Xi6ty+X6GIY6x6apclHl0Bateqp0P8ZMEQ9Kmph4nn9HZ8T7E&#10;xIZVLymZPWgl7pTW+eD3zVZ7cmToktvtbrmb5wawycs0bUlf09VitsjIFlJ9NpBREV2slanpskzf&#10;6KukxkcrckpkSo97ZKLtSZ6kyKhNHJoBE5NmDYgnFMrD6FZ8XbjpwP+mpEen1jT8OjAvKdGfLYq9&#10;ms7nydr5MF98SDL5y0hzGWGWI1RNIyXjdhvzc0g6WLjBobQq6/XK5MQVHZhlPL2WZPHLc856fdOb&#10;ZwAAAP//AwBQSwMEFAAGAAgAAAAhAG2EI5feAAAACAEAAA8AAABkcnMvZG93bnJldi54bWxMj0FL&#10;w0AQhe+C/2EZwZvdtJXQxGyKCAVBPViLxds2O2aDu7Mhu2niv3c86W3evMebb6rt7J044xC7QAqW&#10;iwwEUhNMR62Cw9vuZgMiJk1Gu0Co4BsjbOvLi0qXJkz0iud9agWXUCy1AptSX0oZG4tex0Xokdj7&#10;DIPXieXQSjPoicu9k6ssy6XXHfEFq3t8sNh87Uev4PHF+aI5Lp/lcaSn93jo7W76UOr6ar6/A5Fw&#10;Tn9h+MVndKiZ6RRGMlE41usVJxWsi1sQ7G+KnIeTgpwXsq7k/wfqHwAAAP//AwBQSwECLQAUAAYA&#10;CAAAACEAtoM4kv4AAADhAQAAEwAAAAAAAAAAAAAAAAAAAAAAW0NvbnRlbnRfVHlwZXNdLnhtbFBL&#10;AQItABQABgAIAAAAIQA4/SH/1gAAAJQBAAALAAAAAAAAAAAAAAAAAC8BAABfcmVscy8ucmVsc1BL&#10;AQItABQABgAIAAAAIQCzW6R4IgIAABsEAAAOAAAAAAAAAAAAAAAAAC4CAABkcnMvZTJvRG9jLnht&#10;bFBLAQItABQABgAIAAAAIQBthCOX3gAAAAgBAAAPAAAAAAAAAAAAAAAAAHwEAABkcnMvZG93bnJl&#10;di54bWxQSwUGAAAAAAQABADzAAAAhwUAAAAA&#10;" fillcolor="#bcd8d4" stroked="f">
                <v:textbox>
                  <w:txbxContent>
                    <w:p w14:paraId="65C9A0A4" w14:textId="77777777" w:rsidR="008E5542" w:rsidRPr="009B2BD2" w:rsidRDefault="008E5542">
                      <w:pPr>
                        <w:rPr>
                          <w:b/>
                          <w:color w:val="000000" w:themeColor="text1"/>
                          <w:sz w:val="12"/>
                        </w:rPr>
                      </w:pPr>
                      <w:r w:rsidRPr="009B2BD2">
                        <w:rPr>
                          <w:b/>
                          <w:color w:val="C7E7DC"/>
                          <w:sz w:val="28"/>
                        </w:rPr>
                        <w:t xml:space="preserve">                             </w:t>
                      </w:r>
                      <w:r w:rsidRPr="009B2BD2">
                        <w:rPr>
                          <w:b/>
                          <w:color w:val="000000" w:themeColor="text1"/>
                          <w:sz w:val="12"/>
                        </w:rPr>
                        <w:t>Balanced Panel                                                                     Unbalanced Panel</w:t>
                      </w:r>
                    </w:p>
                  </w:txbxContent>
                </v:textbox>
                <w10:wrap type="square"/>
              </v:shape>
            </w:pict>
          </mc:Fallback>
        </mc:AlternateContent>
      </w:r>
    </w:p>
    <w:p w14:paraId="31D123AF" w14:textId="77777777" w:rsidR="00CA0B89" w:rsidRPr="00965EDA" w:rsidRDefault="00CA0B89" w:rsidP="00536234">
      <w:pPr>
        <w:spacing w:line="480" w:lineRule="auto"/>
        <w:ind w:left="0"/>
        <w:rPr>
          <w:rFonts w:ascii="Times New Roman" w:hAnsi="Times New Roman" w:cs="Times New Roman"/>
          <w:b/>
          <w:sz w:val="22"/>
          <w:szCs w:val="26"/>
          <w:u w:val="single"/>
        </w:rPr>
      </w:pPr>
    </w:p>
    <w:p w14:paraId="3F52C6D1" w14:textId="77777777" w:rsidR="00592B5E" w:rsidRDefault="00592B5E" w:rsidP="00536234">
      <w:pPr>
        <w:spacing w:line="480" w:lineRule="auto"/>
        <w:ind w:left="0"/>
        <w:rPr>
          <w:rFonts w:ascii="Times New Roman" w:hAnsi="Times New Roman" w:cs="Times New Roman"/>
          <w:sz w:val="22"/>
          <w:szCs w:val="26"/>
        </w:rPr>
      </w:pPr>
    </w:p>
    <w:p w14:paraId="65A21C63" w14:textId="77777777" w:rsidR="00D12743" w:rsidRDefault="00D12743" w:rsidP="00536234">
      <w:pPr>
        <w:spacing w:line="480" w:lineRule="auto"/>
        <w:ind w:left="0"/>
        <w:rPr>
          <w:rFonts w:ascii="Times New Roman" w:hAnsi="Times New Roman" w:cs="Times New Roman"/>
          <w:sz w:val="22"/>
          <w:szCs w:val="26"/>
        </w:rPr>
      </w:pPr>
    </w:p>
    <w:p w14:paraId="1727E15A" w14:textId="77777777" w:rsidR="00D12743" w:rsidRDefault="00D12743" w:rsidP="00536234">
      <w:pPr>
        <w:spacing w:line="480" w:lineRule="auto"/>
        <w:ind w:left="0"/>
        <w:rPr>
          <w:rFonts w:ascii="Times New Roman" w:hAnsi="Times New Roman" w:cs="Times New Roman"/>
          <w:sz w:val="22"/>
          <w:szCs w:val="26"/>
        </w:rPr>
      </w:pPr>
    </w:p>
    <w:p w14:paraId="6FFCF5EF" w14:textId="77777777" w:rsidR="00D12743" w:rsidRDefault="00D12743" w:rsidP="00536234">
      <w:pPr>
        <w:spacing w:line="480" w:lineRule="auto"/>
        <w:ind w:left="0"/>
        <w:rPr>
          <w:rFonts w:ascii="Times New Roman" w:hAnsi="Times New Roman" w:cs="Times New Roman"/>
          <w:sz w:val="22"/>
          <w:szCs w:val="26"/>
        </w:rPr>
      </w:pPr>
    </w:p>
    <w:p w14:paraId="5673D386" w14:textId="77777777" w:rsidR="00D12743" w:rsidRDefault="00D12743" w:rsidP="00536234">
      <w:pPr>
        <w:spacing w:line="480" w:lineRule="auto"/>
        <w:ind w:left="0"/>
        <w:rPr>
          <w:rFonts w:ascii="Times New Roman" w:hAnsi="Times New Roman" w:cs="Times New Roman"/>
          <w:sz w:val="22"/>
          <w:szCs w:val="26"/>
        </w:rPr>
      </w:pPr>
    </w:p>
    <w:p w14:paraId="3486A5B4" w14:textId="77777777" w:rsidR="00D12743" w:rsidRDefault="00D12743" w:rsidP="00536234">
      <w:pPr>
        <w:spacing w:line="480" w:lineRule="auto"/>
        <w:ind w:left="0"/>
        <w:rPr>
          <w:rFonts w:ascii="Times New Roman" w:hAnsi="Times New Roman" w:cs="Times New Roman"/>
          <w:sz w:val="22"/>
          <w:szCs w:val="26"/>
        </w:rPr>
      </w:pPr>
    </w:p>
    <w:p w14:paraId="2C8FC50E" w14:textId="77777777" w:rsidR="00D12743"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22877BAF" w14:textId="77777777" w:rsidR="00D12743" w:rsidRDefault="00D12743" w:rsidP="00536234">
      <w:pPr>
        <w:spacing w:line="480" w:lineRule="auto"/>
        <w:ind w:left="0"/>
        <w:rPr>
          <w:rFonts w:ascii="Times New Roman" w:hAnsi="Times New Roman" w:cs="Times New Roman"/>
          <w:sz w:val="22"/>
          <w:szCs w:val="26"/>
        </w:rPr>
      </w:pPr>
    </w:p>
    <w:p w14:paraId="42A0BAFF" w14:textId="49290637" w:rsidR="00965EDA" w:rsidRPr="00965EDA" w:rsidRDefault="00A04D1A"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t>Figure</w:t>
      </w:r>
      <w:r w:rsidR="00965EDA">
        <w:rPr>
          <w:rFonts w:ascii="Times New Roman" w:hAnsi="Times New Roman" w:cs="Times New Roman"/>
          <w:b/>
          <w:sz w:val="22"/>
          <w:szCs w:val="26"/>
          <w:u w:val="single"/>
        </w:rPr>
        <w:t xml:space="preserve"> C</w:t>
      </w:r>
      <w:r w:rsidR="00965EDA" w:rsidRPr="00965EDA">
        <w:rPr>
          <w:rFonts w:ascii="Times New Roman" w:hAnsi="Times New Roman" w:cs="Times New Roman"/>
          <w:b/>
          <w:sz w:val="22"/>
          <w:szCs w:val="26"/>
          <w:u w:val="single"/>
        </w:rPr>
        <w:t>:</w:t>
      </w:r>
      <w:r w:rsidR="00965EDA" w:rsidRPr="00965EDA">
        <w:rPr>
          <w:rFonts w:ascii="Times New Roman" w:eastAsia="Times New Roman" w:hAnsi="Times New Roman" w:cs="Times New Roman"/>
          <w:b/>
          <w:sz w:val="22"/>
          <w:u w:val="single"/>
        </w:rPr>
        <w:t xml:space="preserve"> Variance Inflation Factor Test</w:t>
      </w:r>
      <w:r w:rsidR="00CA0B89">
        <w:rPr>
          <w:rFonts w:ascii="Times New Roman" w:eastAsia="Times New Roman" w:hAnsi="Times New Roman" w:cs="Times New Roman"/>
          <w:b/>
          <w:sz w:val="22"/>
          <w:u w:val="single"/>
        </w:rPr>
        <w:t xml:space="preserve"> for Multicollinearity</w:t>
      </w:r>
    </w:p>
    <w:tbl>
      <w:tblPr>
        <w:tblW w:w="8997" w:type="dxa"/>
        <w:jc w:val="center"/>
        <w:tblLook w:val="04A0" w:firstRow="1" w:lastRow="0" w:firstColumn="1" w:lastColumn="0" w:noHBand="0" w:noVBand="1"/>
      </w:tblPr>
      <w:tblGrid>
        <w:gridCol w:w="3651"/>
        <w:gridCol w:w="1746"/>
        <w:gridCol w:w="3600"/>
      </w:tblGrid>
      <w:tr w:rsidR="00965EDA" w:rsidRPr="00CA0B89" w14:paraId="15D863B6" w14:textId="77777777" w:rsidTr="00B5127E">
        <w:trPr>
          <w:trHeight w:val="286"/>
          <w:jc w:val="center"/>
        </w:trPr>
        <w:tc>
          <w:tcPr>
            <w:tcW w:w="36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329AFC" w14:textId="77777777" w:rsidR="00965EDA" w:rsidRPr="00CA0B89" w:rsidRDefault="00965EDA" w:rsidP="00536234">
            <w:pPr>
              <w:spacing w:after="0" w:line="240" w:lineRule="auto"/>
              <w:ind w:left="0" w:firstLine="0"/>
              <w:jc w:val="center"/>
              <w:rPr>
                <w:rFonts w:ascii="Times New Roman" w:eastAsia="Times New Roman" w:hAnsi="Times New Roman" w:cs="Times New Roman"/>
                <w:b/>
                <w:bCs/>
                <w:sz w:val="20"/>
              </w:rPr>
            </w:pPr>
            <w:r w:rsidRPr="00CA0B89">
              <w:rPr>
                <w:rFonts w:ascii="Times New Roman" w:eastAsia="Times New Roman" w:hAnsi="Times New Roman" w:cs="Times New Roman"/>
                <w:b/>
                <w:bCs/>
                <w:sz w:val="20"/>
              </w:rPr>
              <w:t>Variable</w:t>
            </w:r>
          </w:p>
        </w:tc>
        <w:tc>
          <w:tcPr>
            <w:tcW w:w="17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7080ED" w14:textId="77777777" w:rsidR="00965EDA" w:rsidRPr="00CA0B89" w:rsidRDefault="00965EDA" w:rsidP="00536234">
            <w:pPr>
              <w:spacing w:after="0" w:line="240" w:lineRule="auto"/>
              <w:ind w:left="0" w:firstLine="0"/>
              <w:jc w:val="center"/>
              <w:rPr>
                <w:rFonts w:ascii="Times New Roman" w:eastAsia="Times New Roman" w:hAnsi="Times New Roman" w:cs="Times New Roman"/>
                <w:b/>
                <w:bCs/>
                <w:sz w:val="20"/>
              </w:rPr>
            </w:pPr>
            <w:r w:rsidRPr="00CA0B89">
              <w:rPr>
                <w:rFonts w:ascii="Times New Roman" w:eastAsia="Times New Roman" w:hAnsi="Times New Roman" w:cs="Times New Roman"/>
                <w:b/>
                <w:bCs/>
                <w:sz w:val="20"/>
              </w:rPr>
              <w:t>VIF</w:t>
            </w:r>
          </w:p>
        </w:tc>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ED399" w14:textId="77777777" w:rsidR="00965EDA" w:rsidRPr="00CA0B89" w:rsidRDefault="00965EDA" w:rsidP="00536234">
            <w:pPr>
              <w:spacing w:after="0" w:line="240" w:lineRule="auto"/>
              <w:ind w:left="0" w:firstLine="0"/>
              <w:jc w:val="center"/>
              <w:rPr>
                <w:rFonts w:ascii="Times New Roman" w:eastAsia="Times New Roman" w:hAnsi="Times New Roman" w:cs="Times New Roman"/>
                <w:b/>
                <w:bCs/>
                <w:sz w:val="20"/>
              </w:rPr>
            </w:pPr>
            <w:r w:rsidRPr="00CA0B89">
              <w:rPr>
                <w:rFonts w:ascii="Times New Roman" w:eastAsia="Times New Roman" w:hAnsi="Times New Roman" w:cs="Times New Roman"/>
                <w:b/>
                <w:bCs/>
                <w:sz w:val="20"/>
              </w:rPr>
              <w:t>1/VIF</w:t>
            </w:r>
          </w:p>
        </w:tc>
      </w:tr>
      <w:tr w:rsidR="00965EDA" w:rsidRPr="00CA0B89" w14:paraId="7A1B9B1A" w14:textId="77777777" w:rsidTr="00B5127E">
        <w:trPr>
          <w:trHeight w:val="274"/>
          <w:jc w:val="center"/>
        </w:trPr>
        <w:tc>
          <w:tcPr>
            <w:tcW w:w="365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975E967"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Deal</w:t>
            </w:r>
          </w:p>
        </w:tc>
        <w:tc>
          <w:tcPr>
            <w:tcW w:w="1746" w:type="dxa"/>
            <w:tcBorders>
              <w:top w:val="single" w:sz="4" w:space="0" w:color="auto"/>
              <w:left w:val="nil"/>
              <w:bottom w:val="single" w:sz="4" w:space="0" w:color="auto"/>
              <w:right w:val="single" w:sz="4" w:space="0" w:color="auto"/>
            </w:tcBorders>
            <w:shd w:val="clear" w:color="auto" w:fill="auto"/>
            <w:noWrap/>
            <w:vAlign w:val="bottom"/>
            <w:hideMark/>
          </w:tcPr>
          <w:p w14:paraId="2B87D54F"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1.25</w:t>
            </w:r>
          </w:p>
        </w:tc>
        <w:tc>
          <w:tcPr>
            <w:tcW w:w="3600" w:type="dxa"/>
            <w:tcBorders>
              <w:top w:val="single" w:sz="4" w:space="0" w:color="auto"/>
              <w:left w:val="nil"/>
              <w:bottom w:val="single" w:sz="4" w:space="0" w:color="auto"/>
              <w:right w:val="single" w:sz="8" w:space="0" w:color="auto"/>
            </w:tcBorders>
            <w:shd w:val="clear" w:color="auto" w:fill="auto"/>
            <w:noWrap/>
            <w:vAlign w:val="bottom"/>
            <w:hideMark/>
          </w:tcPr>
          <w:p w14:paraId="150EF6B8"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0.802223</w:t>
            </w:r>
          </w:p>
        </w:tc>
      </w:tr>
      <w:tr w:rsidR="00965EDA" w:rsidRPr="00CA0B89" w14:paraId="12416327"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101A1F5F"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Profit</w:t>
            </w:r>
          </w:p>
        </w:tc>
        <w:tc>
          <w:tcPr>
            <w:tcW w:w="1746" w:type="dxa"/>
            <w:tcBorders>
              <w:top w:val="nil"/>
              <w:left w:val="nil"/>
              <w:bottom w:val="single" w:sz="4" w:space="0" w:color="auto"/>
              <w:right w:val="single" w:sz="4" w:space="0" w:color="auto"/>
            </w:tcBorders>
            <w:shd w:val="clear" w:color="auto" w:fill="auto"/>
            <w:noWrap/>
            <w:vAlign w:val="bottom"/>
            <w:hideMark/>
          </w:tcPr>
          <w:p w14:paraId="55323AC7"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1.62</w:t>
            </w:r>
          </w:p>
        </w:tc>
        <w:tc>
          <w:tcPr>
            <w:tcW w:w="3600" w:type="dxa"/>
            <w:tcBorders>
              <w:top w:val="nil"/>
              <w:left w:val="nil"/>
              <w:bottom w:val="single" w:sz="4" w:space="0" w:color="auto"/>
              <w:right w:val="single" w:sz="8" w:space="0" w:color="auto"/>
            </w:tcBorders>
            <w:shd w:val="clear" w:color="auto" w:fill="auto"/>
            <w:noWrap/>
            <w:vAlign w:val="bottom"/>
            <w:hideMark/>
          </w:tcPr>
          <w:p w14:paraId="0305D823"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0.618033</w:t>
            </w:r>
          </w:p>
        </w:tc>
      </w:tr>
      <w:tr w:rsidR="00965EDA" w:rsidRPr="00CA0B89" w14:paraId="1F7D5F32"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718577A1"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CS</w:t>
            </w:r>
          </w:p>
        </w:tc>
        <w:tc>
          <w:tcPr>
            <w:tcW w:w="1746" w:type="dxa"/>
            <w:tcBorders>
              <w:top w:val="nil"/>
              <w:left w:val="nil"/>
              <w:bottom w:val="single" w:sz="4" w:space="0" w:color="auto"/>
              <w:right w:val="single" w:sz="4" w:space="0" w:color="auto"/>
            </w:tcBorders>
            <w:shd w:val="clear" w:color="auto" w:fill="auto"/>
            <w:noWrap/>
            <w:vAlign w:val="bottom"/>
            <w:hideMark/>
          </w:tcPr>
          <w:p w14:paraId="284B4FA1"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2.09</w:t>
            </w:r>
          </w:p>
        </w:tc>
        <w:tc>
          <w:tcPr>
            <w:tcW w:w="3600" w:type="dxa"/>
            <w:tcBorders>
              <w:top w:val="nil"/>
              <w:left w:val="nil"/>
              <w:bottom w:val="single" w:sz="4" w:space="0" w:color="auto"/>
              <w:right w:val="single" w:sz="8" w:space="0" w:color="auto"/>
            </w:tcBorders>
            <w:shd w:val="clear" w:color="auto" w:fill="auto"/>
            <w:noWrap/>
            <w:vAlign w:val="bottom"/>
            <w:hideMark/>
          </w:tcPr>
          <w:p w14:paraId="6C3A9BF1"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0.477879</w:t>
            </w:r>
          </w:p>
        </w:tc>
      </w:tr>
      <w:tr w:rsidR="00965EDA" w:rsidRPr="00CA0B89" w14:paraId="33FC19E2"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27B9B158"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Growth</w:t>
            </w:r>
          </w:p>
        </w:tc>
        <w:tc>
          <w:tcPr>
            <w:tcW w:w="1746" w:type="dxa"/>
            <w:tcBorders>
              <w:top w:val="nil"/>
              <w:left w:val="nil"/>
              <w:bottom w:val="single" w:sz="4" w:space="0" w:color="auto"/>
              <w:right w:val="single" w:sz="4" w:space="0" w:color="auto"/>
            </w:tcBorders>
            <w:shd w:val="clear" w:color="auto" w:fill="auto"/>
            <w:noWrap/>
            <w:vAlign w:val="bottom"/>
            <w:hideMark/>
          </w:tcPr>
          <w:p w14:paraId="19D54EF1"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1.23</w:t>
            </w:r>
          </w:p>
        </w:tc>
        <w:tc>
          <w:tcPr>
            <w:tcW w:w="3600" w:type="dxa"/>
            <w:tcBorders>
              <w:top w:val="nil"/>
              <w:left w:val="nil"/>
              <w:bottom w:val="single" w:sz="4" w:space="0" w:color="auto"/>
              <w:right w:val="single" w:sz="8" w:space="0" w:color="auto"/>
            </w:tcBorders>
            <w:shd w:val="clear" w:color="auto" w:fill="auto"/>
            <w:noWrap/>
            <w:vAlign w:val="bottom"/>
            <w:hideMark/>
          </w:tcPr>
          <w:p w14:paraId="27424274"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0.8151</w:t>
            </w:r>
          </w:p>
        </w:tc>
      </w:tr>
      <w:tr w:rsidR="00965EDA" w:rsidRPr="00CA0B89" w14:paraId="1A38E252"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6979C05A"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Liquidity</w:t>
            </w:r>
          </w:p>
        </w:tc>
        <w:tc>
          <w:tcPr>
            <w:tcW w:w="1746" w:type="dxa"/>
            <w:tcBorders>
              <w:top w:val="nil"/>
              <w:left w:val="nil"/>
              <w:bottom w:val="single" w:sz="4" w:space="0" w:color="auto"/>
              <w:right w:val="single" w:sz="4" w:space="0" w:color="auto"/>
            </w:tcBorders>
            <w:shd w:val="clear" w:color="auto" w:fill="auto"/>
            <w:noWrap/>
            <w:vAlign w:val="bottom"/>
            <w:hideMark/>
          </w:tcPr>
          <w:p w14:paraId="7ED520F2"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1.4</w:t>
            </w:r>
          </w:p>
        </w:tc>
        <w:tc>
          <w:tcPr>
            <w:tcW w:w="3600" w:type="dxa"/>
            <w:tcBorders>
              <w:top w:val="nil"/>
              <w:left w:val="nil"/>
              <w:bottom w:val="single" w:sz="4" w:space="0" w:color="auto"/>
              <w:right w:val="single" w:sz="8" w:space="0" w:color="auto"/>
            </w:tcBorders>
            <w:shd w:val="clear" w:color="auto" w:fill="auto"/>
            <w:noWrap/>
            <w:vAlign w:val="bottom"/>
            <w:hideMark/>
          </w:tcPr>
          <w:p w14:paraId="515DE577"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0.712964</w:t>
            </w:r>
          </w:p>
        </w:tc>
      </w:tr>
      <w:tr w:rsidR="00965EDA" w:rsidRPr="00CA0B89" w14:paraId="6D03B876"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134F2056"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Size</w:t>
            </w:r>
          </w:p>
        </w:tc>
        <w:tc>
          <w:tcPr>
            <w:tcW w:w="1746" w:type="dxa"/>
            <w:tcBorders>
              <w:top w:val="nil"/>
              <w:left w:val="nil"/>
              <w:bottom w:val="single" w:sz="4" w:space="0" w:color="auto"/>
              <w:right w:val="single" w:sz="4" w:space="0" w:color="auto"/>
            </w:tcBorders>
            <w:shd w:val="clear" w:color="auto" w:fill="auto"/>
            <w:noWrap/>
            <w:vAlign w:val="bottom"/>
            <w:hideMark/>
          </w:tcPr>
          <w:p w14:paraId="5D982DBA"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1.93</w:t>
            </w:r>
          </w:p>
        </w:tc>
        <w:tc>
          <w:tcPr>
            <w:tcW w:w="3600" w:type="dxa"/>
            <w:tcBorders>
              <w:top w:val="nil"/>
              <w:left w:val="nil"/>
              <w:bottom w:val="single" w:sz="4" w:space="0" w:color="auto"/>
              <w:right w:val="single" w:sz="8" w:space="0" w:color="auto"/>
            </w:tcBorders>
            <w:shd w:val="clear" w:color="auto" w:fill="auto"/>
            <w:noWrap/>
            <w:vAlign w:val="bottom"/>
            <w:hideMark/>
          </w:tcPr>
          <w:p w14:paraId="321F1209"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0.518439</w:t>
            </w:r>
          </w:p>
        </w:tc>
      </w:tr>
      <w:tr w:rsidR="00965EDA" w:rsidRPr="00CA0B89" w14:paraId="5803CDAE"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42C874DD"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Sector1</w:t>
            </w:r>
          </w:p>
        </w:tc>
        <w:tc>
          <w:tcPr>
            <w:tcW w:w="1746" w:type="dxa"/>
            <w:tcBorders>
              <w:top w:val="nil"/>
              <w:left w:val="nil"/>
              <w:bottom w:val="single" w:sz="4" w:space="0" w:color="auto"/>
              <w:right w:val="single" w:sz="4" w:space="0" w:color="auto"/>
            </w:tcBorders>
            <w:shd w:val="clear" w:color="auto" w:fill="auto"/>
            <w:noWrap/>
            <w:vAlign w:val="bottom"/>
            <w:hideMark/>
          </w:tcPr>
          <w:p w14:paraId="1F380EA4"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1.15</w:t>
            </w:r>
          </w:p>
        </w:tc>
        <w:tc>
          <w:tcPr>
            <w:tcW w:w="3600" w:type="dxa"/>
            <w:tcBorders>
              <w:top w:val="nil"/>
              <w:left w:val="nil"/>
              <w:bottom w:val="single" w:sz="4" w:space="0" w:color="auto"/>
              <w:right w:val="single" w:sz="8" w:space="0" w:color="auto"/>
            </w:tcBorders>
            <w:shd w:val="clear" w:color="auto" w:fill="auto"/>
            <w:noWrap/>
            <w:vAlign w:val="bottom"/>
            <w:hideMark/>
          </w:tcPr>
          <w:p w14:paraId="44966093"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0.870011</w:t>
            </w:r>
          </w:p>
        </w:tc>
      </w:tr>
      <w:tr w:rsidR="00965EDA" w:rsidRPr="00CA0B89" w14:paraId="6130AB91"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24F663BB"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Sector2</w:t>
            </w:r>
          </w:p>
        </w:tc>
        <w:tc>
          <w:tcPr>
            <w:tcW w:w="1746" w:type="dxa"/>
            <w:tcBorders>
              <w:top w:val="nil"/>
              <w:left w:val="nil"/>
              <w:bottom w:val="single" w:sz="4" w:space="0" w:color="auto"/>
              <w:right w:val="single" w:sz="4" w:space="0" w:color="auto"/>
            </w:tcBorders>
            <w:shd w:val="clear" w:color="auto" w:fill="auto"/>
            <w:noWrap/>
            <w:vAlign w:val="bottom"/>
            <w:hideMark/>
          </w:tcPr>
          <w:p w14:paraId="1B5CB668"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1.66</w:t>
            </w:r>
          </w:p>
        </w:tc>
        <w:tc>
          <w:tcPr>
            <w:tcW w:w="3600" w:type="dxa"/>
            <w:tcBorders>
              <w:top w:val="nil"/>
              <w:left w:val="nil"/>
              <w:bottom w:val="single" w:sz="4" w:space="0" w:color="auto"/>
              <w:right w:val="single" w:sz="8" w:space="0" w:color="auto"/>
            </w:tcBorders>
            <w:shd w:val="clear" w:color="auto" w:fill="auto"/>
            <w:noWrap/>
            <w:vAlign w:val="bottom"/>
            <w:hideMark/>
          </w:tcPr>
          <w:p w14:paraId="4ECE7378"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0.602772</w:t>
            </w:r>
          </w:p>
        </w:tc>
      </w:tr>
      <w:tr w:rsidR="00965EDA" w:rsidRPr="00CA0B89" w14:paraId="703E9F01"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2332C5E0"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Sector3</w:t>
            </w:r>
          </w:p>
        </w:tc>
        <w:tc>
          <w:tcPr>
            <w:tcW w:w="1746" w:type="dxa"/>
            <w:tcBorders>
              <w:top w:val="nil"/>
              <w:left w:val="nil"/>
              <w:bottom w:val="single" w:sz="4" w:space="0" w:color="auto"/>
              <w:right w:val="single" w:sz="4" w:space="0" w:color="auto"/>
            </w:tcBorders>
            <w:shd w:val="clear" w:color="auto" w:fill="auto"/>
            <w:noWrap/>
            <w:vAlign w:val="bottom"/>
            <w:hideMark/>
          </w:tcPr>
          <w:p w14:paraId="6DDDE0F0"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1.5</w:t>
            </w:r>
          </w:p>
        </w:tc>
        <w:tc>
          <w:tcPr>
            <w:tcW w:w="3600" w:type="dxa"/>
            <w:tcBorders>
              <w:top w:val="nil"/>
              <w:left w:val="nil"/>
              <w:bottom w:val="single" w:sz="4" w:space="0" w:color="auto"/>
              <w:right w:val="single" w:sz="8" w:space="0" w:color="auto"/>
            </w:tcBorders>
            <w:shd w:val="clear" w:color="auto" w:fill="auto"/>
            <w:noWrap/>
            <w:vAlign w:val="bottom"/>
            <w:hideMark/>
          </w:tcPr>
          <w:p w14:paraId="740B4AB9"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0.664827</w:t>
            </w:r>
          </w:p>
        </w:tc>
      </w:tr>
      <w:tr w:rsidR="00965EDA" w:rsidRPr="00CA0B89" w14:paraId="1D538A3A"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2D66D6AF"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Sector4</w:t>
            </w:r>
          </w:p>
        </w:tc>
        <w:tc>
          <w:tcPr>
            <w:tcW w:w="1746" w:type="dxa"/>
            <w:tcBorders>
              <w:top w:val="nil"/>
              <w:left w:val="nil"/>
              <w:bottom w:val="single" w:sz="4" w:space="0" w:color="auto"/>
              <w:right w:val="single" w:sz="4" w:space="0" w:color="auto"/>
            </w:tcBorders>
            <w:shd w:val="clear" w:color="auto" w:fill="auto"/>
            <w:noWrap/>
            <w:vAlign w:val="bottom"/>
            <w:hideMark/>
          </w:tcPr>
          <w:p w14:paraId="5D46D203"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1.54</w:t>
            </w:r>
          </w:p>
        </w:tc>
        <w:tc>
          <w:tcPr>
            <w:tcW w:w="3600" w:type="dxa"/>
            <w:tcBorders>
              <w:top w:val="nil"/>
              <w:left w:val="nil"/>
              <w:bottom w:val="single" w:sz="4" w:space="0" w:color="auto"/>
              <w:right w:val="single" w:sz="8" w:space="0" w:color="auto"/>
            </w:tcBorders>
            <w:shd w:val="clear" w:color="auto" w:fill="auto"/>
            <w:noWrap/>
            <w:vAlign w:val="bottom"/>
            <w:hideMark/>
          </w:tcPr>
          <w:p w14:paraId="00F3A026"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0.651438</w:t>
            </w:r>
          </w:p>
        </w:tc>
      </w:tr>
      <w:tr w:rsidR="00965EDA" w:rsidRPr="00CA0B89" w14:paraId="0DD41B04"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28EAA44C"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Sector5</w:t>
            </w:r>
          </w:p>
        </w:tc>
        <w:tc>
          <w:tcPr>
            <w:tcW w:w="1746" w:type="dxa"/>
            <w:tcBorders>
              <w:top w:val="nil"/>
              <w:left w:val="nil"/>
              <w:bottom w:val="single" w:sz="4" w:space="0" w:color="auto"/>
              <w:right w:val="single" w:sz="4" w:space="0" w:color="auto"/>
            </w:tcBorders>
            <w:shd w:val="clear" w:color="auto" w:fill="auto"/>
            <w:noWrap/>
            <w:vAlign w:val="bottom"/>
            <w:hideMark/>
          </w:tcPr>
          <w:p w14:paraId="4CADB2B1"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1.25</w:t>
            </w:r>
          </w:p>
        </w:tc>
        <w:tc>
          <w:tcPr>
            <w:tcW w:w="3600" w:type="dxa"/>
            <w:tcBorders>
              <w:top w:val="nil"/>
              <w:left w:val="nil"/>
              <w:bottom w:val="single" w:sz="4" w:space="0" w:color="auto"/>
              <w:right w:val="single" w:sz="8" w:space="0" w:color="auto"/>
            </w:tcBorders>
            <w:shd w:val="clear" w:color="auto" w:fill="auto"/>
            <w:noWrap/>
            <w:vAlign w:val="bottom"/>
            <w:hideMark/>
          </w:tcPr>
          <w:p w14:paraId="3EACFF8A"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0.802032</w:t>
            </w:r>
          </w:p>
        </w:tc>
      </w:tr>
      <w:tr w:rsidR="00965EDA" w:rsidRPr="00CA0B89" w14:paraId="77A26163" w14:textId="77777777" w:rsidTr="00B5127E">
        <w:trPr>
          <w:trHeight w:val="274"/>
          <w:jc w:val="center"/>
        </w:trPr>
        <w:tc>
          <w:tcPr>
            <w:tcW w:w="3651" w:type="dxa"/>
            <w:tcBorders>
              <w:top w:val="nil"/>
              <w:left w:val="single" w:sz="8" w:space="0" w:color="auto"/>
              <w:bottom w:val="single" w:sz="4" w:space="0" w:color="auto"/>
              <w:right w:val="single" w:sz="4" w:space="0" w:color="auto"/>
            </w:tcBorders>
            <w:shd w:val="clear" w:color="auto" w:fill="auto"/>
            <w:noWrap/>
            <w:vAlign w:val="bottom"/>
            <w:hideMark/>
          </w:tcPr>
          <w:p w14:paraId="1D1D1FAE"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Sector6</w:t>
            </w:r>
          </w:p>
        </w:tc>
        <w:tc>
          <w:tcPr>
            <w:tcW w:w="1746" w:type="dxa"/>
            <w:tcBorders>
              <w:top w:val="nil"/>
              <w:left w:val="nil"/>
              <w:bottom w:val="single" w:sz="4" w:space="0" w:color="auto"/>
              <w:right w:val="single" w:sz="4" w:space="0" w:color="auto"/>
            </w:tcBorders>
            <w:shd w:val="clear" w:color="auto" w:fill="auto"/>
            <w:noWrap/>
            <w:vAlign w:val="bottom"/>
            <w:hideMark/>
          </w:tcPr>
          <w:p w14:paraId="015504AC"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1.64</w:t>
            </w:r>
          </w:p>
        </w:tc>
        <w:tc>
          <w:tcPr>
            <w:tcW w:w="3600" w:type="dxa"/>
            <w:tcBorders>
              <w:top w:val="nil"/>
              <w:left w:val="nil"/>
              <w:bottom w:val="single" w:sz="4" w:space="0" w:color="auto"/>
              <w:right w:val="single" w:sz="8" w:space="0" w:color="auto"/>
            </w:tcBorders>
            <w:shd w:val="clear" w:color="auto" w:fill="auto"/>
            <w:noWrap/>
            <w:vAlign w:val="bottom"/>
            <w:hideMark/>
          </w:tcPr>
          <w:p w14:paraId="35A0DF46"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0.609995</w:t>
            </w:r>
          </w:p>
        </w:tc>
      </w:tr>
      <w:tr w:rsidR="00965EDA" w:rsidRPr="00CA0B89" w14:paraId="4C2A72E3" w14:textId="77777777" w:rsidTr="00B5127E">
        <w:trPr>
          <w:trHeight w:val="274"/>
          <w:jc w:val="center"/>
        </w:trPr>
        <w:tc>
          <w:tcPr>
            <w:tcW w:w="3651" w:type="dxa"/>
            <w:tcBorders>
              <w:top w:val="nil"/>
              <w:left w:val="single" w:sz="8" w:space="0" w:color="auto"/>
              <w:bottom w:val="nil"/>
              <w:right w:val="single" w:sz="4" w:space="0" w:color="auto"/>
            </w:tcBorders>
            <w:shd w:val="clear" w:color="auto" w:fill="auto"/>
            <w:noWrap/>
            <w:vAlign w:val="bottom"/>
            <w:hideMark/>
          </w:tcPr>
          <w:p w14:paraId="2B7EF9EB"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Sector7</w:t>
            </w:r>
          </w:p>
        </w:tc>
        <w:tc>
          <w:tcPr>
            <w:tcW w:w="1746" w:type="dxa"/>
            <w:tcBorders>
              <w:top w:val="nil"/>
              <w:left w:val="nil"/>
              <w:bottom w:val="nil"/>
              <w:right w:val="single" w:sz="4" w:space="0" w:color="auto"/>
            </w:tcBorders>
            <w:shd w:val="clear" w:color="auto" w:fill="auto"/>
            <w:noWrap/>
            <w:vAlign w:val="bottom"/>
            <w:hideMark/>
          </w:tcPr>
          <w:p w14:paraId="41467607"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1.3</w:t>
            </w:r>
          </w:p>
        </w:tc>
        <w:tc>
          <w:tcPr>
            <w:tcW w:w="3600" w:type="dxa"/>
            <w:tcBorders>
              <w:top w:val="nil"/>
              <w:left w:val="nil"/>
              <w:bottom w:val="nil"/>
              <w:right w:val="single" w:sz="8" w:space="0" w:color="auto"/>
            </w:tcBorders>
            <w:shd w:val="clear" w:color="auto" w:fill="auto"/>
            <w:noWrap/>
            <w:vAlign w:val="bottom"/>
            <w:hideMark/>
          </w:tcPr>
          <w:p w14:paraId="472AB339"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0.770631</w:t>
            </w:r>
          </w:p>
        </w:tc>
      </w:tr>
      <w:tr w:rsidR="00965EDA" w:rsidRPr="00CA0B89" w14:paraId="414DE228" w14:textId="77777777" w:rsidTr="00B5127E">
        <w:trPr>
          <w:trHeight w:val="368"/>
          <w:jc w:val="center"/>
        </w:trPr>
        <w:tc>
          <w:tcPr>
            <w:tcW w:w="3651" w:type="dxa"/>
            <w:tcBorders>
              <w:top w:val="single" w:sz="4" w:space="0" w:color="auto"/>
              <w:left w:val="single" w:sz="8" w:space="0" w:color="auto"/>
              <w:bottom w:val="double" w:sz="6" w:space="0" w:color="auto"/>
              <w:right w:val="single" w:sz="4" w:space="0" w:color="auto"/>
            </w:tcBorders>
            <w:shd w:val="clear" w:color="auto" w:fill="auto"/>
            <w:noWrap/>
            <w:vAlign w:val="bottom"/>
            <w:hideMark/>
          </w:tcPr>
          <w:p w14:paraId="13865EDC"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Mean VIF</w:t>
            </w:r>
          </w:p>
        </w:tc>
        <w:tc>
          <w:tcPr>
            <w:tcW w:w="1746" w:type="dxa"/>
            <w:tcBorders>
              <w:top w:val="single" w:sz="4" w:space="0" w:color="auto"/>
              <w:left w:val="nil"/>
              <w:bottom w:val="double" w:sz="6" w:space="0" w:color="auto"/>
              <w:right w:val="single" w:sz="4" w:space="0" w:color="auto"/>
            </w:tcBorders>
            <w:shd w:val="clear" w:color="auto" w:fill="auto"/>
            <w:noWrap/>
            <w:vAlign w:val="bottom"/>
            <w:hideMark/>
          </w:tcPr>
          <w:p w14:paraId="24F1E315" w14:textId="77777777" w:rsidR="00965EDA" w:rsidRPr="00CA0B89" w:rsidRDefault="00965EDA"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1.5</w:t>
            </w:r>
          </w:p>
        </w:tc>
        <w:tc>
          <w:tcPr>
            <w:tcW w:w="3600" w:type="dxa"/>
            <w:tcBorders>
              <w:top w:val="single" w:sz="4" w:space="0" w:color="auto"/>
              <w:left w:val="nil"/>
              <w:bottom w:val="double" w:sz="6" w:space="0" w:color="auto"/>
              <w:right w:val="single" w:sz="8" w:space="0" w:color="auto"/>
            </w:tcBorders>
            <w:shd w:val="clear" w:color="auto" w:fill="auto"/>
            <w:noWrap/>
            <w:vAlign w:val="bottom"/>
            <w:hideMark/>
          </w:tcPr>
          <w:p w14:paraId="6EA16934" w14:textId="77777777" w:rsidR="00965EDA" w:rsidRPr="00CA0B89" w:rsidRDefault="00965EDA" w:rsidP="00536234">
            <w:pPr>
              <w:spacing w:after="0" w:line="240" w:lineRule="auto"/>
              <w:ind w:left="0" w:firstLine="0"/>
              <w:jc w:val="left"/>
              <w:rPr>
                <w:rFonts w:ascii="Times New Roman" w:eastAsia="Times New Roman" w:hAnsi="Times New Roman" w:cs="Times New Roman"/>
                <w:sz w:val="20"/>
              </w:rPr>
            </w:pPr>
            <w:r w:rsidRPr="00CA0B89">
              <w:rPr>
                <w:rFonts w:ascii="Times New Roman" w:eastAsia="Times New Roman" w:hAnsi="Times New Roman" w:cs="Times New Roman"/>
                <w:sz w:val="20"/>
              </w:rPr>
              <w:t> </w:t>
            </w:r>
          </w:p>
        </w:tc>
      </w:tr>
    </w:tbl>
    <w:p w14:paraId="63E9F285" w14:textId="77777777" w:rsidR="00D12743"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2109B7ED" w14:textId="77777777" w:rsidR="00CA0B89" w:rsidRDefault="00CA0B89" w:rsidP="00536234">
      <w:pPr>
        <w:spacing w:line="480" w:lineRule="auto"/>
        <w:ind w:left="0"/>
        <w:rPr>
          <w:rFonts w:ascii="Times New Roman" w:hAnsi="Times New Roman" w:cs="Times New Roman"/>
          <w:b/>
          <w:sz w:val="22"/>
          <w:szCs w:val="26"/>
          <w:u w:val="single"/>
        </w:rPr>
      </w:pPr>
    </w:p>
    <w:p w14:paraId="0CE1D040" w14:textId="77777777" w:rsidR="00CA0B89" w:rsidRDefault="00CA0B89" w:rsidP="00536234">
      <w:pPr>
        <w:spacing w:line="480" w:lineRule="auto"/>
        <w:ind w:left="0"/>
        <w:rPr>
          <w:rFonts w:ascii="Times New Roman" w:hAnsi="Times New Roman" w:cs="Times New Roman"/>
          <w:b/>
          <w:sz w:val="22"/>
          <w:szCs w:val="26"/>
          <w:u w:val="single"/>
        </w:rPr>
      </w:pPr>
    </w:p>
    <w:p w14:paraId="4DFECFDC" w14:textId="77777777" w:rsidR="00CA0B89" w:rsidRDefault="00CA0B89" w:rsidP="00536234">
      <w:pPr>
        <w:spacing w:line="480" w:lineRule="auto"/>
        <w:ind w:left="0"/>
        <w:rPr>
          <w:rFonts w:ascii="Times New Roman" w:hAnsi="Times New Roman" w:cs="Times New Roman"/>
          <w:b/>
          <w:sz w:val="22"/>
          <w:szCs w:val="26"/>
          <w:u w:val="single"/>
        </w:rPr>
      </w:pPr>
    </w:p>
    <w:p w14:paraId="437915FF" w14:textId="77777777" w:rsidR="00CA0B89" w:rsidRDefault="00CA0B89" w:rsidP="00536234">
      <w:pPr>
        <w:spacing w:line="480" w:lineRule="auto"/>
        <w:ind w:left="0"/>
        <w:rPr>
          <w:rFonts w:ascii="Times New Roman" w:hAnsi="Times New Roman" w:cs="Times New Roman"/>
          <w:b/>
          <w:sz w:val="22"/>
          <w:szCs w:val="26"/>
          <w:u w:val="single"/>
        </w:rPr>
      </w:pPr>
    </w:p>
    <w:p w14:paraId="174DA0C5" w14:textId="77777777" w:rsidR="00CA0B89" w:rsidRDefault="00CA0B89" w:rsidP="00536234">
      <w:pPr>
        <w:spacing w:line="480" w:lineRule="auto"/>
        <w:ind w:left="0"/>
        <w:rPr>
          <w:rFonts w:ascii="Times New Roman" w:hAnsi="Times New Roman" w:cs="Times New Roman"/>
          <w:b/>
          <w:sz w:val="22"/>
          <w:szCs w:val="26"/>
          <w:u w:val="single"/>
        </w:rPr>
      </w:pPr>
    </w:p>
    <w:p w14:paraId="181D63D6" w14:textId="77777777" w:rsidR="00CA0B89" w:rsidRDefault="00CA0B89" w:rsidP="00536234">
      <w:pPr>
        <w:spacing w:line="480" w:lineRule="auto"/>
        <w:ind w:left="0"/>
        <w:rPr>
          <w:rFonts w:ascii="Times New Roman" w:hAnsi="Times New Roman" w:cs="Times New Roman"/>
          <w:b/>
          <w:sz w:val="22"/>
          <w:szCs w:val="26"/>
          <w:u w:val="single"/>
        </w:rPr>
      </w:pPr>
    </w:p>
    <w:p w14:paraId="3A8BBA0C" w14:textId="77777777" w:rsidR="00CA0B89" w:rsidRDefault="00CA0B89" w:rsidP="00536234">
      <w:pPr>
        <w:spacing w:line="480" w:lineRule="auto"/>
        <w:ind w:left="0"/>
        <w:rPr>
          <w:rFonts w:ascii="Times New Roman" w:hAnsi="Times New Roman" w:cs="Times New Roman"/>
          <w:b/>
          <w:sz w:val="22"/>
          <w:szCs w:val="26"/>
          <w:u w:val="single"/>
        </w:rPr>
      </w:pPr>
    </w:p>
    <w:p w14:paraId="1D6D25C5" w14:textId="77777777" w:rsidR="00CA0B89" w:rsidRDefault="00CA0B89" w:rsidP="00536234">
      <w:pPr>
        <w:spacing w:line="480" w:lineRule="auto"/>
        <w:ind w:left="0"/>
        <w:rPr>
          <w:rFonts w:ascii="Times New Roman" w:hAnsi="Times New Roman" w:cs="Times New Roman"/>
          <w:b/>
          <w:sz w:val="22"/>
          <w:szCs w:val="26"/>
          <w:u w:val="single"/>
        </w:rPr>
      </w:pPr>
    </w:p>
    <w:p w14:paraId="207C5287" w14:textId="77777777" w:rsidR="00D81217" w:rsidRDefault="00D81217" w:rsidP="00536234">
      <w:pPr>
        <w:spacing w:line="480" w:lineRule="auto"/>
        <w:ind w:left="0"/>
        <w:rPr>
          <w:rFonts w:ascii="Times New Roman" w:hAnsi="Times New Roman" w:cs="Times New Roman"/>
          <w:b/>
          <w:sz w:val="22"/>
          <w:szCs w:val="26"/>
          <w:u w:val="single"/>
        </w:rPr>
      </w:pPr>
    </w:p>
    <w:p w14:paraId="216FA06F" w14:textId="77777777" w:rsidR="00CA0B89" w:rsidRDefault="00CA0B89" w:rsidP="00536234">
      <w:pPr>
        <w:spacing w:line="480" w:lineRule="auto"/>
        <w:ind w:left="0"/>
        <w:rPr>
          <w:rFonts w:ascii="Times New Roman" w:hAnsi="Times New Roman" w:cs="Times New Roman"/>
          <w:b/>
          <w:sz w:val="22"/>
          <w:szCs w:val="26"/>
          <w:u w:val="single"/>
        </w:rPr>
      </w:pPr>
    </w:p>
    <w:p w14:paraId="526A8F20" w14:textId="77777777" w:rsidR="00143FE6" w:rsidRDefault="00143FE6" w:rsidP="00536234">
      <w:pPr>
        <w:spacing w:line="480" w:lineRule="auto"/>
        <w:ind w:left="0"/>
        <w:rPr>
          <w:rFonts w:ascii="Times New Roman" w:hAnsi="Times New Roman" w:cs="Times New Roman"/>
          <w:b/>
          <w:sz w:val="22"/>
          <w:szCs w:val="26"/>
          <w:u w:val="single"/>
        </w:rPr>
      </w:pPr>
    </w:p>
    <w:p w14:paraId="5D019F6E" w14:textId="45E03D21" w:rsidR="00CA0B89" w:rsidRDefault="00A04D1A" w:rsidP="00536234">
      <w:pPr>
        <w:spacing w:line="480" w:lineRule="auto"/>
        <w:ind w:left="0"/>
        <w:rPr>
          <w:rFonts w:ascii="Times New Roman" w:hAnsi="Times New Roman" w:cs="Times New Roman"/>
          <w:b/>
          <w:sz w:val="22"/>
          <w:szCs w:val="26"/>
          <w:u w:val="single"/>
        </w:rPr>
      </w:pPr>
      <w:r>
        <w:rPr>
          <w:rFonts w:ascii="Times New Roman" w:hAnsi="Times New Roman" w:cs="Times New Roman"/>
          <w:b/>
          <w:sz w:val="22"/>
          <w:szCs w:val="26"/>
          <w:u w:val="single"/>
        </w:rPr>
        <w:lastRenderedPageBreak/>
        <w:t>Figure</w:t>
      </w:r>
      <w:r w:rsidR="00965EDA">
        <w:rPr>
          <w:rFonts w:ascii="Times New Roman" w:hAnsi="Times New Roman" w:cs="Times New Roman"/>
          <w:b/>
          <w:sz w:val="22"/>
          <w:szCs w:val="26"/>
          <w:u w:val="single"/>
        </w:rPr>
        <w:t xml:space="preserve"> </w:t>
      </w:r>
      <w:r w:rsidR="00CA0B89">
        <w:rPr>
          <w:rFonts w:ascii="Times New Roman" w:hAnsi="Times New Roman" w:cs="Times New Roman"/>
          <w:b/>
          <w:sz w:val="22"/>
          <w:szCs w:val="26"/>
          <w:u w:val="single"/>
        </w:rPr>
        <w:t xml:space="preserve">D: </w:t>
      </w:r>
      <w:r w:rsidR="00CA0B89" w:rsidRPr="00CA0B89">
        <w:rPr>
          <w:rFonts w:ascii="Times New Roman" w:hAnsi="Times New Roman" w:cs="Times New Roman"/>
          <w:b/>
          <w:sz w:val="22"/>
          <w:szCs w:val="26"/>
          <w:u w:val="single"/>
        </w:rPr>
        <w:t>Correlation Matrix Test for Multicollinearity</w:t>
      </w:r>
    </w:p>
    <w:p w14:paraId="224E32E1" w14:textId="77777777" w:rsidR="00CA0B89" w:rsidRDefault="00CA0B89" w:rsidP="00536234">
      <w:pPr>
        <w:spacing w:line="480" w:lineRule="auto"/>
        <w:ind w:left="0"/>
        <w:rPr>
          <w:rFonts w:ascii="Times New Roman" w:hAnsi="Times New Roman" w:cs="Times New Roman"/>
          <w:sz w:val="22"/>
          <w:szCs w:val="26"/>
        </w:rPr>
      </w:pPr>
    </w:p>
    <w:p w14:paraId="2D029524" w14:textId="77777777" w:rsidR="00CA0B89" w:rsidRDefault="00CA0B89" w:rsidP="00536234">
      <w:pPr>
        <w:spacing w:line="480" w:lineRule="auto"/>
        <w:ind w:left="0"/>
        <w:rPr>
          <w:rFonts w:ascii="Times New Roman" w:hAnsi="Times New Roman" w:cs="Times New Roman"/>
          <w:sz w:val="22"/>
          <w:szCs w:val="26"/>
        </w:rPr>
      </w:pPr>
    </w:p>
    <w:p w14:paraId="572050C8" w14:textId="77777777" w:rsidR="00CA0B89" w:rsidRDefault="00CA0B89" w:rsidP="00536234">
      <w:pPr>
        <w:spacing w:line="480" w:lineRule="auto"/>
        <w:ind w:left="0"/>
        <w:rPr>
          <w:rFonts w:ascii="Times New Roman" w:hAnsi="Times New Roman" w:cs="Times New Roman"/>
          <w:sz w:val="22"/>
          <w:szCs w:val="26"/>
        </w:rPr>
      </w:pPr>
    </w:p>
    <w:p w14:paraId="0DC7E62C" w14:textId="77777777" w:rsidR="00CA0B89" w:rsidRDefault="00CA0B89" w:rsidP="00536234">
      <w:pPr>
        <w:spacing w:line="480" w:lineRule="auto"/>
        <w:ind w:left="0"/>
        <w:rPr>
          <w:rFonts w:ascii="Times New Roman" w:hAnsi="Times New Roman" w:cs="Times New Roman"/>
          <w:b/>
          <w:sz w:val="22"/>
          <w:szCs w:val="26"/>
          <w:u w:val="single"/>
        </w:rPr>
      </w:pPr>
      <w:r w:rsidRPr="00CA0B89">
        <w:rPr>
          <w:rFonts w:ascii="Times New Roman" w:hAnsi="Times New Roman" w:cs="Times New Roman"/>
          <w:noProof/>
          <w:sz w:val="22"/>
          <w:szCs w:val="26"/>
        </w:rPr>
        <mc:AlternateContent>
          <mc:Choice Requires="wps">
            <w:drawing>
              <wp:anchor distT="45720" distB="45720" distL="114300" distR="114300" simplePos="0" relativeHeight="251659264" behindDoc="0" locked="0" layoutInCell="1" allowOverlap="1" wp14:anchorId="2A33F31F" wp14:editId="01CC586B">
                <wp:simplePos x="0" y="0"/>
                <wp:positionH relativeFrom="margin">
                  <wp:posOffset>-772795</wp:posOffset>
                </wp:positionH>
                <wp:positionV relativeFrom="paragraph">
                  <wp:posOffset>172720</wp:posOffset>
                </wp:positionV>
                <wp:extent cx="7277100" cy="4625340"/>
                <wp:effectExtent l="0" t="762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277100" cy="4625340"/>
                        </a:xfrm>
                        <a:prstGeom prst="rect">
                          <a:avLst/>
                        </a:prstGeom>
                        <a:solidFill>
                          <a:srgbClr val="FFFFFF"/>
                        </a:solidFill>
                        <a:ln w="9525">
                          <a:noFill/>
                          <a:miter lim="800000"/>
                          <a:headEnd/>
                          <a:tailEnd/>
                        </a:ln>
                      </wps:spPr>
                      <wps:txbx>
                        <w:txbxContent>
                          <w:p w14:paraId="30B0413D" w14:textId="77777777" w:rsidR="008E5542" w:rsidRDefault="008E5542"/>
                          <w:tbl>
                            <w:tblPr>
                              <w:tblW w:w="11108" w:type="dxa"/>
                              <w:jc w:val="center"/>
                              <w:tblLook w:val="04A0" w:firstRow="1" w:lastRow="0" w:firstColumn="1" w:lastColumn="0" w:noHBand="0" w:noVBand="1"/>
                            </w:tblPr>
                            <w:tblGrid>
                              <w:gridCol w:w="857"/>
                              <w:gridCol w:w="896"/>
                              <w:gridCol w:w="656"/>
                              <w:gridCol w:w="656"/>
                              <w:gridCol w:w="656"/>
                              <w:gridCol w:w="750"/>
                              <w:gridCol w:w="857"/>
                              <w:gridCol w:w="656"/>
                              <w:gridCol w:w="732"/>
                              <w:gridCol w:w="732"/>
                              <w:gridCol w:w="732"/>
                              <w:gridCol w:w="732"/>
                              <w:gridCol w:w="732"/>
                              <w:gridCol w:w="732"/>
                              <w:gridCol w:w="732"/>
                            </w:tblGrid>
                            <w:tr w:rsidR="008E5542" w:rsidRPr="00CA0B89" w14:paraId="0A868C93" w14:textId="77777777" w:rsidTr="00B5127E">
                              <w:trPr>
                                <w:trHeight w:val="320"/>
                                <w:jc w:val="center"/>
                              </w:trPr>
                              <w:tc>
                                <w:tcPr>
                                  <w:tcW w:w="11108" w:type="dxa"/>
                                  <w:gridSpan w:val="15"/>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74C37C5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Correlation Matrix</w:t>
                                  </w:r>
                                </w:p>
                              </w:tc>
                            </w:tr>
                            <w:tr w:rsidR="008E5542" w:rsidRPr="00CA0B89" w14:paraId="5CC52F5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6CB8AE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96" w:type="dxa"/>
                                  <w:tcBorders>
                                    <w:top w:val="nil"/>
                                    <w:left w:val="nil"/>
                                    <w:bottom w:val="single" w:sz="8" w:space="0" w:color="auto"/>
                                    <w:right w:val="single" w:sz="8" w:space="0" w:color="auto"/>
                                  </w:tcBorders>
                                  <w:shd w:val="clear" w:color="auto" w:fill="auto"/>
                                  <w:noWrap/>
                                  <w:vAlign w:val="bottom"/>
                                  <w:hideMark/>
                                </w:tcPr>
                                <w:p w14:paraId="299C1C1B"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DPR</w:t>
                                  </w:r>
                                </w:p>
                              </w:tc>
                              <w:tc>
                                <w:tcPr>
                                  <w:tcW w:w="656" w:type="dxa"/>
                                  <w:tcBorders>
                                    <w:top w:val="nil"/>
                                    <w:left w:val="nil"/>
                                    <w:bottom w:val="single" w:sz="8" w:space="0" w:color="auto"/>
                                    <w:right w:val="single" w:sz="8" w:space="0" w:color="auto"/>
                                  </w:tcBorders>
                                  <w:shd w:val="clear" w:color="auto" w:fill="auto"/>
                                  <w:noWrap/>
                                  <w:vAlign w:val="bottom"/>
                                  <w:hideMark/>
                                </w:tcPr>
                                <w:p w14:paraId="64EEF207"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Deal</w:t>
                                  </w:r>
                                </w:p>
                              </w:tc>
                              <w:tc>
                                <w:tcPr>
                                  <w:tcW w:w="656" w:type="dxa"/>
                                  <w:tcBorders>
                                    <w:top w:val="nil"/>
                                    <w:left w:val="nil"/>
                                    <w:bottom w:val="single" w:sz="8" w:space="0" w:color="auto"/>
                                    <w:right w:val="single" w:sz="8" w:space="0" w:color="auto"/>
                                  </w:tcBorders>
                                  <w:shd w:val="clear" w:color="auto" w:fill="auto"/>
                                  <w:noWrap/>
                                  <w:vAlign w:val="bottom"/>
                                  <w:hideMark/>
                                </w:tcPr>
                                <w:p w14:paraId="3DC7D58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Profit</w:t>
                                  </w:r>
                                </w:p>
                              </w:tc>
                              <w:tc>
                                <w:tcPr>
                                  <w:tcW w:w="656" w:type="dxa"/>
                                  <w:tcBorders>
                                    <w:top w:val="nil"/>
                                    <w:left w:val="nil"/>
                                    <w:bottom w:val="single" w:sz="8" w:space="0" w:color="auto"/>
                                    <w:right w:val="single" w:sz="8" w:space="0" w:color="auto"/>
                                  </w:tcBorders>
                                  <w:shd w:val="clear" w:color="auto" w:fill="auto"/>
                                  <w:noWrap/>
                                  <w:vAlign w:val="bottom"/>
                                  <w:hideMark/>
                                </w:tcPr>
                                <w:p w14:paraId="3658685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CS</w:t>
                                  </w:r>
                                </w:p>
                              </w:tc>
                              <w:tc>
                                <w:tcPr>
                                  <w:tcW w:w="750" w:type="dxa"/>
                                  <w:tcBorders>
                                    <w:top w:val="nil"/>
                                    <w:left w:val="nil"/>
                                    <w:bottom w:val="single" w:sz="8" w:space="0" w:color="auto"/>
                                    <w:right w:val="single" w:sz="8" w:space="0" w:color="auto"/>
                                  </w:tcBorders>
                                  <w:shd w:val="clear" w:color="auto" w:fill="auto"/>
                                  <w:noWrap/>
                                  <w:vAlign w:val="bottom"/>
                                  <w:hideMark/>
                                </w:tcPr>
                                <w:p w14:paraId="78A80E46"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Growth</w:t>
                                  </w:r>
                                </w:p>
                              </w:tc>
                              <w:tc>
                                <w:tcPr>
                                  <w:tcW w:w="857" w:type="dxa"/>
                                  <w:tcBorders>
                                    <w:top w:val="nil"/>
                                    <w:left w:val="nil"/>
                                    <w:bottom w:val="single" w:sz="8" w:space="0" w:color="auto"/>
                                    <w:right w:val="single" w:sz="8" w:space="0" w:color="auto"/>
                                  </w:tcBorders>
                                  <w:shd w:val="clear" w:color="auto" w:fill="auto"/>
                                  <w:noWrap/>
                                  <w:vAlign w:val="bottom"/>
                                  <w:hideMark/>
                                </w:tcPr>
                                <w:p w14:paraId="62387B81"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Liquidity</w:t>
                                  </w:r>
                                </w:p>
                              </w:tc>
                              <w:tc>
                                <w:tcPr>
                                  <w:tcW w:w="656" w:type="dxa"/>
                                  <w:tcBorders>
                                    <w:top w:val="nil"/>
                                    <w:left w:val="nil"/>
                                    <w:bottom w:val="single" w:sz="8" w:space="0" w:color="auto"/>
                                    <w:right w:val="single" w:sz="8" w:space="0" w:color="auto"/>
                                  </w:tcBorders>
                                  <w:shd w:val="clear" w:color="auto" w:fill="auto"/>
                                  <w:noWrap/>
                                  <w:vAlign w:val="bottom"/>
                                  <w:hideMark/>
                                </w:tcPr>
                                <w:p w14:paraId="2BE6E93E"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 xml:space="preserve">Size </w:t>
                                  </w:r>
                                </w:p>
                              </w:tc>
                              <w:tc>
                                <w:tcPr>
                                  <w:tcW w:w="732" w:type="dxa"/>
                                  <w:tcBorders>
                                    <w:top w:val="nil"/>
                                    <w:left w:val="nil"/>
                                    <w:bottom w:val="single" w:sz="8" w:space="0" w:color="auto"/>
                                    <w:right w:val="single" w:sz="8" w:space="0" w:color="auto"/>
                                  </w:tcBorders>
                                  <w:shd w:val="clear" w:color="auto" w:fill="auto"/>
                                  <w:noWrap/>
                                  <w:vAlign w:val="bottom"/>
                                  <w:hideMark/>
                                </w:tcPr>
                                <w:p w14:paraId="548EC02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Sector1</w:t>
                                  </w:r>
                                </w:p>
                              </w:tc>
                              <w:tc>
                                <w:tcPr>
                                  <w:tcW w:w="732" w:type="dxa"/>
                                  <w:tcBorders>
                                    <w:top w:val="nil"/>
                                    <w:left w:val="nil"/>
                                    <w:bottom w:val="single" w:sz="8" w:space="0" w:color="auto"/>
                                    <w:right w:val="single" w:sz="8" w:space="0" w:color="auto"/>
                                  </w:tcBorders>
                                  <w:shd w:val="clear" w:color="auto" w:fill="auto"/>
                                  <w:noWrap/>
                                  <w:vAlign w:val="bottom"/>
                                  <w:hideMark/>
                                </w:tcPr>
                                <w:p w14:paraId="036E365E"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Sector2</w:t>
                                  </w:r>
                                </w:p>
                              </w:tc>
                              <w:tc>
                                <w:tcPr>
                                  <w:tcW w:w="732" w:type="dxa"/>
                                  <w:tcBorders>
                                    <w:top w:val="nil"/>
                                    <w:left w:val="nil"/>
                                    <w:bottom w:val="single" w:sz="8" w:space="0" w:color="auto"/>
                                    <w:right w:val="single" w:sz="8" w:space="0" w:color="auto"/>
                                  </w:tcBorders>
                                  <w:shd w:val="clear" w:color="auto" w:fill="auto"/>
                                  <w:noWrap/>
                                  <w:vAlign w:val="bottom"/>
                                  <w:hideMark/>
                                </w:tcPr>
                                <w:p w14:paraId="36286F5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Sector3</w:t>
                                  </w:r>
                                </w:p>
                              </w:tc>
                              <w:tc>
                                <w:tcPr>
                                  <w:tcW w:w="732" w:type="dxa"/>
                                  <w:tcBorders>
                                    <w:top w:val="nil"/>
                                    <w:left w:val="nil"/>
                                    <w:bottom w:val="single" w:sz="8" w:space="0" w:color="auto"/>
                                    <w:right w:val="single" w:sz="8" w:space="0" w:color="auto"/>
                                  </w:tcBorders>
                                  <w:shd w:val="clear" w:color="auto" w:fill="auto"/>
                                  <w:noWrap/>
                                  <w:vAlign w:val="bottom"/>
                                  <w:hideMark/>
                                </w:tcPr>
                                <w:p w14:paraId="4844497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Sector4</w:t>
                                  </w:r>
                                </w:p>
                              </w:tc>
                              <w:tc>
                                <w:tcPr>
                                  <w:tcW w:w="732" w:type="dxa"/>
                                  <w:tcBorders>
                                    <w:top w:val="nil"/>
                                    <w:left w:val="nil"/>
                                    <w:bottom w:val="single" w:sz="8" w:space="0" w:color="auto"/>
                                    <w:right w:val="single" w:sz="8" w:space="0" w:color="auto"/>
                                  </w:tcBorders>
                                  <w:shd w:val="clear" w:color="auto" w:fill="auto"/>
                                  <w:noWrap/>
                                  <w:vAlign w:val="bottom"/>
                                  <w:hideMark/>
                                </w:tcPr>
                                <w:p w14:paraId="7EC3A43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Sector5</w:t>
                                  </w:r>
                                </w:p>
                              </w:tc>
                              <w:tc>
                                <w:tcPr>
                                  <w:tcW w:w="732" w:type="dxa"/>
                                  <w:tcBorders>
                                    <w:top w:val="nil"/>
                                    <w:left w:val="nil"/>
                                    <w:bottom w:val="single" w:sz="8" w:space="0" w:color="auto"/>
                                    <w:right w:val="single" w:sz="8" w:space="0" w:color="auto"/>
                                  </w:tcBorders>
                                  <w:shd w:val="clear" w:color="auto" w:fill="auto"/>
                                  <w:noWrap/>
                                  <w:vAlign w:val="bottom"/>
                                  <w:hideMark/>
                                </w:tcPr>
                                <w:p w14:paraId="3280869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Sector6</w:t>
                                  </w:r>
                                </w:p>
                              </w:tc>
                              <w:tc>
                                <w:tcPr>
                                  <w:tcW w:w="732" w:type="dxa"/>
                                  <w:tcBorders>
                                    <w:top w:val="nil"/>
                                    <w:left w:val="nil"/>
                                    <w:bottom w:val="single" w:sz="8" w:space="0" w:color="auto"/>
                                    <w:right w:val="single" w:sz="8" w:space="0" w:color="auto"/>
                                  </w:tcBorders>
                                  <w:shd w:val="clear" w:color="auto" w:fill="auto"/>
                                  <w:noWrap/>
                                  <w:vAlign w:val="bottom"/>
                                  <w:hideMark/>
                                </w:tcPr>
                                <w:p w14:paraId="07B8EF6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Sector7</w:t>
                                  </w:r>
                                </w:p>
                              </w:tc>
                            </w:tr>
                            <w:tr w:rsidR="008E5542" w:rsidRPr="00CA0B89" w14:paraId="45A01C1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3B6E0A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DPR</w:t>
                                  </w:r>
                                </w:p>
                              </w:tc>
                              <w:tc>
                                <w:tcPr>
                                  <w:tcW w:w="896" w:type="dxa"/>
                                  <w:tcBorders>
                                    <w:top w:val="nil"/>
                                    <w:left w:val="nil"/>
                                    <w:bottom w:val="single" w:sz="4" w:space="0" w:color="auto"/>
                                    <w:right w:val="single" w:sz="4" w:space="0" w:color="auto"/>
                                  </w:tcBorders>
                                  <w:shd w:val="clear" w:color="auto" w:fill="auto"/>
                                  <w:noWrap/>
                                  <w:vAlign w:val="bottom"/>
                                  <w:hideMark/>
                                </w:tcPr>
                                <w:p w14:paraId="69D5F0D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4F843C9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F1575A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5503B4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41FDD2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41711C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2B54206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56AFE2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4A4307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9E46EC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B7B3D9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1F757A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8EB3EB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43D10B0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A61E6C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2A6371A2"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Deal</w:t>
                                  </w:r>
                                </w:p>
                              </w:tc>
                              <w:tc>
                                <w:tcPr>
                                  <w:tcW w:w="896" w:type="dxa"/>
                                  <w:tcBorders>
                                    <w:top w:val="nil"/>
                                    <w:left w:val="nil"/>
                                    <w:bottom w:val="single" w:sz="4" w:space="0" w:color="auto"/>
                                    <w:right w:val="single" w:sz="4" w:space="0" w:color="auto"/>
                                  </w:tcBorders>
                                  <w:shd w:val="clear" w:color="auto" w:fill="auto"/>
                                  <w:noWrap/>
                                  <w:vAlign w:val="bottom"/>
                                  <w:hideMark/>
                                </w:tcPr>
                                <w:p w14:paraId="440B194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0.0752</w:t>
                                  </w:r>
                                </w:p>
                              </w:tc>
                              <w:tc>
                                <w:tcPr>
                                  <w:tcW w:w="656" w:type="dxa"/>
                                  <w:tcBorders>
                                    <w:top w:val="nil"/>
                                    <w:left w:val="nil"/>
                                    <w:bottom w:val="single" w:sz="4" w:space="0" w:color="auto"/>
                                    <w:right w:val="single" w:sz="4" w:space="0" w:color="auto"/>
                                  </w:tcBorders>
                                  <w:shd w:val="clear" w:color="auto" w:fill="auto"/>
                                  <w:noWrap/>
                                  <w:vAlign w:val="bottom"/>
                                  <w:hideMark/>
                                </w:tcPr>
                                <w:p w14:paraId="78D6D42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6495979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59E530F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4894DEB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123091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6C3F74B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96DA8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EDAF2B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09E1AD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C77909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1F250A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0C530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4BD94C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37694DFA"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48DEF3E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Profit</w:t>
                                  </w:r>
                                </w:p>
                              </w:tc>
                              <w:tc>
                                <w:tcPr>
                                  <w:tcW w:w="896" w:type="dxa"/>
                                  <w:tcBorders>
                                    <w:top w:val="nil"/>
                                    <w:left w:val="nil"/>
                                    <w:bottom w:val="single" w:sz="4" w:space="0" w:color="auto"/>
                                    <w:right w:val="single" w:sz="4" w:space="0" w:color="auto"/>
                                  </w:tcBorders>
                                  <w:shd w:val="clear" w:color="auto" w:fill="auto"/>
                                  <w:noWrap/>
                                  <w:vAlign w:val="bottom"/>
                                  <w:hideMark/>
                                </w:tcPr>
                                <w:p w14:paraId="2C40953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0.1584</w:t>
                                  </w:r>
                                </w:p>
                              </w:tc>
                              <w:tc>
                                <w:tcPr>
                                  <w:tcW w:w="656" w:type="dxa"/>
                                  <w:tcBorders>
                                    <w:top w:val="nil"/>
                                    <w:left w:val="nil"/>
                                    <w:bottom w:val="single" w:sz="4" w:space="0" w:color="auto"/>
                                    <w:right w:val="single" w:sz="4" w:space="0" w:color="auto"/>
                                  </w:tcBorders>
                                  <w:shd w:val="clear" w:color="auto" w:fill="auto"/>
                                  <w:noWrap/>
                                  <w:vAlign w:val="bottom"/>
                                  <w:hideMark/>
                                </w:tcPr>
                                <w:p w14:paraId="44A8B80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0.0173</w:t>
                                  </w:r>
                                </w:p>
                              </w:tc>
                              <w:tc>
                                <w:tcPr>
                                  <w:tcW w:w="656" w:type="dxa"/>
                                  <w:tcBorders>
                                    <w:top w:val="nil"/>
                                    <w:left w:val="nil"/>
                                    <w:bottom w:val="single" w:sz="4" w:space="0" w:color="auto"/>
                                    <w:right w:val="single" w:sz="4" w:space="0" w:color="auto"/>
                                  </w:tcBorders>
                                  <w:shd w:val="clear" w:color="auto" w:fill="auto"/>
                                  <w:noWrap/>
                                  <w:vAlign w:val="bottom"/>
                                  <w:hideMark/>
                                </w:tcPr>
                                <w:p w14:paraId="17A8604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318229B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6986DB2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759204D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7DD0833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347EB5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91B5DC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69E8EB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7AA78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1CD6CF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0DAD19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75A78A1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0E84E506"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5DE13D8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CS</w:t>
                                  </w:r>
                                </w:p>
                              </w:tc>
                              <w:tc>
                                <w:tcPr>
                                  <w:tcW w:w="896" w:type="dxa"/>
                                  <w:tcBorders>
                                    <w:top w:val="nil"/>
                                    <w:left w:val="nil"/>
                                    <w:bottom w:val="single" w:sz="4" w:space="0" w:color="auto"/>
                                    <w:right w:val="single" w:sz="4" w:space="0" w:color="auto"/>
                                  </w:tcBorders>
                                  <w:shd w:val="clear" w:color="auto" w:fill="auto"/>
                                  <w:noWrap/>
                                  <w:vAlign w:val="bottom"/>
                                  <w:hideMark/>
                                </w:tcPr>
                                <w:p w14:paraId="2501FF0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0.0515</w:t>
                                  </w:r>
                                </w:p>
                              </w:tc>
                              <w:tc>
                                <w:tcPr>
                                  <w:tcW w:w="656" w:type="dxa"/>
                                  <w:tcBorders>
                                    <w:top w:val="nil"/>
                                    <w:left w:val="nil"/>
                                    <w:bottom w:val="single" w:sz="4" w:space="0" w:color="auto"/>
                                    <w:right w:val="single" w:sz="4" w:space="0" w:color="auto"/>
                                  </w:tcBorders>
                                  <w:shd w:val="clear" w:color="auto" w:fill="auto"/>
                                  <w:noWrap/>
                                  <w:vAlign w:val="bottom"/>
                                  <w:hideMark/>
                                </w:tcPr>
                                <w:p w14:paraId="58A1254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0.0730</w:t>
                                  </w:r>
                                </w:p>
                              </w:tc>
                              <w:tc>
                                <w:tcPr>
                                  <w:tcW w:w="656" w:type="dxa"/>
                                  <w:tcBorders>
                                    <w:top w:val="nil"/>
                                    <w:left w:val="nil"/>
                                    <w:bottom w:val="single" w:sz="4" w:space="0" w:color="auto"/>
                                    <w:right w:val="single" w:sz="4" w:space="0" w:color="auto"/>
                                  </w:tcBorders>
                                  <w:shd w:val="clear" w:color="auto" w:fill="auto"/>
                                  <w:noWrap/>
                                  <w:vAlign w:val="bottom"/>
                                  <w:hideMark/>
                                </w:tcPr>
                                <w:p w14:paraId="391FF30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0.3423</w:t>
                                  </w:r>
                                </w:p>
                              </w:tc>
                              <w:tc>
                                <w:tcPr>
                                  <w:tcW w:w="656" w:type="dxa"/>
                                  <w:tcBorders>
                                    <w:top w:val="nil"/>
                                    <w:left w:val="nil"/>
                                    <w:bottom w:val="single" w:sz="4" w:space="0" w:color="auto"/>
                                    <w:right w:val="single" w:sz="4" w:space="0" w:color="auto"/>
                                  </w:tcBorders>
                                  <w:shd w:val="clear" w:color="auto" w:fill="auto"/>
                                  <w:noWrap/>
                                  <w:vAlign w:val="bottom"/>
                                  <w:hideMark/>
                                </w:tcPr>
                                <w:p w14:paraId="19BC26E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50" w:type="dxa"/>
                                  <w:tcBorders>
                                    <w:top w:val="nil"/>
                                    <w:left w:val="nil"/>
                                    <w:bottom w:val="single" w:sz="4" w:space="0" w:color="auto"/>
                                    <w:right w:val="single" w:sz="4" w:space="0" w:color="auto"/>
                                  </w:tcBorders>
                                  <w:shd w:val="clear" w:color="auto" w:fill="auto"/>
                                  <w:noWrap/>
                                  <w:vAlign w:val="bottom"/>
                                  <w:hideMark/>
                                </w:tcPr>
                                <w:p w14:paraId="622CEB9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7057F0B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78BAF1B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6D8449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1CCFEF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05F4CC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31288A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91228C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B2D1D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3F2877B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4B106867"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B52C63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Growth</w:t>
                                  </w:r>
                                </w:p>
                              </w:tc>
                              <w:tc>
                                <w:tcPr>
                                  <w:tcW w:w="896" w:type="dxa"/>
                                  <w:tcBorders>
                                    <w:top w:val="nil"/>
                                    <w:left w:val="nil"/>
                                    <w:bottom w:val="single" w:sz="4" w:space="0" w:color="auto"/>
                                    <w:right w:val="single" w:sz="4" w:space="0" w:color="auto"/>
                                  </w:tcBorders>
                                  <w:shd w:val="clear" w:color="auto" w:fill="auto"/>
                                  <w:noWrap/>
                                  <w:vAlign w:val="bottom"/>
                                  <w:hideMark/>
                                </w:tcPr>
                                <w:p w14:paraId="518BC85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0.0553</w:t>
                                  </w:r>
                                </w:p>
                              </w:tc>
                              <w:tc>
                                <w:tcPr>
                                  <w:tcW w:w="656" w:type="dxa"/>
                                  <w:tcBorders>
                                    <w:top w:val="nil"/>
                                    <w:left w:val="nil"/>
                                    <w:bottom w:val="single" w:sz="4" w:space="0" w:color="auto"/>
                                    <w:right w:val="single" w:sz="4" w:space="0" w:color="auto"/>
                                  </w:tcBorders>
                                  <w:shd w:val="clear" w:color="auto" w:fill="auto"/>
                                  <w:noWrap/>
                                  <w:vAlign w:val="bottom"/>
                                  <w:hideMark/>
                                </w:tcPr>
                                <w:p w14:paraId="7A914B3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0.1041</w:t>
                                  </w:r>
                                </w:p>
                              </w:tc>
                              <w:tc>
                                <w:tcPr>
                                  <w:tcW w:w="656" w:type="dxa"/>
                                  <w:tcBorders>
                                    <w:top w:val="nil"/>
                                    <w:left w:val="nil"/>
                                    <w:bottom w:val="single" w:sz="4" w:space="0" w:color="auto"/>
                                    <w:right w:val="single" w:sz="4" w:space="0" w:color="auto"/>
                                  </w:tcBorders>
                                  <w:shd w:val="clear" w:color="auto" w:fill="auto"/>
                                  <w:noWrap/>
                                  <w:vAlign w:val="bottom"/>
                                  <w:hideMark/>
                                </w:tcPr>
                                <w:p w14:paraId="32FFF4E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0.1101</w:t>
                                  </w:r>
                                </w:p>
                              </w:tc>
                              <w:tc>
                                <w:tcPr>
                                  <w:tcW w:w="656" w:type="dxa"/>
                                  <w:tcBorders>
                                    <w:top w:val="nil"/>
                                    <w:left w:val="nil"/>
                                    <w:bottom w:val="single" w:sz="4" w:space="0" w:color="auto"/>
                                    <w:right w:val="single" w:sz="4" w:space="0" w:color="auto"/>
                                  </w:tcBorders>
                                  <w:shd w:val="clear" w:color="auto" w:fill="auto"/>
                                  <w:noWrap/>
                                  <w:vAlign w:val="bottom"/>
                                  <w:hideMark/>
                                </w:tcPr>
                                <w:p w14:paraId="2063B72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0.2683</w:t>
                                  </w:r>
                                </w:p>
                              </w:tc>
                              <w:tc>
                                <w:tcPr>
                                  <w:tcW w:w="750" w:type="dxa"/>
                                  <w:tcBorders>
                                    <w:top w:val="nil"/>
                                    <w:left w:val="nil"/>
                                    <w:bottom w:val="single" w:sz="4" w:space="0" w:color="auto"/>
                                    <w:right w:val="single" w:sz="4" w:space="0" w:color="auto"/>
                                  </w:tcBorders>
                                  <w:shd w:val="clear" w:color="auto" w:fill="auto"/>
                                  <w:noWrap/>
                                  <w:vAlign w:val="bottom"/>
                                  <w:hideMark/>
                                </w:tcPr>
                                <w:p w14:paraId="2C7666E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857" w:type="dxa"/>
                                  <w:tcBorders>
                                    <w:top w:val="nil"/>
                                    <w:left w:val="nil"/>
                                    <w:bottom w:val="single" w:sz="4" w:space="0" w:color="auto"/>
                                    <w:right w:val="single" w:sz="4" w:space="0" w:color="auto"/>
                                  </w:tcBorders>
                                  <w:shd w:val="clear" w:color="auto" w:fill="auto"/>
                                  <w:noWrap/>
                                  <w:vAlign w:val="bottom"/>
                                  <w:hideMark/>
                                </w:tcPr>
                                <w:p w14:paraId="5557736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6F41AE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DB9D96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DD52B9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5F51E8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7A144D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0DAA22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E8AA46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77D1EA2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3EF36D61"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4F82250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Liquidity</w:t>
                                  </w:r>
                                </w:p>
                              </w:tc>
                              <w:tc>
                                <w:tcPr>
                                  <w:tcW w:w="896" w:type="dxa"/>
                                  <w:tcBorders>
                                    <w:top w:val="nil"/>
                                    <w:left w:val="nil"/>
                                    <w:bottom w:val="single" w:sz="4" w:space="0" w:color="auto"/>
                                    <w:right w:val="single" w:sz="4" w:space="0" w:color="auto"/>
                                  </w:tcBorders>
                                  <w:shd w:val="clear" w:color="auto" w:fill="auto"/>
                                  <w:noWrap/>
                                  <w:vAlign w:val="bottom"/>
                                  <w:hideMark/>
                                </w:tcPr>
                                <w:p w14:paraId="4ED3C081" w14:textId="77777777" w:rsidR="008E5542" w:rsidRPr="00CA0B89" w:rsidRDefault="008E5542" w:rsidP="009B2BD2">
                                  <w:pPr>
                                    <w:spacing w:after="0" w:line="240" w:lineRule="auto"/>
                                    <w:ind w:left="0" w:firstLine="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0.</w:t>
                                  </w:r>
                                  <w:r w:rsidRPr="00CA0B89">
                                    <w:rPr>
                                      <w:rFonts w:ascii="Times New Roman" w:eastAsia="Times New Roman" w:hAnsi="Times New Roman" w:cs="Times New Roman"/>
                                      <w:sz w:val="16"/>
                                      <w:szCs w:val="16"/>
                                    </w:rPr>
                                    <w:t>1331</w:t>
                                  </w:r>
                                </w:p>
                              </w:tc>
                              <w:tc>
                                <w:tcPr>
                                  <w:tcW w:w="656" w:type="dxa"/>
                                  <w:tcBorders>
                                    <w:top w:val="nil"/>
                                    <w:left w:val="nil"/>
                                    <w:bottom w:val="single" w:sz="4" w:space="0" w:color="auto"/>
                                    <w:right w:val="single" w:sz="4" w:space="0" w:color="auto"/>
                                  </w:tcBorders>
                                  <w:shd w:val="clear" w:color="auto" w:fill="auto"/>
                                  <w:noWrap/>
                                  <w:vAlign w:val="bottom"/>
                                  <w:hideMark/>
                                </w:tcPr>
                                <w:p w14:paraId="2C8D06D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0.0315</w:t>
                                  </w:r>
                                </w:p>
                              </w:tc>
                              <w:tc>
                                <w:tcPr>
                                  <w:tcW w:w="656" w:type="dxa"/>
                                  <w:tcBorders>
                                    <w:top w:val="nil"/>
                                    <w:left w:val="nil"/>
                                    <w:bottom w:val="single" w:sz="4" w:space="0" w:color="auto"/>
                                    <w:right w:val="single" w:sz="4" w:space="0" w:color="auto"/>
                                  </w:tcBorders>
                                  <w:shd w:val="clear" w:color="auto" w:fill="auto"/>
                                  <w:noWrap/>
                                  <w:vAlign w:val="bottom"/>
                                  <w:hideMark/>
                                </w:tcPr>
                                <w:p w14:paraId="394BD7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0.1038</w:t>
                                  </w:r>
                                </w:p>
                              </w:tc>
                              <w:tc>
                                <w:tcPr>
                                  <w:tcW w:w="656" w:type="dxa"/>
                                  <w:tcBorders>
                                    <w:top w:val="nil"/>
                                    <w:left w:val="nil"/>
                                    <w:bottom w:val="single" w:sz="4" w:space="0" w:color="auto"/>
                                    <w:right w:val="single" w:sz="4" w:space="0" w:color="auto"/>
                                  </w:tcBorders>
                                  <w:shd w:val="clear" w:color="auto" w:fill="auto"/>
                                  <w:noWrap/>
                                  <w:vAlign w:val="bottom"/>
                                  <w:hideMark/>
                                </w:tcPr>
                                <w:p w14:paraId="2D940CF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0.4451</w:t>
                                  </w:r>
                                </w:p>
                              </w:tc>
                              <w:tc>
                                <w:tcPr>
                                  <w:tcW w:w="750" w:type="dxa"/>
                                  <w:tcBorders>
                                    <w:top w:val="nil"/>
                                    <w:left w:val="nil"/>
                                    <w:bottom w:val="single" w:sz="4" w:space="0" w:color="auto"/>
                                    <w:right w:val="single" w:sz="4" w:space="0" w:color="auto"/>
                                  </w:tcBorders>
                                  <w:shd w:val="clear" w:color="auto" w:fill="auto"/>
                                  <w:noWrap/>
                                  <w:vAlign w:val="bottom"/>
                                  <w:hideMark/>
                                </w:tcPr>
                                <w:p w14:paraId="23C3666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0.1972</w:t>
                                  </w:r>
                                </w:p>
                              </w:tc>
                              <w:tc>
                                <w:tcPr>
                                  <w:tcW w:w="857" w:type="dxa"/>
                                  <w:tcBorders>
                                    <w:top w:val="nil"/>
                                    <w:left w:val="nil"/>
                                    <w:bottom w:val="single" w:sz="4" w:space="0" w:color="auto"/>
                                    <w:right w:val="single" w:sz="4" w:space="0" w:color="auto"/>
                                  </w:tcBorders>
                                  <w:shd w:val="clear" w:color="auto" w:fill="auto"/>
                                  <w:noWrap/>
                                  <w:vAlign w:val="bottom"/>
                                  <w:hideMark/>
                                </w:tcPr>
                                <w:p w14:paraId="1A3C807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1E19498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B26498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6E0CF6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981CE8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3DCF3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E7C02A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67E378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32509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5ABA2B32"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BB7F44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Size</w:t>
                                  </w:r>
                                </w:p>
                              </w:tc>
                              <w:tc>
                                <w:tcPr>
                                  <w:tcW w:w="896" w:type="dxa"/>
                                  <w:tcBorders>
                                    <w:top w:val="nil"/>
                                    <w:left w:val="nil"/>
                                    <w:bottom w:val="single" w:sz="4" w:space="0" w:color="auto"/>
                                    <w:right w:val="single" w:sz="4" w:space="0" w:color="auto"/>
                                  </w:tcBorders>
                                  <w:shd w:val="clear" w:color="auto" w:fill="auto"/>
                                  <w:noWrap/>
                                  <w:vAlign w:val="bottom"/>
                                  <w:hideMark/>
                                </w:tcPr>
                                <w:p w14:paraId="7B23816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0.0405</w:t>
                                  </w:r>
                                </w:p>
                              </w:tc>
                              <w:tc>
                                <w:tcPr>
                                  <w:tcW w:w="656" w:type="dxa"/>
                                  <w:tcBorders>
                                    <w:top w:val="nil"/>
                                    <w:left w:val="nil"/>
                                    <w:bottom w:val="single" w:sz="4" w:space="0" w:color="auto"/>
                                    <w:right w:val="single" w:sz="4" w:space="0" w:color="auto"/>
                                  </w:tcBorders>
                                  <w:shd w:val="clear" w:color="auto" w:fill="auto"/>
                                  <w:noWrap/>
                                  <w:vAlign w:val="bottom"/>
                                  <w:hideMark/>
                                </w:tcPr>
                                <w:p w14:paraId="1C27B03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0.2911</w:t>
                                  </w:r>
                                </w:p>
                              </w:tc>
                              <w:tc>
                                <w:tcPr>
                                  <w:tcW w:w="656" w:type="dxa"/>
                                  <w:tcBorders>
                                    <w:top w:val="nil"/>
                                    <w:left w:val="nil"/>
                                    <w:bottom w:val="single" w:sz="4" w:space="0" w:color="auto"/>
                                    <w:right w:val="single" w:sz="4" w:space="0" w:color="auto"/>
                                  </w:tcBorders>
                                  <w:shd w:val="clear" w:color="auto" w:fill="auto"/>
                                  <w:noWrap/>
                                  <w:vAlign w:val="bottom"/>
                                  <w:hideMark/>
                                </w:tcPr>
                                <w:p w14:paraId="39A12F5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0.3646</w:t>
                                  </w:r>
                                </w:p>
                              </w:tc>
                              <w:tc>
                                <w:tcPr>
                                  <w:tcW w:w="656" w:type="dxa"/>
                                  <w:tcBorders>
                                    <w:top w:val="nil"/>
                                    <w:left w:val="nil"/>
                                    <w:bottom w:val="single" w:sz="4" w:space="0" w:color="auto"/>
                                    <w:right w:val="single" w:sz="4" w:space="0" w:color="auto"/>
                                  </w:tcBorders>
                                  <w:shd w:val="clear" w:color="auto" w:fill="auto"/>
                                  <w:noWrap/>
                                  <w:vAlign w:val="bottom"/>
                                  <w:hideMark/>
                                </w:tcPr>
                                <w:p w14:paraId="77A1D6E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0.4141</w:t>
                                  </w:r>
                                </w:p>
                              </w:tc>
                              <w:tc>
                                <w:tcPr>
                                  <w:tcW w:w="750" w:type="dxa"/>
                                  <w:tcBorders>
                                    <w:top w:val="nil"/>
                                    <w:left w:val="nil"/>
                                    <w:bottom w:val="single" w:sz="4" w:space="0" w:color="auto"/>
                                    <w:right w:val="single" w:sz="4" w:space="0" w:color="auto"/>
                                  </w:tcBorders>
                                  <w:shd w:val="clear" w:color="auto" w:fill="auto"/>
                                  <w:noWrap/>
                                  <w:vAlign w:val="bottom"/>
                                  <w:hideMark/>
                                </w:tcPr>
                                <w:p w14:paraId="16BE1B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0.0317</w:t>
                                  </w:r>
                                </w:p>
                              </w:tc>
                              <w:tc>
                                <w:tcPr>
                                  <w:tcW w:w="857" w:type="dxa"/>
                                  <w:tcBorders>
                                    <w:top w:val="nil"/>
                                    <w:left w:val="nil"/>
                                    <w:bottom w:val="single" w:sz="4" w:space="0" w:color="auto"/>
                                    <w:right w:val="single" w:sz="4" w:space="0" w:color="auto"/>
                                  </w:tcBorders>
                                  <w:shd w:val="clear" w:color="auto" w:fill="auto"/>
                                  <w:noWrap/>
                                  <w:vAlign w:val="bottom"/>
                                  <w:hideMark/>
                                </w:tcPr>
                                <w:p w14:paraId="1633127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0.2594</w:t>
                                  </w:r>
                                </w:p>
                              </w:tc>
                              <w:tc>
                                <w:tcPr>
                                  <w:tcW w:w="656" w:type="dxa"/>
                                  <w:tcBorders>
                                    <w:top w:val="nil"/>
                                    <w:left w:val="nil"/>
                                    <w:bottom w:val="single" w:sz="4" w:space="0" w:color="auto"/>
                                    <w:right w:val="single" w:sz="4" w:space="0" w:color="auto"/>
                                  </w:tcBorders>
                                  <w:shd w:val="clear" w:color="auto" w:fill="auto"/>
                                  <w:noWrap/>
                                  <w:vAlign w:val="bottom"/>
                                  <w:hideMark/>
                                </w:tcPr>
                                <w:p w14:paraId="4059165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34BA9B5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5E51D2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19B8FB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7E5751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CAA95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1CF0CF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F30B5C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15F1CA1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3317F4D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Sector1</w:t>
                                  </w:r>
                                </w:p>
                              </w:tc>
                              <w:tc>
                                <w:tcPr>
                                  <w:tcW w:w="896" w:type="dxa"/>
                                  <w:tcBorders>
                                    <w:top w:val="nil"/>
                                    <w:left w:val="nil"/>
                                    <w:bottom w:val="single" w:sz="4" w:space="0" w:color="auto"/>
                                    <w:right w:val="single" w:sz="4" w:space="0" w:color="auto"/>
                                  </w:tcBorders>
                                  <w:shd w:val="clear" w:color="auto" w:fill="auto"/>
                                  <w:noWrap/>
                                  <w:vAlign w:val="bottom"/>
                                  <w:hideMark/>
                                </w:tcPr>
                                <w:p w14:paraId="391856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0.0049</w:t>
                                  </w:r>
                                </w:p>
                              </w:tc>
                              <w:tc>
                                <w:tcPr>
                                  <w:tcW w:w="656" w:type="dxa"/>
                                  <w:tcBorders>
                                    <w:top w:val="nil"/>
                                    <w:left w:val="nil"/>
                                    <w:bottom w:val="single" w:sz="4" w:space="0" w:color="auto"/>
                                    <w:right w:val="single" w:sz="4" w:space="0" w:color="auto"/>
                                  </w:tcBorders>
                                  <w:shd w:val="clear" w:color="auto" w:fill="auto"/>
                                  <w:noWrap/>
                                  <w:vAlign w:val="bottom"/>
                                  <w:hideMark/>
                                </w:tcPr>
                                <w:p w14:paraId="75C63AD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0.0845</w:t>
                                  </w:r>
                                </w:p>
                              </w:tc>
                              <w:tc>
                                <w:tcPr>
                                  <w:tcW w:w="656" w:type="dxa"/>
                                  <w:tcBorders>
                                    <w:top w:val="nil"/>
                                    <w:left w:val="nil"/>
                                    <w:bottom w:val="single" w:sz="4" w:space="0" w:color="auto"/>
                                    <w:right w:val="single" w:sz="4" w:space="0" w:color="auto"/>
                                  </w:tcBorders>
                                  <w:shd w:val="clear" w:color="auto" w:fill="auto"/>
                                  <w:noWrap/>
                                  <w:vAlign w:val="bottom"/>
                                  <w:hideMark/>
                                </w:tcPr>
                                <w:p w14:paraId="50CBC0B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0.1230</w:t>
                                  </w:r>
                                </w:p>
                              </w:tc>
                              <w:tc>
                                <w:tcPr>
                                  <w:tcW w:w="656" w:type="dxa"/>
                                  <w:tcBorders>
                                    <w:top w:val="nil"/>
                                    <w:left w:val="nil"/>
                                    <w:bottom w:val="single" w:sz="4" w:space="0" w:color="auto"/>
                                    <w:right w:val="single" w:sz="4" w:space="0" w:color="auto"/>
                                  </w:tcBorders>
                                  <w:shd w:val="clear" w:color="auto" w:fill="auto"/>
                                  <w:noWrap/>
                                  <w:vAlign w:val="bottom"/>
                                  <w:hideMark/>
                                </w:tcPr>
                                <w:p w14:paraId="33ADF7E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0.0666</w:t>
                                  </w:r>
                                </w:p>
                              </w:tc>
                              <w:tc>
                                <w:tcPr>
                                  <w:tcW w:w="750" w:type="dxa"/>
                                  <w:tcBorders>
                                    <w:top w:val="nil"/>
                                    <w:left w:val="nil"/>
                                    <w:bottom w:val="single" w:sz="4" w:space="0" w:color="auto"/>
                                    <w:right w:val="single" w:sz="4" w:space="0" w:color="auto"/>
                                  </w:tcBorders>
                                  <w:shd w:val="clear" w:color="auto" w:fill="auto"/>
                                  <w:noWrap/>
                                  <w:vAlign w:val="bottom"/>
                                  <w:hideMark/>
                                </w:tcPr>
                                <w:p w14:paraId="340BA884" w14:textId="77777777" w:rsidR="008E5542" w:rsidRPr="00CA0B89" w:rsidRDefault="008E5542" w:rsidP="009B2BD2">
                                  <w:pPr>
                                    <w:spacing w:after="0" w:line="240" w:lineRule="auto"/>
                                    <w:ind w:left="0" w:firstLine="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0</w:t>
                                  </w:r>
                                  <w:r w:rsidRPr="00CA0B89">
                                    <w:rPr>
                                      <w:rFonts w:ascii="Times New Roman" w:eastAsia="Times New Roman" w:hAnsi="Times New Roman" w:cs="Times New Roman"/>
                                      <w:sz w:val="16"/>
                                      <w:szCs w:val="16"/>
                                    </w:rPr>
                                    <w:t>.0395</w:t>
                                  </w:r>
                                </w:p>
                              </w:tc>
                              <w:tc>
                                <w:tcPr>
                                  <w:tcW w:w="857" w:type="dxa"/>
                                  <w:tcBorders>
                                    <w:top w:val="nil"/>
                                    <w:left w:val="nil"/>
                                    <w:bottom w:val="single" w:sz="4" w:space="0" w:color="auto"/>
                                    <w:right w:val="single" w:sz="4" w:space="0" w:color="auto"/>
                                  </w:tcBorders>
                                  <w:shd w:val="clear" w:color="auto" w:fill="auto"/>
                                  <w:noWrap/>
                                  <w:vAlign w:val="bottom"/>
                                  <w:hideMark/>
                                </w:tcPr>
                                <w:p w14:paraId="3E4C9CC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0.0291</w:t>
                                  </w:r>
                                </w:p>
                              </w:tc>
                              <w:tc>
                                <w:tcPr>
                                  <w:tcW w:w="656" w:type="dxa"/>
                                  <w:tcBorders>
                                    <w:top w:val="nil"/>
                                    <w:left w:val="nil"/>
                                    <w:bottom w:val="single" w:sz="4" w:space="0" w:color="auto"/>
                                    <w:right w:val="single" w:sz="4" w:space="0" w:color="auto"/>
                                  </w:tcBorders>
                                  <w:shd w:val="clear" w:color="auto" w:fill="auto"/>
                                  <w:noWrap/>
                                  <w:vAlign w:val="bottom"/>
                                  <w:hideMark/>
                                </w:tcPr>
                                <w:p w14:paraId="1C2678E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0.1380</w:t>
                                  </w:r>
                                </w:p>
                              </w:tc>
                              <w:tc>
                                <w:tcPr>
                                  <w:tcW w:w="732" w:type="dxa"/>
                                  <w:tcBorders>
                                    <w:top w:val="nil"/>
                                    <w:left w:val="nil"/>
                                    <w:bottom w:val="single" w:sz="4" w:space="0" w:color="auto"/>
                                    <w:right w:val="single" w:sz="4" w:space="0" w:color="auto"/>
                                  </w:tcBorders>
                                  <w:shd w:val="clear" w:color="auto" w:fill="auto"/>
                                  <w:noWrap/>
                                  <w:vAlign w:val="bottom"/>
                                  <w:hideMark/>
                                </w:tcPr>
                                <w:p w14:paraId="0AF9C34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2AC5A14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AC9383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47EC03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DA0F23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278377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58F3A44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296D464F"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77E2380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Sector2</w:t>
                                  </w:r>
                                </w:p>
                              </w:tc>
                              <w:tc>
                                <w:tcPr>
                                  <w:tcW w:w="896" w:type="dxa"/>
                                  <w:tcBorders>
                                    <w:top w:val="nil"/>
                                    <w:left w:val="nil"/>
                                    <w:bottom w:val="single" w:sz="4" w:space="0" w:color="auto"/>
                                    <w:right w:val="single" w:sz="4" w:space="0" w:color="auto"/>
                                  </w:tcBorders>
                                  <w:shd w:val="clear" w:color="auto" w:fill="auto"/>
                                  <w:noWrap/>
                                  <w:vAlign w:val="bottom"/>
                                  <w:hideMark/>
                                </w:tcPr>
                                <w:p w14:paraId="3C8C71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0.0887</w:t>
                                  </w:r>
                                </w:p>
                              </w:tc>
                              <w:tc>
                                <w:tcPr>
                                  <w:tcW w:w="656" w:type="dxa"/>
                                  <w:tcBorders>
                                    <w:top w:val="nil"/>
                                    <w:left w:val="nil"/>
                                    <w:bottom w:val="single" w:sz="4" w:space="0" w:color="auto"/>
                                    <w:right w:val="single" w:sz="4" w:space="0" w:color="auto"/>
                                  </w:tcBorders>
                                  <w:shd w:val="clear" w:color="auto" w:fill="auto"/>
                                  <w:noWrap/>
                                  <w:vAlign w:val="bottom"/>
                                  <w:hideMark/>
                                </w:tcPr>
                                <w:p w14:paraId="72F5EEA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0.1520</w:t>
                                  </w:r>
                                </w:p>
                              </w:tc>
                              <w:tc>
                                <w:tcPr>
                                  <w:tcW w:w="656" w:type="dxa"/>
                                  <w:tcBorders>
                                    <w:top w:val="nil"/>
                                    <w:left w:val="nil"/>
                                    <w:bottom w:val="single" w:sz="4" w:space="0" w:color="auto"/>
                                    <w:right w:val="single" w:sz="4" w:space="0" w:color="auto"/>
                                  </w:tcBorders>
                                  <w:shd w:val="clear" w:color="auto" w:fill="auto"/>
                                  <w:noWrap/>
                                  <w:vAlign w:val="bottom"/>
                                  <w:hideMark/>
                                </w:tcPr>
                                <w:p w14:paraId="5FD082A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0.1222</w:t>
                                  </w:r>
                                </w:p>
                              </w:tc>
                              <w:tc>
                                <w:tcPr>
                                  <w:tcW w:w="656" w:type="dxa"/>
                                  <w:tcBorders>
                                    <w:top w:val="nil"/>
                                    <w:left w:val="nil"/>
                                    <w:bottom w:val="single" w:sz="4" w:space="0" w:color="auto"/>
                                    <w:right w:val="single" w:sz="4" w:space="0" w:color="auto"/>
                                  </w:tcBorders>
                                  <w:shd w:val="clear" w:color="auto" w:fill="auto"/>
                                  <w:noWrap/>
                                  <w:vAlign w:val="bottom"/>
                                  <w:hideMark/>
                                </w:tcPr>
                                <w:p w14:paraId="5D32588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0.2129</w:t>
                                  </w:r>
                                </w:p>
                              </w:tc>
                              <w:tc>
                                <w:tcPr>
                                  <w:tcW w:w="750" w:type="dxa"/>
                                  <w:tcBorders>
                                    <w:top w:val="nil"/>
                                    <w:left w:val="nil"/>
                                    <w:bottom w:val="single" w:sz="4" w:space="0" w:color="auto"/>
                                    <w:right w:val="single" w:sz="4" w:space="0" w:color="auto"/>
                                  </w:tcBorders>
                                  <w:shd w:val="clear" w:color="auto" w:fill="auto"/>
                                  <w:noWrap/>
                                  <w:vAlign w:val="bottom"/>
                                  <w:hideMark/>
                                </w:tcPr>
                                <w:p w14:paraId="6F7A1A0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0.1916</w:t>
                                  </w:r>
                                </w:p>
                              </w:tc>
                              <w:tc>
                                <w:tcPr>
                                  <w:tcW w:w="857" w:type="dxa"/>
                                  <w:tcBorders>
                                    <w:top w:val="nil"/>
                                    <w:left w:val="nil"/>
                                    <w:bottom w:val="single" w:sz="4" w:space="0" w:color="auto"/>
                                    <w:right w:val="single" w:sz="4" w:space="0" w:color="auto"/>
                                  </w:tcBorders>
                                  <w:shd w:val="clear" w:color="auto" w:fill="auto"/>
                                  <w:noWrap/>
                                  <w:vAlign w:val="bottom"/>
                                  <w:hideMark/>
                                </w:tcPr>
                                <w:p w14:paraId="3A45CEE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0.0510</w:t>
                                  </w:r>
                                </w:p>
                              </w:tc>
                              <w:tc>
                                <w:tcPr>
                                  <w:tcW w:w="656" w:type="dxa"/>
                                  <w:tcBorders>
                                    <w:top w:val="nil"/>
                                    <w:left w:val="nil"/>
                                    <w:bottom w:val="single" w:sz="4" w:space="0" w:color="auto"/>
                                    <w:right w:val="single" w:sz="4" w:space="0" w:color="auto"/>
                                  </w:tcBorders>
                                  <w:shd w:val="clear" w:color="auto" w:fill="auto"/>
                                  <w:noWrap/>
                                  <w:vAlign w:val="bottom"/>
                                  <w:hideMark/>
                                </w:tcPr>
                                <w:p w14:paraId="231FECC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0.0814</w:t>
                                  </w:r>
                                </w:p>
                              </w:tc>
                              <w:tc>
                                <w:tcPr>
                                  <w:tcW w:w="732" w:type="dxa"/>
                                  <w:tcBorders>
                                    <w:top w:val="nil"/>
                                    <w:left w:val="nil"/>
                                    <w:bottom w:val="single" w:sz="4" w:space="0" w:color="auto"/>
                                    <w:right w:val="single" w:sz="4" w:space="0" w:color="auto"/>
                                  </w:tcBorders>
                                  <w:shd w:val="clear" w:color="auto" w:fill="auto"/>
                                  <w:noWrap/>
                                  <w:vAlign w:val="bottom"/>
                                  <w:hideMark/>
                                </w:tcPr>
                                <w:p w14:paraId="1ACA8AB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0.0702</w:t>
                                  </w:r>
                                </w:p>
                              </w:tc>
                              <w:tc>
                                <w:tcPr>
                                  <w:tcW w:w="732" w:type="dxa"/>
                                  <w:tcBorders>
                                    <w:top w:val="nil"/>
                                    <w:left w:val="nil"/>
                                    <w:bottom w:val="single" w:sz="4" w:space="0" w:color="auto"/>
                                    <w:right w:val="single" w:sz="4" w:space="0" w:color="auto"/>
                                  </w:tcBorders>
                                  <w:shd w:val="clear" w:color="auto" w:fill="auto"/>
                                  <w:noWrap/>
                                  <w:vAlign w:val="bottom"/>
                                  <w:hideMark/>
                                </w:tcPr>
                                <w:p w14:paraId="6738902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00001EA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FA50D1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9F401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0DA15B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980B35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2EC1471"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02F0A8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Sector3</w:t>
                                  </w:r>
                                </w:p>
                              </w:tc>
                              <w:tc>
                                <w:tcPr>
                                  <w:tcW w:w="896" w:type="dxa"/>
                                  <w:tcBorders>
                                    <w:top w:val="nil"/>
                                    <w:left w:val="nil"/>
                                    <w:bottom w:val="single" w:sz="4" w:space="0" w:color="auto"/>
                                    <w:right w:val="single" w:sz="4" w:space="0" w:color="auto"/>
                                  </w:tcBorders>
                                  <w:shd w:val="clear" w:color="auto" w:fill="auto"/>
                                  <w:noWrap/>
                                  <w:vAlign w:val="bottom"/>
                                  <w:hideMark/>
                                </w:tcPr>
                                <w:p w14:paraId="07B3E85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0.0140</w:t>
                                  </w:r>
                                </w:p>
                              </w:tc>
                              <w:tc>
                                <w:tcPr>
                                  <w:tcW w:w="656" w:type="dxa"/>
                                  <w:tcBorders>
                                    <w:top w:val="nil"/>
                                    <w:left w:val="nil"/>
                                    <w:bottom w:val="single" w:sz="4" w:space="0" w:color="auto"/>
                                    <w:right w:val="single" w:sz="4" w:space="0" w:color="auto"/>
                                  </w:tcBorders>
                                  <w:shd w:val="clear" w:color="auto" w:fill="auto"/>
                                  <w:noWrap/>
                                  <w:vAlign w:val="bottom"/>
                                  <w:hideMark/>
                                </w:tcPr>
                                <w:p w14:paraId="1BE4F8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0.0931</w:t>
                                  </w:r>
                                </w:p>
                              </w:tc>
                              <w:tc>
                                <w:tcPr>
                                  <w:tcW w:w="656" w:type="dxa"/>
                                  <w:tcBorders>
                                    <w:top w:val="nil"/>
                                    <w:left w:val="nil"/>
                                    <w:bottom w:val="single" w:sz="4" w:space="0" w:color="auto"/>
                                    <w:right w:val="single" w:sz="4" w:space="0" w:color="auto"/>
                                  </w:tcBorders>
                                  <w:shd w:val="clear" w:color="auto" w:fill="auto"/>
                                  <w:noWrap/>
                                  <w:vAlign w:val="bottom"/>
                                  <w:hideMark/>
                                </w:tcPr>
                                <w:p w14:paraId="3A1AFE2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0.0031</w:t>
                                  </w:r>
                                </w:p>
                              </w:tc>
                              <w:tc>
                                <w:tcPr>
                                  <w:tcW w:w="656" w:type="dxa"/>
                                  <w:tcBorders>
                                    <w:top w:val="nil"/>
                                    <w:left w:val="nil"/>
                                    <w:bottom w:val="single" w:sz="4" w:space="0" w:color="auto"/>
                                    <w:right w:val="single" w:sz="4" w:space="0" w:color="auto"/>
                                  </w:tcBorders>
                                  <w:shd w:val="clear" w:color="auto" w:fill="auto"/>
                                  <w:noWrap/>
                                  <w:vAlign w:val="bottom"/>
                                  <w:hideMark/>
                                </w:tcPr>
                                <w:p w14:paraId="389523D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0.1012</w:t>
                                  </w:r>
                                </w:p>
                              </w:tc>
                              <w:tc>
                                <w:tcPr>
                                  <w:tcW w:w="750" w:type="dxa"/>
                                  <w:tcBorders>
                                    <w:top w:val="nil"/>
                                    <w:left w:val="nil"/>
                                    <w:bottom w:val="single" w:sz="4" w:space="0" w:color="auto"/>
                                    <w:right w:val="single" w:sz="4" w:space="0" w:color="auto"/>
                                  </w:tcBorders>
                                  <w:shd w:val="clear" w:color="auto" w:fill="auto"/>
                                  <w:noWrap/>
                                  <w:vAlign w:val="bottom"/>
                                  <w:hideMark/>
                                </w:tcPr>
                                <w:p w14:paraId="4C8CCA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0.1514</w:t>
                                  </w:r>
                                </w:p>
                              </w:tc>
                              <w:tc>
                                <w:tcPr>
                                  <w:tcW w:w="857" w:type="dxa"/>
                                  <w:tcBorders>
                                    <w:top w:val="nil"/>
                                    <w:left w:val="nil"/>
                                    <w:bottom w:val="single" w:sz="4" w:space="0" w:color="auto"/>
                                    <w:right w:val="single" w:sz="4" w:space="0" w:color="auto"/>
                                  </w:tcBorders>
                                  <w:shd w:val="clear" w:color="auto" w:fill="auto"/>
                                  <w:noWrap/>
                                  <w:vAlign w:val="bottom"/>
                                  <w:hideMark/>
                                </w:tcPr>
                                <w:p w14:paraId="504ABA7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0.0181</w:t>
                                  </w:r>
                                </w:p>
                              </w:tc>
                              <w:tc>
                                <w:tcPr>
                                  <w:tcW w:w="656" w:type="dxa"/>
                                  <w:tcBorders>
                                    <w:top w:val="nil"/>
                                    <w:left w:val="nil"/>
                                    <w:bottom w:val="single" w:sz="4" w:space="0" w:color="auto"/>
                                    <w:right w:val="single" w:sz="4" w:space="0" w:color="auto"/>
                                  </w:tcBorders>
                                  <w:shd w:val="clear" w:color="auto" w:fill="auto"/>
                                  <w:noWrap/>
                                  <w:vAlign w:val="bottom"/>
                                  <w:hideMark/>
                                </w:tcPr>
                                <w:p w14:paraId="5DE0EA4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0.1662</w:t>
                                  </w:r>
                                </w:p>
                              </w:tc>
                              <w:tc>
                                <w:tcPr>
                                  <w:tcW w:w="732" w:type="dxa"/>
                                  <w:tcBorders>
                                    <w:top w:val="nil"/>
                                    <w:left w:val="nil"/>
                                    <w:bottom w:val="single" w:sz="4" w:space="0" w:color="auto"/>
                                    <w:right w:val="single" w:sz="4" w:space="0" w:color="auto"/>
                                  </w:tcBorders>
                                  <w:shd w:val="clear" w:color="auto" w:fill="auto"/>
                                  <w:noWrap/>
                                  <w:vAlign w:val="bottom"/>
                                  <w:hideMark/>
                                </w:tcPr>
                                <w:p w14:paraId="1887BD3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0.0606</w:t>
                                  </w:r>
                                </w:p>
                              </w:tc>
                              <w:tc>
                                <w:tcPr>
                                  <w:tcW w:w="732" w:type="dxa"/>
                                  <w:tcBorders>
                                    <w:top w:val="nil"/>
                                    <w:left w:val="nil"/>
                                    <w:bottom w:val="single" w:sz="4" w:space="0" w:color="auto"/>
                                    <w:right w:val="single" w:sz="4" w:space="0" w:color="auto"/>
                                  </w:tcBorders>
                                  <w:shd w:val="clear" w:color="auto" w:fill="auto"/>
                                  <w:noWrap/>
                                  <w:vAlign w:val="bottom"/>
                                  <w:hideMark/>
                                </w:tcPr>
                                <w:p w14:paraId="2A71EB2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0.2024</w:t>
                                  </w:r>
                                </w:p>
                              </w:tc>
                              <w:tc>
                                <w:tcPr>
                                  <w:tcW w:w="732" w:type="dxa"/>
                                  <w:tcBorders>
                                    <w:top w:val="nil"/>
                                    <w:left w:val="nil"/>
                                    <w:bottom w:val="single" w:sz="4" w:space="0" w:color="auto"/>
                                    <w:right w:val="single" w:sz="4" w:space="0" w:color="auto"/>
                                  </w:tcBorders>
                                  <w:shd w:val="clear" w:color="auto" w:fill="auto"/>
                                  <w:noWrap/>
                                  <w:vAlign w:val="bottom"/>
                                  <w:hideMark/>
                                </w:tcPr>
                                <w:p w14:paraId="6F55FAC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50834B9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7F78D7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EFBBFA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2AF3B82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10F155D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5D92B50"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Sector4</w:t>
                                  </w:r>
                                </w:p>
                              </w:tc>
                              <w:tc>
                                <w:tcPr>
                                  <w:tcW w:w="896" w:type="dxa"/>
                                  <w:tcBorders>
                                    <w:top w:val="nil"/>
                                    <w:left w:val="nil"/>
                                    <w:bottom w:val="single" w:sz="4" w:space="0" w:color="auto"/>
                                    <w:right w:val="single" w:sz="4" w:space="0" w:color="auto"/>
                                  </w:tcBorders>
                                  <w:shd w:val="clear" w:color="auto" w:fill="auto"/>
                                  <w:noWrap/>
                                  <w:vAlign w:val="bottom"/>
                                  <w:hideMark/>
                                </w:tcPr>
                                <w:p w14:paraId="475F63F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0.0163</w:t>
                                  </w:r>
                                </w:p>
                              </w:tc>
                              <w:tc>
                                <w:tcPr>
                                  <w:tcW w:w="656" w:type="dxa"/>
                                  <w:tcBorders>
                                    <w:top w:val="nil"/>
                                    <w:left w:val="nil"/>
                                    <w:bottom w:val="single" w:sz="4" w:space="0" w:color="auto"/>
                                    <w:right w:val="single" w:sz="4" w:space="0" w:color="auto"/>
                                  </w:tcBorders>
                                  <w:shd w:val="clear" w:color="auto" w:fill="auto"/>
                                  <w:noWrap/>
                                  <w:vAlign w:val="bottom"/>
                                  <w:hideMark/>
                                </w:tcPr>
                                <w:p w14:paraId="318BEF8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0.1022</w:t>
                                  </w:r>
                                </w:p>
                              </w:tc>
                              <w:tc>
                                <w:tcPr>
                                  <w:tcW w:w="656" w:type="dxa"/>
                                  <w:tcBorders>
                                    <w:top w:val="nil"/>
                                    <w:left w:val="nil"/>
                                    <w:bottom w:val="single" w:sz="4" w:space="0" w:color="auto"/>
                                    <w:right w:val="single" w:sz="4" w:space="0" w:color="auto"/>
                                  </w:tcBorders>
                                  <w:shd w:val="clear" w:color="auto" w:fill="auto"/>
                                  <w:noWrap/>
                                  <w:vAlign w:val="bottom"/>
                                  <w:hideMark/>
                                </w:tcPr>
                                <w:p w14:paraId="606FCE6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0.1009</w:t>
                                  </w:r>
                                </w:p>
                              </w:tc>
                              <w:tc>
                                <w:tcPr>
                                  <w:tcW w:w="656" w:type="dxa"/>
                                  <w:tcBorders>
                                    <w:top w:val="nil"/>
                                    <w:left w:val="nil"/>
                                    <w:bottom w:val="single" w:sz="4" w:space="0" w:color="auto"/>
                                    <w:right w:val="single" w:sz="4" w:space="0" w:color="auto"/>
                                  </w:tcBorders>
                                  <w:shd w:val="clear" w:color="auto" w:fill="auto"/>
                                  <w:noWrap/>
                                  <w:vAlign w:val="bottom"/>
                                  <w:hideMark/>
                                </w:tcPr>
                                <w:p w14:paraId="3C4D20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0.1273</w:t>
                                  </w:r>
                                </w:p>
                              </w:tc>
                              <w:tc>
                                <w:tcPr>
                                  <w:tcW w:w="750" w:type="dxa"/>
                                  <w:tcBorders>
                                    <w:top w:val="nil"/>
                                    <w:left w:val="nil"/>
                                    <w:bottom w:val="single" w:sz="4" w:space="0" w:color="auto"/>
                                    <w:right w:val="single" w:sz="4" w:space="0" w:color="auto"/>
                                  </w:tcBorders>
                                  <w:shd w:val="clear" w:color="auto" w:fill="auto"/>
                                  <w:noWrap/>
                                  <w:vAlign w:val="bottom"/>
                                  <w:hideMark/>
                                </w:tcPr>
                                <w:p w14:paraId="75EA701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0.0403</w:t>
                                  </w:r>
                                </w:p>
                              </w:tc>
                              <w:tc>
                                <w:tcPr>
                                  <w:tcW w:w="857" w:type="dxa"/>
                                  <w:tcBorders>
                                    <w:top w:val="nil"/>
                                    <w:left w:val="nil"/>
                                    <w:bottom w:val="single" w:sz="4" w:space="0" w:color="auto"/>
                                    <w:right w:val="single" w:sz="4" w:space="0" w:color="auto"/>
                                  </w:tcBorders>
                                  <w:shd w:val="clear" w:color="auto" w:fill="auto"/>
                                  <w:noWrap/>
                                  <w:vAlign w:val="bottom"/>
                                  <w:hideMark/>
                                </w:tcPr>
                                <w:p w14:paraId="3DDB493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0.0157</w:t>
                                  </w:r>
                                </w:p>
                              </w:tc>
                              <w:tc>
                                <w:tcPr>
                                  <w:tcW w:w="656" w:type="dxa"/>
                                  <w:tcBorders>
                                    <w:top w:val="nil"/>
                                    <w:left w:val="nil"/>
                                    <w:bottom w:val="single" w:sz="4" w:space="0" w:color="auto"/>
                                    <w:right w:val="single" w:sz="4" w:space="0" w:color="auto"/>
                                  </w:tcBorders>
                                  <w:shd w:val="clear" w:color="auto" w:fill="auto"/>
                                  <w:noWrap/>
                                  <w:vAlign w:val="bottom"/>
                                  <w:hideMark/>
                                </w:tcPr>
                                <w:p w14:paraId="2094D6F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0.1158</w:t>
                                  </w:r>
                                </w:p>
                              </w:tc>
                              <w:tc>
                                <w:tcPr>
                                  <w:tcW w:w="732" w:type="dxa"/>
                                  <w:tcBorders>
                                    <w:top w:val="nil"/>
                                    <w:left w:val="nil"/>
                                    <w:bottom w:val="single" w:sz="4" w:space="0" w:color="auto"/>
                                    <w:right w:val="single" w:sz="4" w:space="0" w:color="auto"/>
                                  </w:tcBorders>
                                  <w:shd w:val="clear" w:color="auto" w:fill="auto"/>
                                  <w:noWrap/>
                                  <w:vAlign w:val="bottom"/>
                                  <w:hideMark/>
                                </w:tcPr>
                                <w:p w14:paraId="0907919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0.0511</w:t>
                                  </w:r>
                                </w:p>
                              </w:tc>
                              <w:tc>
                                <w:tcPr>
                                  <w:tcW w:w="732" w:type="dxa"/>
                                  <w:tcBorders>
                                    <w:top w:val="nil"/>
                                    <w:left w:val="nil"/>
                                    <w:bottom w:val="single" w:sz="4" w:space="0" w:color="auto"/>
                                    <w:right w:val="single" w:sz="4" w:space="0" w:color="auto"/>
                                  </w:tcBorders>
                                  <w:shd w:val="clear" w:color="auto" w:fill="auto"/>
                                  <w:noWrap/>
                                  <w:vAlign w:val="bottom"/>
                                  <w:hideMark/>
                                </w:tcPr>
                                <w:p w14:paraId="0269B2E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0.1709</w:t>
                                  </w:r>
                                </w:p>
                              </w:tc>
                              <w:tc>
                                <w:tcPr>
                                  <w:tcW w:w="732" w:type="dxa"/>
                                  <w:tcBorders>
                                    <w:top w:val="nil"/>
                                    <w:left w:val="nil"/>
                                    <w:bottom w:val="single" w:sz="4" w:space="0" w:color="auto"/>
                                    <w:right w:val="single" w:sz="4" w:space="0" w:color="auto"/>
                                  </w:tcBorders>
                                  <w:shd w:val="clear" w:color="auto" w:fill="auto"/>
                                  <w:noWrap/>
                                  <w:vAlign w:val="bottom"/>
                                  <w:hideMark/>
                                </w:tcPr>
                                <w:p w14:paraId="2C01790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0.1475</w:t>
                                  </w:r>
                                </w:p>
                              </w:tc>
                              <w:tc>
                                <w:tcPr>
                                  <w:tcW w:w="732" w:type="dxa"/>
                                  <w:tcBorders>
                                    <w:top w:val="nil"/>
                                    <w:left w:val="nil"/>
                                    <w:bottom w:val="single" w:sz="4" w:space="0" w:color="auto"/>
                                    <w:right w:val="single" w:sz="4" w:space="0" w:color="auto"/>
                                  </w:tcBorders>
                                  <w:shd w:val="clear" w:color="auto" w:fill="auto"/>
                                  <w:noWrap/>
                                  <w:vAlign w:val="bottom"/>
                                  <w:hideMark/>
                                </w:tcPr>
                                <w:p w14:paraId="4F8DAA7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08D241D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533E8E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337B016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2F72F67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577AE6B"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Sector5</w:t>
                                  </w:r>
                                </w:p>
                              </w:tc>
                              <w:tc>
                                <w:tcPr>
                                  <w:tcW w:w="896" w:type="dxa"/>
                                  <w:tcBorders>
                                    <w:top w:val="nil"/>
                                    <w:left w:val="nil"/>
                                    <w:bottom w:val="single" w:sz="4" w:space="0" w:color="auto"/>
                                    <w:right w:val="single" w:sz="4" w:space="0" w:color="auto"/>
                                  </w:tcBorders>
                                  <w:shd w:val="clear" w:color="auto" w:fill="auto"/>
                                  <w:noWrap/>
                                  <w:vAlign w:val="bottom"/>
                                  <w:hideMark/>
                                </w:tcPr>
                                <w:p w14:paraId="2B6AFC0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0.1673</w:t>
                                  </w:r>
                                </w:p>
                              </w:tc>
                              <w:tc>
                                <w:tcPr>
                                  <w:tcW w:w="656" w:type="dxa"/>
                                  <w:tcBorders>
                                    <w:top w:val="nil"/>
                                    <w:left w:val="nil"/>
                                    <w:bottom w:val="single" w:sz="4" w:space="0" w:color="auto"/>
                                    <w:right w:val="single" w:sz="4" w:space="0" w:color="auto"/>
                                  </w:tcBorders>
                                  <w:shd w:val="clear" w:color="auto" w:fill="auto"/>
                                  <w:noWrap/>
                                  <w:vAlign w:val="bottom"/>
                                  <w:hideMark/>
                                </w:tcPr>
                                <w:p w14:paraId="4252E15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0.0686</w:t>
                                  </w:r>
                                </w:p>
                              </w:tc>
                              <w:tc>
                                <w:tcPr>
                                  <w:tcW w:w="656" w:type="dxa"/>
                                  <w:tcBorders>
                                    <w:top w:val="nil"/>
                                    <w:left w:val="nil"/>
                                    <w:bottom w:val="single" w:sz="4" w:space="0" w:color="auto"/>
                                    <w:right w:val="single" w:sz="4" w:space="0" w:color="auto"/>
                                  </w:tcBorders>
                                  <w:shd w:val="clear" w:color="auto" w:fill="auto"/>
                                  <w:noWrap/>
                                  <w:vAlign w:val="bottom"/>
                                  <w:hideMark/>
                                </w:tcPr>
                                <w:p w14:paraId="009AE5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0.1473</w:t>
                                  </w:r>
                                </w:p>
                              </w:tc>
                              <w:tc>
                                <w:tcPr>
                                  <w:tcW w:w="656" w:type="dxa"/>
                                  <w:tcBorders>
                                    <w:top w:val="nil"/>
                                    <w:left w:val="nil"/>
                                    <w:bottom w:val="single" w:sz="4" w:space="0" w:color="auto"/>
                                    <w:right w:val="single" w:sz="4" w:space="0" w:color="auto"/>
                                  </w:tcBorders>
                                  <w:shd w:val="clear" w:color="auto" w:fill="auto"/>
                                  <w:noWrap/>
                                  <w:vAlign w:val="bottom"/>
                                  <w:hideMark/>
                                </w:tcPr>
                                <w:p w14:paraId="5168E97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0.0321</w:t>
                                  </w:r>
                                </w:p>
                              </w:tc>
                              <w:tc>
                                <w:tcPr>
                                  <w:tcW w:w="750" w:type="dxa"/>
                                  <w:tcBorders>
                                    <w:top w:val="nil"/>
                                    <w:left w:val="nil"/>
                                    <w:bottom w:val="single" w:sz="4" w:space="0" w:color="auto"/>
                                    <w:right w:val="single" w:sz="4" w:space="0" w:color="auto"/>
                                  </w:tcBorders>
                                  <w:shd w:val="clear" w:color="auto" w:fill="auto"/>
                                  <w:noWrap/>
                                  <w:vAlign w:val="bottom"/>
                                  <w:hideMark/>
                                </w:tcPr>
                                <w:p w14:paraId="40D27EF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0.0237</w:t>
                                  </w:r>
                                </w:p>
                              </w:tc>
                              <w:tc>
                                <w:tcPr>
                                  <w:tcW w:w="857" w:type="dxa"/>
                                  <w:tcBorders>
                                    <w:top w:val="nil"/>
                                    <w:left w:val="nil"/>
                                    <w:bottom w:val="single" w:sz="4" w:space="0" w:color="auto"/>
                                    <w:right w:val="single" w:sz="4" w:space="0" w:color="auto"/>
                                  </w:tcBorders>
                                  <w:shd w:val="clear" w:color="auto" w:fill="auto"/>
                                  <w:noWrap/>
                                  <w:vAlign w:val="bottom"/>
                                  <w:hideMark/>
                                </w:tcPr>
                                <w:p w14:paraId="665D6FC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0.0125</w:t>
                                  </w:r>
                                </w:p>
                              </w:tc>
                              <w:tc>
                                <w:tcPr>
                                  <w:tcW w:w="656" w:type="dxa"/>
                                  <w:tcBorders>
                                    <w:top w:val="nil"/>
                                    <w:left w:val="nil"/>
                                    <w:bottom w:val="single" w:sz="4" w:space="0" w:color="auto"/>
                                    <w:right w:val="single" w:sz="4" w:space="0" w:color="auto"/>
                                  </w:tcBorders>
                                  <w:shd w:val="clear" w:color="auto" w:fill="auto"/>
                                  <w:noWrap/>
                                  <w:vAlign w:val="bottom"/>
                                  <w:hideMark/>
                                </w:tcPr>
                                <w:p w14:paraId="2996A3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0.1123</w:t>
                                  </w:r>
                                </w:p>
                              </w:tc>
                              <w:tc>
                                <w:tcPr>
                                  <w:tcW w:w="732" w:type="dxa"/>
                                  <w:tcBorders>
                                    <w:top w:val="nil"/>
                                    <w:left w:val="nil"/>
                                    <w:bottom w:val="single" w:sz="4" w:space="0" w:color="auto"/>
                                    <w:right w:val="single" w:sz="4" w:space="0" w:color="auto"/>
                                  </w:tcBorders>
                                  <w:shd w:val="clear" w:color="auto" w:fill="auto"/>
                                  <w:noWrap/>
                                  <w:vAlign w:val="bottom"/>
                                  <w:hideMark/>
                                </w:tcPr>
                                <w:p w14:paraId="12FAF21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0.0294</w:t>
                                  </w:r>
                                </w:p>
                              </w:tc>
                              <w:tc>
                                <w:tcPr>
                                  <w:tcW w:w="732" w:type="dxa"/>
                                  <w:tcBorders>
                                    <w:top w:val="nil"/>
                                    <w:left w:val="nil"/>
                                    <w:bottom w:val="single" w:sz="4" w:space="0" w:color="auto"/>
                                    <w:right w:val="single" w:sz="4" w:space="0" w:color="auto"/>
                                  </w:tcBorders>
                                  <w:shd w:val="clear" w:color="auto" w:fill="auto"/>
                                  <w:noWrap/>
                                  <w:vAlign w:val="bottom"/>
                                  <w:hideMark/>
                                </w:tcPr>
                                <w:p w14:paraId="4025015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0.0982</w:t>
                                  </w:r>
                                </w:p>
                              </w:tc>
                              <w:tc>
                                <w:tcPr>
                                  <w:tcW w:w="732" w:type="dxa"/>
                                  <w:tcBorders>
                                    <w:top w:val="nil"/>
                                    <w:left w:val="nil"/>
                                    <w:bottom w:val="single" w:sz="4" w:space="0" w:color="auto"/>
                                    <w:right w:val="single" w:sz="4" w:space="0" w:color="auto"/>
                                  </w:tcBorders>
                                  <w:shd w:val="clear" w:color="auto" w:fill="auto"/>
                                  <w:noWrap/>
                                  <w:vAlign w:val="bottom"/>
                                  <w:hideMark/>
                                </w:tcPr>
                                <w:p w14:paraId="66B142EA" w14:textId="77777777" w:rsidR="008E5542" w:rsidRPr="00CA0B89" w:rsidRDefault="008E5542" w:rsidP="009B2BD2">
                                  <w:pPr>
                                    <w:spacing w:after="0" w:line="240" w:lineRule="auto"/>
                                    <w:ind w:left="0" w:firstLine="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CA0B89">
                                    <w:rPr>
                                      <w:rFonts w:ascii="Times New Roman" w:eastAsia="Times New Roman" w:hAnsi="Times New Roman" w:cs="Times New Roman"/>
                                      <w:sz w:val="16"/>
                                      <w:szCs w:val="16"/>
                                    </w:rPr>
                                    <w:t>0.0848</w:t>
                                  </w:r>
                                </w:p>
                              </w:tc>
                              <w:tc>
                                <w:tcPr>
                                  <w:tcW w:w="732" w:type="dxa"/>
                                  <w:tcBorders>
                                    <w:top w:val="nil"/>
                                    <w:left w:val="nil"/>
                                    <w:bottom w:val="single" w:sz="4" w:space="0" w:color="auto"/>
                                    <w:right w:val="single" w:sz="4" w:space="0" w:color="auto"/>
                                  </w:tcBorders>
                                  <w:shd w:val="clear" w:color="auto" w:fill="auto"/>
                                  <w:noWrap/>
                                  <w:vAlign w:val="bottom"/>
                                  <w:hideMark/>
                                </w:tcPr>
                                <w:p w14:paraId="396102D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0.0716</w:t>
                                  </w:r>
                                </w:p>
                              </w:tc>
                              <w:tc>
                                <w:tcPr>
                                  <w:tcW w:w="732" w:type="dxa"/>
                                  <w:tcBorders>
                                    <w:top w:val="nil"/>
                                    <w:left w:val="nil"/>
                                    <w:bottom w:val="single" w:sz="4" w:space="0" w:color="auto"/>
                                    <w:right w:val="single" w:sz="4" w:space="0" w:color="auto"/>
                                  </w:tcBorders>
                                  <w:shd w:val="clear" w:color="auto" w:fill="auto"/>
                                  <w:noWrap/>
                                  <w:vAlign w:val="bottom"/>
                                  <w:hideMark/>
                                </w:tcPr>
                                <w:p w14:paraId="59B5F6C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34C8E48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19F38CF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09F49BC0"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865B879"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Sector6</w:t>
                                  </w:r>
                                </w:p>
                              </w:tc>
                              <w:tc>
                                <w:tcPr>
                                  <w:tcW w:w="896" w:type="dxa"/>
                                  <w:tcBorders>
                                    <w:top w:val="nil"/>
                                    <w:left w:val="nil"/>
                                    <w:bottom w:val="single" w:sz="4" w:space="0" w:color="auto"/>
                                    <w:right w:val="single" w:sz="4" w:space="0" w:color="auto"/>
                                  </w:tcBorders>
                                  <w:shd w:val="clear" w:color="auto" w:fill="auto"/>
                                  <w:noWrap/>
                                  <w:vAlign w:val="bottom"/>
                                  <w:hideMark/>
                                </w:tcPr>
                                <w:p w14:paraId="2162EF3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0.0759</w:t>
                                  </w:r>
                                </w:p>
                              </w:tc>
                              <w:tc>
                                <w:tcPr>
                                  <w:tcW w:w="656" w:type="dxa"/>
                                  <w:tcBorders>
                                    <w:top w:val="nil"/>
                                    <w:left w:val="nil"/>
                                    <w:bottom w:val="single" w:sz="4" w:space="0" w:color="auto"/>
                                    <w:right w:val="single" w:sz="4" w:space="0" w:color="auto"/>
                                  </w:tcBorders>
                                  <w:shd w:val="clear" w:color="auto" w:fill="auto"/>
                                  <w:noWrap/>
                                  <w:vAlign w:val="bottom"/>
                                  <w:hideMark/>
                                </w:tcPr>
                                <w:p w14:paraId="6B801B7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0.1356</w:t>
                                  </w:r>
                                </w:p>
                              </w:tc>
                              <w:tc>
                                <w:tcPr>
                                  <w:tcW w:w="656" w:type="dxa"/>
                                  <w:tcBorders>
                                    <w:top w:val="nil"/>
                                    <w:left w:val="nil"/>
                                    <w:bottom w:val="single" w:sz="4" w:space="0" w:color="auto"/>
                                    <w:right w:val="single" w:sz="4" w:space="0" w:color="auto"/>
                                  </w:tcBorders>
                                  <w:shd w:val="clear" w:color="auto" w:fill="auto"/>
                                  <w:noWrap/>
                                  <w:vAlign w:val="bottom"/>
                                  <w:hideMark/>
                                </w:tcPr>
                                <w:p w14:paraId="2CA9D80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0.1136</w:t>
                                  </w:r>
                                </w:p>
                              </w:tc>
                              <w:tc>
                                <w:tcPr>
                                  <w:tcW w:w="656" w:type="dxa"/>
                                  <w:tcBorders>
                                    <w:top w:val="nil"/>
                                    <w:left w:val="nil"/>
                                    <w:bottom w:val="single" w:sz="4" w:space="0" w:color="auto"/>
                                    <w:right w:val="single" w:sz="4" w:space="0" w:color="auto"/>
                                  </w:tcBorders>
                                  <w:shd w:val="clear" w:color="auto" w:fill="auto"/>
                                  <w:noWrap/>
                                  <w:vAlign w:val="bottom"/>
                                  <w:hideMark/>
                                </w:tcPr>
                                <w:p w14:paraId="0AD168E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0.1088</w:t>
                                  </w:r>
                                </w:p>
                              </w:tc>
                              <w:tc>
                                <w:tcPr>
                                  <w:tcW w:w="750" w:type="dxa"/>
                                  <w:tcBorders>
                                    <w:top w:val="nil"/>
                                    <w:left w:val="nil"/>
                                    <w:bottom w:val="single" w:sz="4" w:space="0" w:color="auto"/>
                                    <w:right w:val="single" w:sz="4" w:space="0" w:color="auto"/>
                                  </w:tcBorders>
                                  <w:shd w:val="clear" w:color="auto" w:fill="auto"/>
                                  <w:noWrap/>
                                  <w:vAlign w:val="bottom"/>
                                  <w:hideMark/>
                                </w:tcPr>
                                <w:p w14:paraId="1EB1152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0.0823</w:t>
                                  </w:r>
                                </w:p>
                              </w:tc>
                              <w:tc>
                                <w:tcPr>
                                  <w:tcW w:w="857" w:type="dxa"/>
                                  <w:tcBorders>
                                    <w:top w:val="nil"/>
                                    <w:left w:val="nil"/>
                                    <w:bottom w:val="single" w:sz="4" w:space="0" w:color="auto"/>
                                    <w:right w:val="single" w:sz="4" w:space="0" w:color="auto"/>
                                  </w:tcBorders>
                                  <w:shd w:val="clear" w:color="auto" w:fill="auto"/>
                                  <w:noWrap/>
                                  <w:vAlign w:val="bottom"/>
                                  <w:hideMark/>
                                </w:tcPr>
                                <w:p w14:paraId="0A85EA8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0.0838</w:t>
                                  </w:r>
                                </w:p>
                              </w:tc>
                              <w:tc>
                                <w:tcPr>
                                  <w:tcW w:w="656" w:type="dxa"/>
                                  <w:tcBorders>
                                    <w:top w:val="nil"/>
                                    <w:left w:val="nil"/>
                                    <w:bottom w:val="single" w:sz="4" w:space="0" w:color="auto"/>
                                    <w:right w:val="single" w:sz="4" w:space="0" w:color="auto"/>
                                  </w:tcBorders>
                                  <w:shd w:val="clear" w:color="auto" w:fill="auto"/>
                                  <w:noWrap/>
                                  <w:vAlign w:val="bottom"/>
                                  <w:hideMark/>
                                </w:tcPr>
                                <w:p w14:paraId="4E827FE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0.2433</w:t>
                                  </w:r>
                                </w:p>
                              </w:tc>
                              <w:tc>
                                <w:tcPr>
                                  <w:tcW w:w="732" w:type="dxa"/>
                                  <w:tcBorders>
                                    <w:top w:val="nil"/>
                                    <w:left w:val="nil"/>
                                    <w:bottom w:val="single" w:sz="4" w:space="0" w:color="auto"/>
                                    <w:right w:val="single" w:sz="4" w:space="0" w:color="auto"/>
                                  </w:tcBorders>
                                  <w:shd w:val="clear" w:color="auto" w:fill="auto"/>
                                  <w:noWrap/>
                                  <w:vAlign w:val="bottom"/>
                                  <w:hideMark/>
                                </w:tcPr>
                                <w:p w14:paraId="7F71925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0.0712</w:t>
                                  </w:r>
                                </w:p>
                              </w:tc>
                              <w:tc>
                                <w:tcPr>
                                  <w:tcW w:w="732" w:type="dxa"/>
                                  <w:tcBorders>
                                    <w:top w:val="nil"/>
                                    <w:left w:val="nil"/>
                                    <w:bottom w:val="single" w:sz="4" w:space="0" w:color="auto"/>
                                    <w:right w:val="single" w:sz="4" w:space="0" w:color="auto"/>
                                  </w:tcBorders>
                                  <w:shd w:val="clear" w:color="auto" w:fill="auto"/>
                                  <w:noWrap/>
                                  <w:vAlign w:val="bottom"/>
                                  <w:hideMark/>
                                </w:tcPr>
                                <w:p w14:paraId="4308E4A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0.2380</w:t>
                                  </w:r>
                                </w:p>
                              </w:tc>
                              <w:tc>
                                <w:tcPr>
                                  <w:tcW w:w="732" w:type="dxa"/>
                                  <w:tcBorders>
                                    <w:top w:val="nil"/>
                                    <w:left w:val="nil"/>
                                    <w:bottom w:val="single" w:sz="4" w:space="0" w:color="auto"/>
                                    <w:right w:val="single" w:sz="4" w:space="0" w:color="auto"/>
                                  </w:tcBorders>
                                  <w:shd w:val="clear" w:color="auto" w:fill="auto"/>
                                  <w:noWrap/>
                                  <w:vAlign w:val="bottom"/>
                                  <w:hideMark/>
                                </w:tcPr>
                                <w:p w14:paraId="4737F59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0.2055</w:t>
                                  </w:r>
                                </w:p>
                              </w:tc>
                              <w:tc>
                                <w:tcPr>
                                  <w:tcW w:w="732" w:type="dxa"/>
                                  <w:tcBorders>
                                    <w:top w:val="nil"/>
                                    <w:left w:val="nil"/>
                                    <w:bottom w:val="single" w:sz="4" w:space="0" w:color="auto"/>
                                    <w:right w:val="single" w:sz="4" w:space="0" w:color="auto"/>
                                  </w:tcBorders>
                                  <w:shd w:val="clear" w:color="auto" w:fill="auto"/>
                                  <w:noWrap/>
                                  <w:vAlign w:val="bottom"/>
                                  <w:hideMark/>
                                </w:tcPr>
                                <w:p w14:paraId="48D57A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0.1735</w:t>
                                  </w:r>
                                </w:p>
                              </w:tc>
                              <w:tc>
                                <w:tcPr>
                                  <w:tcW w:w="732" w:type="dxa"/>
                                  <w:tcBorders>
                                    <w:top w:val="nil"/>
                                    <w:left w:val="nil"/>
                                    <w:bottom w:val="single" w:sz="4" w:space="0" w:color="auto"/>
                                    <w:right w:val="single" w:sz="4" w:space="0" w:color="auto"/>
                                  </w:tcBorders>
                                  <w:shd w:val="clear" w:color="auto" w:fill="auto"/>
                                  <w:noWrap/>
                                  <w:vAlign w:val="bottom"/>
                                  <w:hideMark/>
                                </w:tcPr>
                                <w:p w14:paraId="40C64F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0.0988</w:t>
                                  </w:r>
                                </w:p>
                              </w:tc>
                              <w:tc>
                                <w:tcPr>
                                  <w:tcW w:w="732" w:type="dxa"/>
                                  <w:tcBorders>
                                    <w:top w:val="nil"/>
                                    <w:left w:val="nil"/>
                                    <w:bottom w:val="single" w:sz="4" w:space="0" w:color="auto"/>
                                    <w:right w:val="single" w:sz="4" w:space="0" w:color="auto"/>
                                  </w:tcBorders>
                                  <w:shd w:val="clear" w:color="auto" w:fill="auto"/>
                                  <w:noWrap/>
                                  <w:vAlign w:val="bottom"/>
                                  <w:hideMark/>
                                </w:tcPr>
                                <w:p w14:paraId="12E60D7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8" w:space="0" w:color="auto"/>
                                  </w:tcBorders>
                                  <w:shd w:val="clear" w:color="auto" w:fill="auto"/>
                                  <w:noWrap/>
                                  <w:vAlign w:val="bottom"/>
                                  <w:hideMark/>
                                </w:tcPr>
                                <w:p w14:paraId="1EA062A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FF1A08F"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0807BF63"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Sector7</w:t>
                                  </w:r>
                                </w:p>
                              </w:tc>
                              <w:tc>
                                <w:tcPr>
                                  <w:tcW w:w="896" w:type="dxa"/>
                                  <w:tcBorders>
                                    <w:top w:val="nil"/>
                                    <w:left w:val="nil"/>
                                    <w:bottom w:val="single" w:sz="8" w:space="0" w:color="auto"/>
                                    <w:right w:val="single" w:sz="4" w:space="0" w:color="auto"/>
                                  </w:tcBorders>
                                  <w:shd w:val="clear" w:color="auto" w:fill="auto"/>
                                  <w:noWrap/>
                                  <w:vAlign w:val="bottom"/>
                                  <w:hideMark/>
                                </w:tcPr>
                                <w:p w14:paraId="2C45FA0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0.0999</w:t>
                                  </w:r>
                                </w:p>
                              </w:tc>
                              <w:tc>
                                <w:tcPr>
                                  <w:tcW w:w="656" w:type="dxa"/>
                                  <w:tcBorders>
                                    <w:top w:val="nil"/>
                                    <w:left w:val="nil"/>
                                    <w:bottom w:val="single" w:sz="8" w:space="0" w:color="auto"/>
                                    <w:right w:val="single" w:sz="4" w:space="0" w:color="auto"/>
                                  </w:tcBorders>
                                  <w:shd w:val="clear" w:color="auto" w:fill="auto"/>
                                  <w:noWrap/>
                                  <w:vAlign w:val="bottom"/>
                                  <w:hideMark/>
                                </w:tcPr>
                                <w:p w14:paraId="1394C55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0.0739</w:t>
                                  </w:r>
                                </w:p>
                              </w:tc>
                              <w:tc>
                                <w:tcPr>
                                  <w:tcW w:w="656" w:type="dxa"/>
                                  <w:tcBorders>
                                    <w:top w:val="nil"/>
                                    <w:left w:val="nil"/>
                                    <w:bottom w:val="single" w:sz="8" w:space="0" w:color="auto"/>
                                    <w:right w:val="single" w:sz="4" w:space="0" w:color="auto"/>
                                  </w:tcBorders>
                                  <w:shd w:val="clear" w:color="auto" w:fill="auto"/>
                                  <w:noWrap/>
                                  <w:vAlign w:val="bottom"/>
                                  <w:hideMark/>
                                </w:tcPr>
                                <w:p w14:paraId="4D627CC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0.0908</w:t>
                                  </w:r>
                                </w:p>
                              </w:tc>
                              <w:tc>
                                <w:tcPr>
                                  <w:tcW w:w="656" w:type="dxa"/>
                                  <w:tcBorders>
                                    <w:top w:val="nil"/>
                                    <w:left w:val="nil"/>
                                    <w:bottom w:val="single" w:sz="8" w:space="0" w:color="auto"/>
                                    <w:right w:val="single" w:sz="4" w:space="0" w:color="auto"/>
                                  </w:tcBorders>
                                  <w:shd w:val="clear" w:color="auto" w:fill="auto"/>
                                  <w:noWrap/>
                                  <w:vAlign w:val="bottom"/>
                                  <w:hideMark/>
                                </w:tcPr>
                                <w:p w14:paraId="565AD68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0.0528</w:t>
                                  </w:r>
                                </w:p>
                              </w:tc>
                              <w:tc>
                                <w:tcPr>
                                  <w:tcW w:w="750" w:type="dxa"/>
                                  <w:tcBorders>
                                    <w:top w:val="nil"/>
                                    <w:left w:val="nil"/>
                                    <w:bottom w:val="single" w:sz="8" w:space="0" w:color="auto"/>
                                    <w:right w:val="single" w:sz="4" w:space="0" w:color="auto"/>
                                  </w:tcBorders>
                                  <w:shd w:val="clear" w:color="auto" w:fill="auto"/>
                                  <w:noWrap/>
                                  <w:vAlign w:val="bottom"/>
                                  <w:hideMark/>
                                </w:tcPr>
                                <w:p w14:paraId="75E413B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0.0214</w:t>
                                  </w:r>
                                </w:p>
                              </w:tc>
                              <w:tc>
                                <w:tcPr>
                                  <w:tcW w:w="857" w:type="dxa"/>
                                  <w:tcBorders>
                                    <w:top w:val="nil"/>
                                    <w:left w:val="nil"/>
                                    <w:bottom w:val="single" w:sz="8" w:space="0" w:color="auto"/>
                                    <w:right w:val="single" w:sz="4" w:space="0" w:color="auto"/>
                                  </w:tcBorders>
                                  <w:shd w:val="clear" w:color="auto" w:fill="auto"/>
                                  <w:noWrap/>
                                  <w:vAlign w:val="bottom"/>
                                  <w:hideMark/>
                                </w:tcPr>
                                <w:p w14:paraId="49D623A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0.0831</w:t>
                                  </w:r>
                                </w:p>
                              </w:tc>
                              <w:tc>
                                <w:tcPr>
                                  <w:tcW w:w="656" w:type="dxa"/>
                                  <w:tcBorders>
                                    <w:top w:val="nil"/>
                                    <w:left w:val="nil"/>
                                    <w:bottom w:val="single" w:sz="8" w:space="0" w:color="auto"/>
                                    <w:right w:val="single" w:sz="4" w:space="0" w:color="auto"/>
                                  </w:tcBorders>
                                  <w:shd w:val="clear" w:color="auto" w:fill="auto"/>
                                  <w:noWrap/>
                                  <w:vAlign w:val="bottom"/>
                                  <w:hideMark/>
                                </w:tcPr>
                                <w:p w14:paraId="3723CB5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0.1046</w:t>
                                  </w:r>
                                </w:p>
                              </w:tc>
                              <w:tc>
                                <w:tcPr>
                                  <w:tcW w:w="732" w:type="dxa"/>
                                  <w:tcBorders>
                                    <w:top w:val="nil"/>
                                    <w:left w:val="nil"/>
                                    <w:bottom w:val="single" w:sz="8" w:space="0" w:color="auto"/>
                                    <w:right w:val="single" w:sz="4" w:space="0" w:color="auto"/>
                                  </w:tcBorders>
                                  <w:shd w:val="clear" w:color="auto" w:fill="auto"/>
                                  <w:noWrap/>
                                  <w:vAlign w:val="bottom"/>
                                  <w:hideMark/>
                                </w:tcPr>
                                <w:p w14:paraId="733B94A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0.0202</w:t>
                                  </w:r>
                                </w:p>
                              </w:tc>
                              <w:tc>
                                <w:tcPr>
                                  <w:tcW w:w="732" w:type="dxa"/>
                                  <w:tcBorders>
                                    <w:top w:val="nil"/>
                                    <w:left w:val="nil"/>
                                    <w:bottom w:val="single" w:sz="8" w:space="0" w:color="auto"/>
                                    <w:right w:val="single" w:sz="4" w:space="0" w:color="auto"/>
                                  </w:tcBorders>
                                  <w:shd w:val="clear" w:color="auto" w:fill="auto"/>
                                  <w:noWrap/>
                                  <w:vAlign w:val="bottom"/>
                                  <w:hideMark/>
                                </w:tcPr>
                                <w:p w14:paraId="4FC1B2C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0.0674</w:t>
                                  </w:r>
                                </w:p>
                              </w:tc>
                              <w:tc>
                                <w:tcPr>
                                  <w:tcW w:w="732" w:type="dxa"/>
                                  <w:tcBorders>
                                    <w:top w:val="nil"/>
                                    <w:left w:val="nil"/>
                                    <w:bottom w:val="single" w:sz="8" w:space="0" w:color="auto"/>
                                    <w:right w:val="single" w:sz="4" w:space="0" w:color="auto"/>
                                  </w:tcBorders>
                                  <w:shd w:val="clear" w:color="auto" w:fill="auto"/>
                                  <w:noWrap/>
                                  <w:vAlign w:val="bottom"/>
                                  <w:hideMark/>
                                </w:tcPr>
                                <w:p w14:paraId="54F4C22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0.0582</w:t>
                                  </w:r>
                                </w:p>
                              </w:tc>
                              <w:tc>
                                <w:tcPr>
                                  <w:tcW w:w="732" w:type="dxa"/>
                                  <w:tcBorders>
                                    <w:top w:val="nil"/>
                                    <w:left w:val="nil"/>
                                    <w:bottom w:val="single" w:sz="8" w:space="0" w:color="auto"/>
                                    <w:right w:val="single" w:sz="4" w:space="0" w:color="auto"/>
                                  </w:tcBorders>
                                  <w:shd w:val="clear" w:color="auto" w:fill="auto"/>
                                  <w:noWrap/>
                                  <w:vAlign w:val="bottom"/>
                                  <w:hideMark/>
                                </w:tcPr>
                                <w:p w14:paraId="4CCA2D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0.0491</w:t>
                                  </w:r>
                                </w:p>
                              </w:tc>
                              <w:tc>
                                <w:tcPr>
                                  <w:tcW w:w="732" w:type="dxa"/>
                                  <w:tcBorders>
                                    <w:top w:val="nil"/>
                                    <w:left w:val="nil"/>
                                    <w:bottom w:val="single" w:sz="8" w:space="0" w:color="auto"/>
                                    <w:right w:val="single" w:sz="4" w:space="0" w:color="auto"/>
                                  </w:tcBorders>
                                  <w:shd w:val="clear" w:color="auto" w:fill="auto"/>
                                  <w:noWrap/>
                                  <w:vAlign w:val="bottom"/>
                                  <w:hideMark/>
                                </w:tcPr>
                                <w:p w14:paraId="0341BDE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0.0282</w:t>
                                  </w:r>
                                </w:p>
                              </w:tc>
                              <w:tc>
                                <w:tcPr>
                                  <w:tcW w:w="732" w:type="dxa"/>
                                  <w:tcBorders>
                                    <w:top w:val="nil"/>
                                    <w:left w:val="nil"/>
                                    <w:bottom w:val="single" w:sz="8" w:space="0" w:color="auto"/>
                                    <w:right w:val="single" w:sz="4" w:space="0" w:color="auto"/>
                                  </w:tcBorders>
                                  <w:shd w:val="clear" w:color="auto" w:fill="auto"/>
                                  <w:noWrap/>
                                  <w:vAlign w:val="bottom"/>
                                  <w:hideMark/>
                                </w:tcPr>
                                <w:p w14:paraId="0C1F3EA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0.0684</w:t>
                                  </w:r>
                                </w:p>
                              </w:tc>
                              <w:tc>
                                <w:tcPr>
                                  <w:tcW w:w="732" w:type="dxa"/>
                                  <w:tcBorders>
                                    <w:top w:val="nil"/>
                                    <w:left w:val="nil"/>
                                    <w:bottom w:val="single" w:sz="8" w:space="0" w:color="auto"/>
                                    <w:right w:val="single" w:sz="8" w:space="0" w:color="auto"/>
                                  </w:tcBorders>
                                  <w:shd w:val="clear" w:color="auto" w:fill="auto"/>
                                  <w:noWrap/>
                                  <w:vAlign w:val="bottom"/>
                                  <w:hideMark/>
                                </w:tcPr>
                                <w:p w14:paraId="25B3708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r>
                          </w:tbl>
                          <w:p w14:paraId="23A98C9E" w14:textId="77777777" w:rsidR="008E5542" w:rsidRPr="00B5127E" w:rsidRDefault="008E5542" w:rsidP="00B5127E">
                            <w:pPr>
                              <w:jc w:val="right"/>
                              <w:rPr>
                                <w:rFonts w:ascii="Times New Roman" w:hAnsi="Times New Roman" w:cs="Times New Roman"/>
                                <w:sz w:val="22"/>
                              </w:rPr>
                            </w:pPr>
                            <w:r w:rsidRPr="00B5127E">
                              <w:rPr>
                                <w:rFonts w:ascii="Times New Roman" w:hAnsi="Times New Roman" w:cs="Times New Roman"/>
                                <w:sz w:val="22"/>
                              </w:rPr>
                              <w:t>(Source: Stata)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33F31F" id="_x0000_t202" coordsize="21600,21600" o:spt="202" path="m,l,21600r21600,l21600,xe">
                <v:stroke joinstyle="miter"/>
                <v:path gradientshapeok="t" o:connecttype="rect"/>
              </v:shapetype>
              <v:shape id="_x0000_s1027" type="#_x0000_t202" style="position:absolute;left:0;text-align:left;margin-left:-60.85pt;margin-top:13.6pt;width:573pt;height:364.2pt;rotation:-90;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TqMKgIAADQEAAAOAAAAZHJzL2Uyb0RvYy54bWysU9uO2yAQfa/Uf0C8N47dXHajOKtttqkq&#10;bS/Sbj8AYxyjAuMCib39+g7jKIm2b1V5QMyFw8w5w/pusIYdlQ8aXMnzyZQz5STU2u1L/uN59+6G&#10;sxCFq4UBp0r+ogK/27x9s+67lSqgBVMrzxDEhVXflbyNsVtlWZCtsiJMoFMOgw14KyKafp/VXvSI&#10;bk1WTKeLrAdfdx6kCgG9D2OQbwi/aZSM35omqMhMybG2SLunvUp7tlmL1d6LrtXyVIb4hyqs0A4f&#10;PUM9iCjYweu/oKyWHgI0cSLBZtA0WirqAbvJp6+6eWpFp6gXJCd0Z5rC/4OVX4/fPdN1yYt8yZkT&#10;FkV6VkNkH2BgReKn78IK0546TIwDulFn6jV0jyB/BuZg2wq3V/feQ98qUWN9ebqZXV0dcUICqfov&#10;UOMz4hCBgIbGW+YBxckXKCouciM7DB9D2V7OUqXKJDqXxXKZYx6TGJstivn7GYmZiVVCS1J0PsRP&#10;CixLh5J7nAWCFcfHEFN1l5SUHsDoeqeNIcPvq63x7Chwbna0qKFXacaxvuS382JOyA7SfRopqyPO&#10;tdG25DdjR+RO7Hx0NZ2j0GY8YyXGnehKDI1cxaEaSBniMlFZQf2C/BFT2Dp+O+yrBf+bsx5HuOTh&#10;10F4xZn57FCD23yGpLBIxmy+LNDw15HqOiKcRKiSR87G4zbSP0l0OLhHrRpNtF0qOZWMo0lsnr5R&#10;mv1rm7Iun33zBwAA//8DAFBLAwQUAAYACAAAACEAXuK4leQAAAALAQAADwAAAGRycy9kb3ducmV2&#10;LnhtbEyPTUvDQBCG74L/YRnBi7SbSJqmMZMixQ96EWyL0Ns2OybB7GzIbtvor+960uPwPrzvM8Vy&#10;NJ040eBaywjxNAJBXFndco2w2z5PMhDOK9aqs0wI3+RgWV5fFSrX9szvdNr4WoQSdrlCaLzvcyld&#10;1ZBRbmp74pB92sEoH86hlnpQ51BuOnkfRak0quWw0KieVg1VX5ujQZi/vqV7vzI/7f4lWi+e7sy6&#10;Tz4Qb2/GxwcQnkb/B8OvflCHMjgd7JG1Ex1CNo8DiTCJszgFEYgsns1AHBAWaZKALAv5/4fyAgAA&#10;//8DAFBLAQItABQABgAIAAAAIQC2gziS/gAAAOEBAAATAAAAAAAAAAAAAAAAAAAAAABbQ29udGVu&#10;dF9UeXBlc10ueG1sUEsBAi0AFAAGAAgAAAAhADj9If/WAAAAlAEAAAsAAAAAAAAAAAAAAAAALwEA&#10;AF9yZWxzLy5yZWxzUEsBAi0AFAAGAAgAAAAhAFKpOowqAgAANAQAAA4AAAAAAAAAAAAAAAAALgIA&#10;AGRycy9lMm9Eb2MueG1sUEsBAi0AFAAGAAgAAAAhAF7iuJXkAAAACwEAAA8AAAAAAAAAAAAAAAAA&#10;hAQAAGRycy9kb3ducmV2LnhtbFBLBQYAAAAABAAEAPMAAACVBQAAAAA=&#10;" stroked="f">
                <v:textbox>
                  <w:txbxContent>
                    <w:p w14:paraId="30B0413D" w14:textId="77777777" w:rsidR="008E5542" w:rsidRDefault="008E5542"/>
                    <w:tbl>
                      <w:tblPr>
                        <w:tblW w:w="11108" w:type="dxa"/>
                        <w:jc w:val="center"/>
                        <w:tblLook w:val="04A0" w:firstRow="1" w:lastRow="0" w:firstColumn="1" w:lastColumn="0" w:noHBand="0" w:noVBand="1"/>
                      </w:tblPr>
                      <w:tblGrid>
                        <w:gridCol w:w="857"/>
                        <w:gridCol w:w="896"/>
                        <w:gridCol w:w="656"/>
                        <w:gridCol w:w="656"/>
                        <w:gridCol w:w="656"/>
                        <w:gridCol w:w="750"/>
                        <w:gridCol w:w="857"/>
                        <w:gridCol w:w="656"/>
                        <w:gridCol w:w="732"/>
                        <w:gridCol w:w="732"/>
                        <w:gridCol w:w="732"/>
                        <w:gridCol w:w="732"/>
                        <w:gridCol w:w="732"/>
                        <w:gridCol w:w="732"/>
                        <w:gridCol w:w="732"/>
                      </w:tblGrid>
                      <w:tr w:rsidR="008E5542" w:rsidRPr="00CA0B89" w14:paraId="0A868C93" w14:textId="77777777" w:rsidTr="00B5127E">
                        <w:trPr>
                          <w:trHeight w:val="320"/>
                          <w:jc w:val="center"/>
                        </w:trPr>
                        <w:tc>
                          <w:tcPr>
                            <w:tcW w:w="11108" w:type="dxa"/>
                            <w:gridSpan w:val="15"/>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74C37C5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Correlation Matrix</w:t>
                            </w:r>
                          </w:p>
                        </w:tc>
                      </w:tr>
                      <w:tr w:rsidR="008E5542" w:rsidRPr="00CA0B89" w14:paraId="5CC52F5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6CB8AE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96" w:type="dxa"/>
                            <w:tcBorders>
                              <w:top w:val="nil"/>
                              <w:left w:val="nil"/>
                              <w:bottom w:val="single" w:sz="8" w:space="0" w:color="auto"/>
                              <w:right w:val="single" w:sz="8" w:space="0" w:color="auto"/>
                            </w:tcBorders>
                            <w:shd w:val="clear" w:color="auto" w:fill="auto"/>
                            <w:noWrap/>
                            <w:vAlign w:val="bottom"/>
                            <w:hideMark/>
                          </w:tcPr>
                          <w:p w14:paraId="299C1C1B"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DPR</w:t>
                            </w:r>
                          </w:p>
                        </w:tc>
                        <w:tc>
                          <w:tcPr>
                            <w:tcW w:w="656" w:type="dxa"/>
                            <w:tcBorders>
                              <w:top w:val="nil"/>
                              <w:left w:val="nil"/>
                              <w:bottom w:val="single" w:sz="8" w:space="0" w:color="auto"/>
                              <w:right w:val="single" w:sz="8" w:space="0" w:color="auto"/>
                            </w:tcBorders>
                            <w:shd w:val="clear" w:color="auto" w:fill="auto"/>
                            <w:noWrap/>
                            <w:vAlign w:val="bottom"/>
                            <w:hideMark/>
                          </w:tcPr>
                          <w:p w14:paraId="64EEF207"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Deal</w:t>
                            </w:r>
                          </w:p>
                        </w:tc>
                        <w:tc>
                          <w:tcPr>
                            <w:tcW w:w="656" w:type="dxa"/>
                            <w:tcBorders>
                              <w:top w:val="nil"/>
                              <w:left w:val="nil"/>
                              <w:bottom w:val="single" w:sz="8" w:space="0" w:color="auto"/>
                              <w:right w:val="single" w:sz="8" w:space="0" w:color="auto"/>
                            </w:tcBorders>
                            <w:shd w:val="clear" w:color="auto" w:fill="auto"/>
                            <w:noWrap/>
                            <w:vAlign w:val="bottom"/>
                            <w:hideMark/>
                          </w:tcPr>
                          <w:p w14:paraId="3DC7D58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Profit</w:t>
                            </w:r>
                          </w:p>
                        </w:tc>
                        <w:tc>
                          <w:tcPr>
                            <w:tcW w:w="656" w:type="dxa"/>
                            <w:tcBorders>
                              <w:top w:val="nil"/>
                              <w:left w:val="nil"/>
                              <w:bottom w:val="single" w:sz="8" w:space="0" w:color="auto"/>
                              <w:right w:val="single" w:sz="8" w:space="0" w:color="auto"/>
                            </w:tcBorders>
                            <w:shd w:val="clear" w:color="auto" w:fill="auto"/>
                            <w:noWrap/>
                            <w:vAlign w:val="bottom"/>
                            <w:hideMark/>
                          </w:tcPr>
                          <w:p w14:paraId="3658685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CS</w:t>
                            </w:r>
                          </w:p>
                        </w:tc>
                        <w:tc>
                          <w:tcPr>
                            <w:tcW w:w="750" w:type="dxa"/>
                            <w:tcBorders>
                              <w:top w:val="nil"/>
                              <w:left w:val="nil"/>
                              <w:bottom w:val="single" w:sz="8" w:space="0" w:color="auto"/>
                              <w:right w:val="single" w:sz="8" w:space="0" w:color="auto"/>
                            </w:tcBorders>
                            <w:shd w:val="clear" w:color="auto" w:fill="auto"/>
                            <w:noWrap/>
                            <w:vAlign w:val="bottom"/>
                            <w:hideMark/>
                          </w:tcPr>
                          <w:p w14:paraId="78A80E46"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Growth</w:t>
                            </w:r>
                          </w:p>
                        </w:tc>
                        <w:tc>
                          <w:tcPr>
                            <w:tcW w:w="857" w:type="dxa"/>
                            <w:tcBorders>
                              <w:top w:val="nil"/>
                              <w:left w:val="nil"/>
                              <w:bottom w:val="single" w:sz="8" w:space="0" w:color="auto"/>
                              <w:right w:val="single" w:sz="8" w:space="0" w:color="auto"/>
                            </w:tcBorders>
                            <w:shd w:val="clear" w:color="auto" w:fill="auto"/>
                            <w:noWrap/>
                            <w:vAlign w:val="bottom"/>
                            <w:hideMark/>
                          </w:tcPr>
                          <w:p w14:paraId="62387B81"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Liquidity</w:t>
                            </w:r>
                          </w:p>
                        </w:tc>
                        <w:tc>
                          <w:tcPr>
                            <w:tcW w:w="656" w:type="dxa"/>
                            <w:tcBorders>
                              <w:top w:val="nil"/>
                              <w:left w:val="nil"/>
                              <w:bottom w:val="single" w:sz="8" w:space="0" w:color="auto"/>
                              <w:right w:val="single" w:sz="8" w:space="0" w:color="auto"/>
                            </w:tcBorders>
                            <w:shd w:val="clear" w:color="auto" w:fill="auto"/>
                            <w:noWrap/>
                            <w:vAlign w:val="bottom"/>
                            <w:hideMark/>
                          </w:tcPr>
                          <w:p w14:paraId="2BE6E93E"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 xml:space="preserve">Size </w:t>
                            </w:r>
                          </w:p>
                        </w:tc>
                        <w:tc>
                          <w:tcPr>
                            <w:tcW w:w="732" w:type="dxa"/>
                            <w:tcBorders>
                              <w:top w:val="nil"/>
                              <w:left w:val="nil"/>
                              <w:bottom w:val="single" w:sz="8" w:space="0" w:color="auto"/>
                              <w:right w:val="single" w:sz="8" w:space="0" w:color="auto"/>
                            </w:tcBorders>
                            <w:shd w:val="clear" w:color="auto" w:fill="auto"/>
                            <w:noWrap/>
                            <w:vAlign w:val="bottom"/>
                            <w:hideMark/>
                          </w:tcPr>
                          <w:p w14:paraId="548EC02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Sector1</w:t>
                            </w:r>
                          </w:p>
                        </w:tc>
                        <w:tc>
                          <w:tcPr>
                            <w:tcW w:w="732" w:type="dxa"/>
                            <w:tcBorders>
                              <w:top w:val="nil"/>
                              <w:left w:val="nil"/>
                              <w:bottom w:val="single" w:sz="8" w:space="0" w:color="auto"/>
                              <w:right w:val="single" w:sz="8" w:space="0" w:color="auto"/>
                            </w:tcBorders>
                            <w:shd w:val="clear" w:color="auto" w:fill="auto"/>
                            <w:noWrap/>
                            <w:vAlign w:val="bottom"/>
                            <w:hideMark/>
                          </w:tcPr>
                          <w:p w14:paraId="036E365E"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Sector2</w:t>
                            </w:r>
                          </w:p>
                        </w:tc>
                        <w:tc>
                          <w:tcPr>
                            <w:tcW w:w="732" w:type="dxa"/>
                            <w:tcBorders>
                              <w:top w:val="nil"/>
                              <w:left w:val="nil"/>
                              <w:bottom w:val="single" w:sz="8" w:space="0" w:color="auto"/>
                              <w:right w:val="single" w:sz="8" w:space="0" w:color="auto"/>
                            </w:tcBorders>
                            <w:shd w:val="clear" w:color="auto" w:fill="auto"/>
                            <w:noWrap/>
                            <w:vAlign w:val="bottom"/>
                            <w:hideMark/>
                          </w:tcPr>
                          <w:p w14:paraId="36286F5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Sector3</w:t>
                            </w:r>
                          </w:p>
                        </w:tc>
                        <w:tc>
                          <w:tcPr>
                            <w:tcW w:w="732" w:type="dxa"/>
                            <w:tcBorders>
                              <w:top w:val="nil"/>
                              <w:left w:val="nil"/>
                              <w:bottom w:val="single" w:sz="8" w:space="0" w:color="auto"/>
                              <w:right w:val="single" w:sz="8" w:space="0" w:color="auto"/>
                            </w:tcBorders>
                            <w:shd w:val="clear" w:color="auto" w:fill="auto"/>
                            <w:noWrap/>
                            <w:vAlign w:val="bottom"/>
                            <w:hideMark/>
                          </w:tcPr>
                          <w:p w14:paraId="4844497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Sector4</w:t>
                            </w:r>
                          </w:p>
                        </w:tc>
                        <w:tc>
                          <w:tcPr>
                            <w:tcW w:w="732" w:type="dxa"/>
                            <w:tcBorders>
                              <w:top w:val="nil"/>
                              <w:left w:val="nil"/>
                              <w:bottom w:val="single" w:sz="8" w:space="0" w:color="auto"/>
                              <w:right w:val="single" w:sz="8" w:space="0" w:color="auto"/>
                            </w:tcBorders>
                            <w:shd w:val="clear" w:color="auto" w:fill="auto"/>
                            <w:noWrap/>
                            <w:vAlign w:val="bottom"/>
                            <w:hideMark/>
                          </w:tcPr>
                          <w:p w14:paraId="7EC3A43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Sector5</w:t>
                            </w:r>
                          </w:p>
                        </w:tc>
                        <w:tc>
                          <w:tcPr>
                            <w:tcW w:w="732" w:type="dxa"/>
                            <w:tcBorders>
                              <w:top w:val="nil"/>
                              <w:left w:val="nil"/>
                              <w:bottom w:val="single" w:sz="8" w:space="0" w:color="auto"/>
                              <w:right w:val="single" w:sz="8" w:space="0" w:color="auto"/>
                            </w:tcBorders>
                            <w:shd w:val="clear" w:color="auto" w:fill="auto"/>
                            <w:noWrap/>
                            <w:vAlign w:val="bottom"/>
                            <w:hideMark/>
                          </w:tcPr>
                          <w:p w14:paraId="3280869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Sector6</w:t>
                            </w:r>
                          </w:p>
                        </w:tc>
                        <w:tc>
                          <w:tcPr>
                            <w:tcW w:w="732" w:type="dxa"/>
                            <w:tcBorders>
                              <w:top w:val="nil"/>
                              <w:left w:val="nil"/>
                              <w:bottom w:val="single" w:sz="8" w:space="0" w:color="auto"/>
                              <w:right w:val="single" w:sz="8" w:space="0" w:color="auto"/>
                            </w:tcBorders>
                            <w:shd w:val="clear" w:color="auto" w:fill="auto"/>
                            <w:noWrap/>
                            <w:vAlign w:val="bottom"/>
                            <w:hideMark/>
                          </w:tcPr>
                          <w:p w14:paraId="07B8EF6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Sector7</w:t>
                            </w:r>
                          </w:p>
                        </w:tc>
                      </w:tr>
                      <w:tr w:rsidR="008E5542" w:rsidRPr="00CA0B89" w14:paraId="45A01C1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3B6E0AC"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DPR</w:t>
                            </w:r>
                          </w:p>
                        </w:tc>
                        <w:tc>
                          <w:tcPr>
                            <w:tcW w:w="896" w:type="dxa"/>
                            <w:tcBorders>
                              <w:top w:val="nil"/>
                              <w:left w:val="nil"/>
                              <w:bottom w:val="single" w:sz="4" w:space="0" w:color="auto"/>
                              <w:right w:val="single" w:sz="4" w:space="0" w:color="auto"/>
                            </w:tcBorders>
                            <w:shd w:val="clear" w:color="auto" w:fill="auto"/>
                            <w:noWrap/>
                            <w:vAlign w:val="bottom"/>
                            <w:hideMark/>
                          </w:tcPr>
                          <w:p w14:paraId="69D5F0D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4F843C9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F1575A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5503B4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41FDD2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41711C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2B54206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56AFE2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4A4307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9E46EC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B7B3D9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1F757A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8EB3EB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43D10B0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A61E6C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2A6371A2"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Deal</w:t>
                            </w:r>
                          </w:p>
                        </w:tc>
                        <w:tc>
                          <w:tcPr>
                            <w:tcW w:w="896" w:type="dxa"/>
                            <w:tcBorders>
                              <w:top w:val="nil"/>
                              <w:left w:val="nil"/>
                              <w:bottom w:val="single" w:sz="4" w:space="0" w:color="auto"/>
                              <w:right w:val="single" w:sz="4" w:space="0" w:color="auto"/>
                            </w:tcBorders>
                            <w:shd w:val="clear" w:color="auto" w:fill="auto"/>
                            <w:noWrap/>
                            <w:vAlign w:val="bottom"/>
                            <w:hideMark/>
                          </w:tcPr>
                          <w:p w14:paraId="440B194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0.0752</w:t>
                            </w:r>
                          </w:p>
                        </w:tc>
                        <w:tc>
                          <w:tcPr>
                            <w:tcW w:w="656" w:type="dxa"/>
                            <w:tcBorders>
                              <w:top w:val="nil"/>
                              <w:left w:val="nil"/>
                              <w:bottom w:val="single" w:sz="4" w:space="0" w:color="auto"/>
                              <w:right w:val="single" w:sz="4" w:space="0" w:color="auto"/>
                            </w:tcBorders>
                            <w:shd w:val="clear" w:color="auto" w:fill="auto"/>
                            <w:noWrap/>
                            <w:vAlign w:val="bottom"/>
                            <w:hideMark/>
                          </w:tcPr>
                          <w:p w14:paraId="78D6D42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6495979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59E530F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4894DEB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123091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6C3F74B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96DA83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EDAF2B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09E1AD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C77909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1F250A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0C530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4BD94C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37694DFA"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48DEF3E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Profit</w:t>
                            </w:r>
                          </w:p>
                        </w:tc>
                        <w:tc>
                          <w:tcPr>
                            <w:tcW w:w="896" w:type="dxa"/>
                            <w:tcBorders>
                              <w:top w:val="nil"/>
                              <w:left w:val="nil"/>
                              <w:bottom w:val="single" w:sz="4" w:space="0" w:color="auto"/>
                              <w:right w:val="single" w:sz="4" w:space="0" w:color="auto"/>
                            </w:tcBorders>
                            <w:shd w:val="clear" w:color="auto" w:fill="auto"/>
                            <w:noWrap/>
                            <w:vAlign w:val="bottom"/>
                            <w:hideMark/>
                          </w:tcPr>
                          <w:p w14:paraId="2C40953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0.1584</w:t>
                            </w:r>
                          </w:p>
                        </w:tc>
                        <w:tc>
                          <w:tcPr>
                            <w:tcW w:w="656" w:type="dxa"/>
                            <w:tcBorders>
                              <w:top w:val="nil"/>
                              <w:left w:val="nil"/>
                              <w:bottom w:val="single" w:sz="4" w:space="0" w:color="auto"/>
                              <w:right w:val="single" w:sz="4" w:space="0" w:color="auto"/>
                            </w:tcBorders>
                            <w:shd w:val="clear" w:color="auto" w:fill="auto"/>
                            <w:noWrap/>
                            <w:vAlign w:val="bottom"/>
                            <w:hideMark/>
                          </w:tcPr>
                          <w:p w14:paraId="44A8B80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0.0173</w:t>
                            </w:r>
                          </w:p>
                        </w:tc>
                        <w:tc>
                          <w:tcPr>
                            <w:tcW w:w="656" w:type="dxa"/>
                            <w:tcBorders>
                              <w:top w:val="nil"/>
                              <w:left w:val="nil"/>
                              <w:bottom w:val="single" w:sz="4" w:space="0" w:color="auto"/>
                              <w:right w:val="single" w:sz="4" w:space="0" w:color="auto"/>
                            </w:tcBorders>
                            <w:shd w:val="clear" w:color="auto" w:fill="auto"/>
                            <w:noWrap/>
                            <w:vAlign w:val="bottom"/>
                            <w:hideMark/>
                          </w:tcPr>
                          <w:p w14:paraId="17A8604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318229B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50" w:type="dxa"/>
                            <w:tcBorders>
                              <w:top w:val="nil"/>
                              <w:left w:val="nil"/>
                              <w:bottom w:val="single" w:sz="4" w:space="0" w:color="auto"/>
                              <w:right w:val="single" w:sz="4" w:space="0" w:color="auto"/>
                            </w:tcBorders>
                            <w:shd w:val="clear" w:color="auto" w:fill="auto"/>
                            <w:noWrap/>
                            <w:vAlign w:val="bottom"/>
                            <w:hideMark/>
                          </w:tcPr>
                          <w:p w14:paraId="6986DB2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759204D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7DD0833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347EB5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91B5DC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69E8EB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7AA78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1CD6CF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0DAD19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75A78A1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0E84E506"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5DE13D8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CS</w:t>
                            </w:r>
                          </w:p>
                        </w:tc>
                        <w:tc>
                          <w:tcPr>
                            <w:tcW w:w="896" w:type="dxa"/>
                            <w:tcBorders>
                              <w:top w:val="nil"/>
                              <w:left w:val="nil"/>
                              <w:bottom w:val="single" w:sz="4" w:space="0" w:color="auto"/>
                              <w:right w:val="single" w:sz="4" w:space="0" w:color="auto"/>
                            </w:tcBorders>
                            <w:shd w:val="clear" w:color="auto" w:fill="auto"/>
                            <w:noWrap/>
                            <w:vAlign w:val="bottom"/>
                            <w:hideMark/>
                          </w:tcPr>
                          <w:p w14:paraId="2501FF0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0.0515</w:t>
                            </w:r>
                          </w:p>
                        </w:tc>
                        <w:tc>
                          <w:tcPr>
                            <w:tcW w:w="656" w:type="dxa"/>
                            <w:tcBorders>
                              <w:top w:val="nil"/>
                              <w:left w:val="nil"/>
                              <w:bottom w:val="single" w:sz="4" w:space="0" w:color="auto"/>
                              <w:right w:val="single" w:sz="4" w:space="0" w:color="auto"/>
                            </w:tcBorders>
                            <w:shd w:val="clear" w:color="auto" w:fill="auto"/>
                            <w:noWrap/>
                            <w:vAlign w:val="bottom"/>
                            <w:hideMark/>
                          </w:tcPr>
                          <w:p w14:paraId="58A1254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0.0730</w:t>
                            </w:r>
                          </w:p>
                        </w:tc>
                        <w:tc>
                          <w:tcPr>
                            <w:tcW w:w="656" w:type="dxa"/>
                            <w:tcBorders>
                              <w:top w:val="nil"/>
                              <w:left w:val="nil"/>
                              <w:bottom w:val="single" w:sz="4" w:space="0" w:color="auto"/>
                              <w:right w:val="single" w:sz="4" w:space="0" w:color="auto"/>
                            </w:tcBorders>
                            <w:shd w:val="clear" w:color="auto" w:fill="auto"/>
                            <w:noWrap/>
                            <w:vAlign w:val="bottom"/>
                            <w:hideMark/>
                          </w:tcPr>
                          <w:p w14:paraId="391FF30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0.3423</w:t>
                            </w:r>
                          </w:p>
                        </w:tc>
                        <w:tc>
                          <w:tcPr>
                            <w:tcW w:w="656" w:type="dxa"/>
                            <w:tcBorders>
                              <w:top w:val="nil"/>
                              <w:left w:val="nil"/>
                              <w:bottom w:val="single" w:sz="4" w:space="0" w:color="auto"/>
                              <w:right w:val="single" w:sz="4" w:space="0" w:color="auto"/>
                            </w:tcBorders>
                            <w:shd w:val="clear" w:color="auto" w:fill="auto"/>
                            <w:noWrap/>
                            <w:vAlign w:val="bottom"/>
                            <w:hideMark/>
                          </w:tcPr>
                          <w:p w14:paraId="19BC26E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50" w:type="dxa"/>
                            <w:tcBorders>
                              <w:top w:val="nil"/>
                              <w:left w:val="nil"/>
                              <w:bottom w:val="single" w:sz="4" w:space="0" w:color="auto"/>
                              <w:right w:val="single" w:sz="4" w:space="0" w:color="auto"/>
                            </w:tcBorders>
                            <w:shd w:val="clear" w:color="auto" w:fill="auto"/>
                            <w:noWrap/>
                            <w:vAlign w:val="bottom"/>
                            <w:hideMark/>
                          </w:tcPr>
                          <w:p w14:paraId="622CEB9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857" w:type="dxa"/>
                            <w:tcBorders>
                              <w:top w:val="nil"/>
                              <w:left w:val="nil"/>
                              <w:bottom w:val="single" w:sz="4" w:space="0" w:color="auto"/>
                              <w:right w:val="single" w:sz="4" w:space="0" w:color="auto"/>
                            </w:tcBorders>
                            <w:shd w:val="clear" w:color="auto" w:fill="auto"/>
                            <w:noWrap/>
                            <w:vAlign w:val="bottom"/>
                            <w:hideMark/>
                          </w:tcPr>
                          <w:p w14:paraId="7057F0B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78BAF1B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6D8449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1CCFEF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05F4CC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31288A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91228C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B2D1D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3F2877B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4B106867"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B52C63D"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Growth</w:t>
                            </w:r>
                          </w:p>
                        </w:tc>
                        <w:tc>
                          <w:tcPr>
                            <w:tcW w:w="896" w:type="dxa"/>
                            <w:tcBorders>
                              <w:top w:val="nil"/>
                              <w:left w:val="nil"/>
                              <w:bottom w:val="single" w:sz="4" w:space="0" w:color="auto"/>
                              <w:right w:val="single" w:sz="4" w:space="0" w:color="auto"/>
                            </w:tcBorders>
                            <w:shd w:val="clear" w:color="auto" w:fill="auto"/>
                            <w:noWrap/>
                            <w:vAlign w:val="bottom"/>
                            <w:hideMark/>
                          </w:tcPr>
                          <w:p w14:paraId="518BC85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0.0553</w:t>
                            </w:r>
                          </w:p>
                        </w:tc>
                        <w:tc>
                          <w:tcPr>
                            <w:tcW w:w="656" w:type="dxa"/>
                            <w:tcBorders>
                              <w:top w:val="nil"/>
                              <w:left w:val="nil"/>
                              <w:bottom w:val="single" w:sz="4" w:space="0" w:color="auto"/>
                              <w:right w:val="single" w:sz="4" w:space="0" w:color="auto"/>
                            </w:tcBorders>
                            <w:shd w:val="clear" w:color="auto" w:fill="auto"/>
                            <w:noWrap/>
                            <w:vAlign w:val="bottom"/>
                            <w:hideMark/>
                          </w:tcPr>
                          <w:p w14:paraId="7A914B3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0.1041</w:t>
                            </w:r>
                          </w:p>
                        </w:tc>
                        <w:tc>
                          <w:tcPr>
                            <w:tcW w:w="656" w:type="dxa"/>
                            <w:tcBorders>
                              <w:top w:val="nil"/>
                              <w:left w:val="nil"/>
                              <w:bottom w:val="single" w:sz="4" w:space="0" w:color="auto"/>
                              <w:right w:val="single" w:sz="4" w:space="0" w:color="auto"/>
                            </w:tcBorders>
                            <w:shd w:val="clear" w:color="auto" w:fill="auto"/>
                            <w:noWrap/>
                            <w:vAlign w:val="bottom"/>
                            <w:hideMark/>
                          </w:tcPr>
                          <w:p w14:paraId="32FFF4E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0.1101</w:t>
                            </w:r>
                          </w:p>
                        </w:tc>
                        <w:tc>
                          <w:tcPr>
                            <w:tcW w:w="656" w:type="dxa"/>
                            <w:tcBorders>
                              <w:top w:val="nil"/>
                              <w:left w:val="nil"/>
                              <w:bottom w:val="single" w:sz="4" w:space="0" w:color="auto"/>
                              <w:right w:val="single" w:sz="4" w:space="0" w:color="auto"/>
                            </w:tcBorders>
                            <w:shd w:val="clear" w:color="auto" w:fill="auto"/>
                            <w:noWrap/>
                            <w:vAlign w:val="bottom"/>
                            <w:hideMark/>
                          </w:tcPr>
                          <w:p w14:paraId="2063B72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0.2683</w:t>
                            </w:r>
                          </w:p>
                        </w:tc>
                        <w:tc>
                          <w:tcPr>
                            <w:tcW w:w="750" w:type="dxa"/>
                            <w:tcBorders>
                              <w:top w:val="nil"/>
                              <w:left w:val="nil"/>
                              <w:bottom w:val="single" w:sz="4" w:space="0" w:color="auto"/>
                              <w:right w:val="single" w:sz="4" w:space="0" w:color="auto"/>
                            </w:tcBorders>
                            <w:shd w:val="clear" w:color="auto" w:fill="auto"/>
                            <w:noWrap/>
                            <w:vAlign w:val="bottom"/>
                            <w:hideMark/>
                          </w:tcPr>
                          <w:p w14:paraId="2C7666E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857" w:type="dxa"/>
                            <w:tcBorders>
                              <w:top w:val="nil"/>
                              <w:left w:val="nil"/>
                              <w:bottom w:val="single" w:sz="4" w:space="0" w:color="auto"/>
                              <w:right w:val="single" w:sz="4" w:space="0" w:color="auto"/>
                            </w:tcBorders>
                            <w:shd w:val="clear" w:color="auto" w:fill="auto"/>
                            <w:noWrap/>
                            <w:vAlign w:val="bottom"/>
                            <w:hideMark/>
                          </w:tcPr>
                          <w:p w14:paraId="5557736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656" w:type="dxa"/>
                            <w:tcBorders>
                              <w:top w:val="nil"/>
                              <w:left w:val="nil"/>
                              <w:bottom w:val="single" w:sz="4" w:space="0" w:color="auto"/>
                              <w:right w:val="single" w:sz="4" w:space="0" w:color="auto"/>
                            </w:tcBorders>
                            <w:shd w:val="clear" w:color="auto" w:fill="auto"/>
                            <w:noWrap/>
                            <w:vAlign w:val="bottom"/>
                            <w:hideMark/>
                          </w:tcPr>
                          <w:p w14:paraId="16F41AE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DB9D96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DD52B9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5F51E8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27A144D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0DAA22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E8AA46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77D1EA2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3EF36D61"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4F82250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Liquidity</w:t>
                            </w:r>
                          </w:p>
                        </w:tc>
                        <w:tc>
                          <w:tcPr>
                            <w:tcW w:w="896" w:type="dxa"/>
                            <w:tcBorders>
                              <w:top w:val="nil"/>
                              <w:left w:val="nil"/>
                              <w:bottom w:val="single" w:sz="4" w:space="0" w:color="auto"/>
                              <w:right w:val="single" w:sz="4" w:space="0" w:color="auto"/>
                            </w:tcBorders>
                            <w:shd w:val="clear" w:color="auto" w:fill="auto"/>
                            <w:noWrap/>
                            <w:vAlign w:val="bottom"/>
                            <w:hideMark/>
                          </w:tcPr>
                          <w:p w14:paraId="4ED3C081" w14:textId="77777777" w:rsidR="008E5542" w:rsidRPr="00CA0B89" w:rsidRDefault="008E5542" w:rsidP="009B2BD2">
                            <w:pPr>
                              <w:spacing w:after="0" w:line="240" w:lineRule="auto"/>
                              <w:ind w:left="0" w:firstLine="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0.</w:t>
                            </w:r>
                            <w:r w:rsidRPr="00CA0B89">
                              <w:rPr>
                                <w:rFonts w:ascii="Times New Roman" w:eastAsia="Times New Roman" w:hAnsi="Times New Roman" w:cs="Times New Roman"/>
                                <w:sz w:val="16"/>
                                <w:szCs w:val="16"/>
                              </w:rPr>
                              <w:t>1331</w:t>
                            </w:r>
                          </w:p>
                        </w:tc>
                        <w:tc>
                          <w:tcPr>
                            <w:tcW w:w="656" w:type="dxa"/>
                            <w:tcBorders>
                              <w:top w:val="nil"/>
                              <w:left w:val="nil"/>
                              <w:bottom w:val="single" w:sz="4" w:space="0" w:color="auto"/>
                              <w:right w:val="single" w:sz="4" w:space="0" w:color="auto"/>
                            </w:tcBorders>
                            <w:shd w:val="clear" w:color="auto" w:fill="auto"/>
                            <w:noWrap/>
                            <w:vAlign w:val="bottom"/>
                            <w:hideMark/>
                          </w:tcPr>
                          <w:p w14:paraId="2C8D06D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0.0315</w:t>
                            </w:r>
                          </w:p>
                        </w:tc>
                        <w:tc>
                          <w:tcPr>
                            <w:tcW w:w="656" w:type="dxa"/>
                            <w:tcBorders>
                              <w:top w:val="nil"/>
                              <w:left w:val="nil"/>
                              <w:bottom w:val="single" w:sz="4" w:space="0" w:color="auto"/>
                              <w:right w:val="single" w:sz="4" w:space="0" w:color="auto"/>
                            </w:tcBorders>
                            <w:shd w:val="clear" w:color="auto" w:fill="auto"/>
                            <w:noWrap/>
                            <w:vAlign w:val="bottom"/>
                            <w:hideMark/>
                          </w:tcPr>
                          <w:p w14:paraId="394BD7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0.1038</w:t>
                            </w:r>
                          </w:p>
                        </w:tc>
                        <w:tc>
                          <w:tcPr>
                            <w:tcW w:w="656" w:type="dxa"/>
                            <w:tcBorders>
                              <w:top w:val="nil"/>
                              <w:left w:val="nil"/>
                              <w:bottom w:val="single" w:sz="4" w:space="0" w:color="auto"/>
                              <w:right w:val="single" w:sz="4" w:space="0" w:color="auto"/>
                            </w:tcBorders>
                            <w:shd w:val="clear" w:color="auto" w:fill="auto"/>
                            <w:noWrap/>
                            <w:vAlign w:val="bottom"/>
                            <w:hideMark/>
                          </w:tcPr>
                          <w:p w14:paraId="2D940CF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0.4451</w:t>
                            </w:r>
                          </w:p>
                        </w:tc>
                        <w:tc>
                          <w:tcPr>
                            <w:tcW w:w="750" w:type="dxa"/>
                            <w:tcBorders>
                              <w:top w:val="nil"/>
                              <w:left w:val="nil"/>
                              <w:bottom w:val="single" w:sz="4" w:space="0" w:color="auto"/>
                              <w:right w:val="single" w:sz="4" w:space="0" w:color="auto"/>
                            </w:tcBorders>
                            <w:shd w:val="clear" w:color="auto" w:fill="auto"/>
                            <w:noWrap/>
                            <w:vAlign w:val="bottom"/>
                            <w:hideMark/>
                          </w:tcPr>
                          <w:p w14:paraId="23C3666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0.1972</w:t>
                            </w:r>
                          </w:p>
                        </w:tc>
                        <w:tc>
                          <w:tcPr>
                            <w:tcW w:w="857" w:type="dxa"/>
                            <w:tcBorders>
                              <w:top w:val="nil"/>
                              <w:left w:val="nil"/>
                              <w:bottom w:val="single" w:sz="4" w:space="0" w:color="auto"/>
                              <w:right w:val="single" w:sz="4" w:space="0" w:color="auto"/>
                            </w:tcBorders>
                            <w:shd w:val="clear" w:color="auto" w:fill="auto"/>
                            <w:noWrap/>
                            <w:vAlign w:val="bottom"/>
                            <w:hideMark/>
                          </w:tcPr>
                          <w:p w14:paraId="1A3C807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656" w:type="dxa"/>
                            <w:tcBorders>
                              <w:top w:val="nil"/>
                              <w:left w:val="nil"/>
                              <w:bottom w:val="single" w:sz="4" w:space="0" w:color="auto"/>
                              <w:right w:val="single" w:sz="4" w:space="0" w:color="auto"/>
                            </w:tcBorders>
                            <w:shd w:val="clear" w:color="auto" w:fill="auto"/>
                            <w:noWrap/>
                            <w:vAlign w:val="bottom"/>
                            <w:hideMark/>
                          </w:tcPr>
                          <w:p w14:paraId="1E19498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B26498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6E0CF6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981CE8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3DCF3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E7C02A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67E378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32509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5ABA2B32"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BB7F44A"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Size</w:t>
                            </w:r>
                          </w:p>
                        </w:tc>
                        <w:tc>
                          <w:tcPr>
                            <w:tcW w:w="896" w:type="dxa"/>
                            <w:tcBorders>
                              <w:top w:val="nil"/>
                              <w:left w:val="nil"/>
                              <w:bottom w:val="single" w:sz="4" w:space="0" w:color="auto"/>
                              <w:right w:val="single" w:sz="4" w:space="0" w:color="auto"/>
                            </w:tcBorders>
                            <w:shd w:val="clear" w:color="auto" w:fill="auto"/>
                            <w:noWrap/>
                            <w:vAlign w:val="bottom"/>
                            <w:hideMark/>
                          </w:tcPr>
                          <w:p w14:paraId="7B23816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0.0405</w:t>
                            </w:r>
                          </w:p>
                        </w:tc>
                        <w:tc>
                          <w:tcPr>
                            <w:tcW w:w="656" w:type="dxa"/>
                            <w:tcBorders>
                              <w:top w:val="nil"/>
                              <w:left w:val="nil"/>
                              <w:bottom w:val="single" w:sz="4" w:space="0" w:color="auto"/>
                              <w:right w:val="single" w:sz="4" w:space="0" w:color="auto"/>
                            </w:tcBorders>
                            <w:shd w:val="clear" w:color="auto" w:fill="auto"/>
                            <w:noWrap/>
                            <w:vAlign w:val="bottom"/>
                            <w:hideMark/>
                          </w:tcPr>
                          <w:p w14:paraId="1C27B03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0.2911</w:t>
                            </w:r>
                          </w:p>
                        </w:tc>
                        <w:tc>
                          <w:tcPr>
                            <w:tcW w:w="656" w:type="dxa"/>
                            <w:tcBorders>
                              <w:top w:val="nil"/>
                              <w:left w:val="nil"/>
                              <w:bottom w:val="single" w:sz="4" w:space="0" w:color="auto"/>
                              <w:right w:val="single" w:sz="4" w:space="0" w:color="auto"/>
                            </w:tcBorders>
                            <w:shd w:val="clear" w:color="auto" w:fill="auto"/>
                            <w:noWrap/>
                            <w:vAlign w:val="bottom"/>
                            <w:hideMark/>
                          </w:tcPr>
                          <w:p w14:paraId="39A12F5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0.3646</w:t>
                            </w:r>
                          </w:p>
                        </w:tc>
                        <w:tc>
                          <w:tcPr>
                            <w:tcW w:w="656" w:type="dxa"/>
                            <w:tcBorders>
                              <w:top w:val="nil"/>
                              <w:left w:val="nil"/>
                              <w:bottom w:val="single" w:sz="4" w:space="0" w:color="auto"/>
                              <w:right w:val="single" w:sz="4" w:space="0" w:color="auto"/>
                            </w:tcBorders>
                            <w:shd w:val="clear" w:color="auto" w:fill="auto"/>
                            <w:noWrap/>
                            <w:vAlign w:val="bottom"/>
                            <w:hideMark/>
                          </w:tcPr>
                          <w:p w14:paraId="77A1D6E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0.4141</w:t>
                            </w:r>
                          </w:p>
                        </w:tc>
                        <w:tc>
                          <w:tcPr>
                            <w:tcW w:w="750" w:type="dxa"/>
                            <w:tcBorders>
                              <w:top w:val="nil"/>
                              <w:left w:val="nil"/>
                              <w:bottom w:val="single" w:sz="4" w:space="0" w:color="auto"/>
                              <w:right w:val="single" w:sz="4" w:space="0" w:color="auto"/>
                            </w:tcBorders>
                            <w:shd w:val="clear" w:color="auto" w:fill="auto"/>
                            <w:noWrap/>
                            <w:vAlign w:val="bottom"/>
                            <w:hideMark/>
                          </w:tcPr>
                          <w:p w14:paraId="16BE1B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0.0317</w:t>
                            </w:r>
                          </w:p>
                        </w:tc>
                        <w:tc>
                          <w:tcPr>
                            <w:tcW w:w="857" w:type="dxa"/>
                            <w:tcBorders>
                              <w:top w:val="nil"/>
                              <w:left w:val="nil"/>
                              <w:bottom w:val="single" w:sz="4" w:space="0" w:color="auto"/>
                              <w:right w:val="single" w:sz="4" w:space="0" w:color="auto"/>
                            </w:tcBorders>
                            <w:shd w:val="clear" w:color="auto" w:fill="auto"/>
                            <w:noWrap/>
                            <w:vAlign w:val="bottom"/>
                            <w:hideMark/>
                          </w:tcPr>
                          <w:p w14:paraId="1633127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0.2594</w:t>
                            </w:r>
                          </w:p>
                        </w:tc>
                        <w:tc>
                          <w:tcPr>
                            <w:tcW w:w="656" w:type="dxa"/>
                            <w:tcBorders>
                              <w:top w:val="nil"/>
                              <w:left w:val="nil"/>
                              <w:bottom w:val="single" w:sz="4" w:space="0" w:color="auto"/>
                              <w:right w:val="single" w:sz="4" w:space="0" w:color="auto"/>
                            </w:tcBorders>
                            <w:shd w:val="clear" w:color="auto" w:fill="auto"/>
                            <w:noWrap/>
                            <w:vAlign w:val="bottom"/>
                            <w:hideMark/>
                          </w:tcPr>
                          <w:p w14:paraId="4059165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34BA9B5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5E51D2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19B8FB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7E5751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38CAA95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1CF0CF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F30B5C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15F1CA1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3317F4D5"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Sector1</w:t>
                            </w:r>
                          </w:p>
                        </w:tc>
                        <w:tc>
                          <w:tcPr>
                            <w:tcW w:w="896" w:type="dxa"/>
                            <w:tcBorders>
                              <w:top w:val="nil"/>
                              <w:left w:val="nil"/>
                              <w:bottom w:val="single" w:sz="4" w:space="0" w:color="auto"/>
                              <w:right w:val="single" w:sz="4" w:space="0" w:color="auto"/>
                            </w:tcBorders>
                            <w:shd w:val="clear" w:color="auto" w:fill="auto"/>
                            <w:noWrap/>
                            <w:vAlign w:val="bottom"/>
                            <w:hideMark/>
                          </w:tcPr>
                          <w:p w14:paraId="391856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0.0049</w:t>
                            </w:r>
                          </w:p>
                        </w:tc>
                        <w:tc>
                          <w:tcPr>
                            <w:tcW w:w="656" w:type="dxa"/>
                            <w:tcBorders>
                              <w:top w:val="nil"/>
                              <w:left w:val="nil"/>
                              <w:bottom w:val="single" w:sz="4" w:space="0" w:color="auto"/>
                              <w:right w:val="single" w:sz="4" w:space="0" w:color="auto"/>
                            </w:tcBorders>
                            <w:shd w:val="clear" w:color="auto" w:fill="auto"/>
                            <w:noWrap/>
                            <w:vAlign w:val="bottom"/>
                            <w:hideMark/>
                          </w:tcPr>
                          <w:p w14:paraId="75C63AD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0.0845</w:t>
                            </w:r>
                          </w:p>
                        </w:tc>
                        <w:tc>
                          <w:tcPr>
                            <w:tcW w:w="656" w:type="dxa"/>
                            <w:tcBorders>
                              <w:top w:val="nil"/>
                              <w:left w:val="nil"/>
                              <w:bottom w:val="single" w:sz="4" w:space="0" w:color="auto"/>
                              <w:right w:val="single" w:sz="4" w:space="0" w:color="auto"/>
                            </w:tcBorders>
                            <w:shd w:val="clear" w:color="auto" w:fill="auto"/>
                            <w:noWrap/>
                            <w:vAlign w:val="bottom"/>
                            <w:hideMark/>
                          </w:tcPr>
                          <w:p w14:paraId="50CBC0B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0.1230</w:t>
                            </w:r>
                          </w:p>
                        </w:tc>
                        <w:tc>
                          <w:tcPr>
                            <w:tcW w:w="656" w:type="dxa"/>
                            <w:tcBorders>
                              <w:top w:val="nil"/>
                              <w:left w:val="nil"/>
                              <w:bottom w:val="single" w:sz="4" w:space="0" w:color="auto"/>
                              <w:right w:val="single" w:sz="4" w:space="0" w:color="auto"/>
                            </w:tcBorders>
                            <w:shd w:val="clear" w:color="auto" w:fill="auto"/>
                            <w:noWrap/>
                            <w:vAlign w:val="bottom"/>
                            <w:hideMark/>
                          </w:tcPr>
                          <w:p w14:paraId="33ADF7E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0.0666</w:t>
                            </w:r>
                          </w:p>
                        </w:tc>
                        <w:tc>
                          <w:tcPr>
                            <w:tcW w:w="750" w:type="dxa"/>
                            <w:tcBorders>
                              <w:top w:val="nil"/>
                              <w:left w:val="nil"/>
                              <w:bottom w:val="single" w:sz="4" w:space="0" w:color="auto"/>
                              <w:right w:val="single" w:sz="4" w:space="0" w:color="auto"/>
                            </w:tcBorders>
                            <w:shd w:val="clear" w:color="auto" w:fill="auto"/>
                            <w:noWrap/>
                            <w:vAlign w:val="bottom"/>
                            <w:hideMark/>
                          </w:tcPr>
                          <w:p w14:paraId="340BA884" w14:textId="77777777" w:rsidR="008E5542" w:rsidRPr="00CA0B89" w:rsidRDefault="008E5542" w:rsidP="009B2BD2">
                            <w:pPr>
                              <w:spacing w:after="0" w:line="240" w:lineRule="auto"/>
                              <w:ind w:left="0" w:firstLine="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0</w:t>
                            </w:r>
                            <w:r w:rsidRPr="00CA0B89">
                              <w:rPr>
                                <w:rFonts w:ascii="Times New Roman" w:eastAsia="Times New Roman" w:hAnsi="Times New Roman" w:cs="Times New Roman"/>
                                <w:sz w:val="16"/>
                                <w:szCs w:val="16"/>
                              </w:rPr>
                              <w:t>.0395</w:t>
                            </w:r>
                          </w:p>
                        </w:tc>
                        <w:tc>
                          <w:tcPr>
                            <w:tcW w:w="857" w:type="dxa"/>
                            <w:tcBorders>
                              <w:top w:val="nil"/>
                              <w:left w:val="nil"/>
                              <w:bottom w:val="single" w:sz="4" w:space="0" w:color="auto"/>
                              <w:right w:val="single" w:sz="4" w:space="0" w:color="auto"/>
                            </w:tcBorders>
                            <w:shd w:val="clear" w:color="auto" w:fill="auto"/>
                            <w:noWrap/>
                            <w:vAlign w:val="bottom"/>
                            <w:hideMark/>
                          </w:tcPr>
                          <w:p w14:paraId="3E4C9CC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0.0291</w:t>
                            </w:r>
                          </w:p>
                        </w:tc>
                        <w:tc>
                          <w:tcPr>
                            <w:tcW w:w="656" w:type="dxa"/>
                            <w:tcBorders>
                              <w:top w:val="nil"/>
                              <w:left w:val="nil"/>
                              <w:bottom w:val="single" w:sz="4" w:space="0" w:color="auto"/>
                              <w:right w:val="single" w:sz="4" w:space="0" w:color="auto"/>
                            </w:tcBorders>
                            <w:shd w:val="clear" w:color="auto" w:fill="auto"/>
                            <w:noWrap/>
                            <w:vAlign w:val="bottom"/>
                            <w:hideMark/>
                          </w:tcPr>
                          <w:p w14:paraId="1C2678E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0.1380</w:t>
                            </w:r>
                          </w:p>
                        </w:tc>
                        <w:tc>
                          <w:tcPr>
                            <w:tcW w:w="732" w:type="dxa"/>
                            <w:tcBorders>
                              <w:top w:val="nil"/>
                              <w:left w:val="nil"/>
                              <w:bottom w:val="single" w:sz="4" w:space="0" w:color="auto"/>
                              <w:right w:val="single" w:sz="4" w:space="0" w:color="auto"/>
                            </w:tcBorders>
                            <w:shd w:val="clear" w:color="auto" w:fill="auto"/>
                            <w:noWrap/>
                            <w:vAlign w:val="bottom"/>
                            <w:hideMark/>
                          </w:tcPr>
                          <w:p w14:paraId="0AF9C34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2AC5A14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7AC9383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47EC03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DA0F23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278377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58F3A44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296D464F"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77E2380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Sector2</w:t>
                            </w:r>
                          </w:p>
                        </w:tc>
                        <w:tc>
                          <w:tcPr>
                            <w:tcW w:w="896" w:type="dxa"/>
                            <w:tcBorders>
                              <w:top w:val="nil"/>
                              <w:left w:val="nil"/>
                              <w:bottom w:val="single" w:sz="4" w:space="0" w:color="auto"/>
                              <w:right w:val="single" w:sz="4" w:space="0" w:color="auto"/>
                            </w:tcBorders>
                            <w:shd w:val="clear" w:color="auto" w:fill="auto"/>
                            <w:noWrap/>
                            <w:vAlign w:val="bottom"/>
                            <w:hideMark/>
                          </w:tcPr>
                          <w:p w14:paraId="3C8C71C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0.0887</w:t>
                            </w:r>
                          </w:p>
                        </w:tc>
                        <w:tc>
                          <w:tcPr>
                            <w:tcW w:w="656" w:type="dxa"/>
                            <w:tcBorders>
                              <w:top w:val="nil"/>
                              <w:left w:val="nil"/>
                              <w:bottom w:val="single" w:sz="4" w:space="0" w:color="auto"/>
                              <w:right w:val="single" w:sz="4" w:space="0" w:color="auto"/>
                            </w:tcBorders>
                            <w:shd w:val="clear" w:color="auto" w:fill="auto"/>
                            <w:noWrap/>
                            <w:vAlign w:val="bottom"/>
                            <w:hideMark/>
                          </w:tcPr>
                          <w:p w14:paraId="72F5EEA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0.1520</w:t>
                            </w:r>
                          </w:p>
                        </w:tc>
                        <w:tc>
                          <w:tcPr>
                            <w:tcW w:w="656" w:type="dxa"/>
                            <w:tcBorders>
                              <w:top w:val="nil"/>
                              <w:left w:val="nil"/>
                              <w:bottom w:val="single" w:sz="4" w:space="0" w:color="auto"/>
                              <w:right w:val="single" w:sz="4" w:space="0" w:color="auto"/>
                            </w:tcBorders>
                            <w:shd w:val="clear" w:color="auto" w:fill="auto"/>
                            <w:noWrap/>
                            <w:vAlign w:val="bottom"/>
                            <w:hideMark/>
                          </w:tcPr>
                          <w:p w14:paraId="5FD082A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0.1222</w:t>
                            </w:r>
                          </w:p>
                        </w:tc>
                        <w:tc>
                          <w:tcPr>
                            <w:tcW w:w="656" w:type="dxa"/>
                            <w:tcBorders>
                              <w:top w:val="nil"/>
                              <w:left w:val="nil"/>
                              <w:bottom w:val="single" w:sz="4" w:space="0" w:color="auto"/>
                              <w:right w:val="single" w:sz="4" w:space="0" w:color="auto"/>
                            </w:tcBorders>
                            <w:shd w:val="clear" w:color="auto" w:fill="auto"/>
                            <w:noWrap/>
                            <w:vAlign w:val="bottom"/>
                            <w:hideMark/>
                          </w:tcPr>
                          <w:p w14:paraId="5D32588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0.2129</w:t>
                            </w:r>
                          </w:p>
                        </w:tc>
                        <w:tc>
                          <w:tcPr>
                            <w:tcW w:w="750" w:type="dxa"/>
                            <w:tcBorders>
                              <w:top w:val="nil"/>
                              <w:left w:val="nil"/>
                              <w:bottom w:val="single" w:sz="4" w:space="0" w:color="auto"/>
                              <w:right w:val="single" w:sz="4" w:space="0" w:color="auto"/>
                            </w:tcBorders>
                            <w:shd w:val="clear" w:color="auto" w:fill="auto"/>
                            <w:noWrap/>
                            <w:vAlign w:val="bottom"/>
                            <w:hideMark/>
                          </w:tcPr>
                          <w:p w14:paraId="6F7A1A0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0.1916</w:t>
                            </w:r>
                          </w:p>
                        </w:tc>
                        <w:tc>
                          <w:tcPr>
                            <w:tcW w:w="857" w:type="dxa"/>
                            <w:tcBorders>
                              <w:top w:val="nil"/>
                              <w:left w:val="nil"/>
                              <w:bottom w:val="single" w:sz="4" w:space="0" w:color="auto"/>
                              <w:right w:val="single" w:sz="4" w:space="0" w:color="auto"/>
                            </w:tcBorders>
                            <w:shd w:val="clear" w:color="auto" w:fill="auto"/>
                            <w:noWrap/>
                            <w:vAlign w:val="bottom"/>
                            <w:hideMark/>
                          </w:tcPr>
                          <w:p w14:paraId="3A45CEE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0.0510</w:t>
                            </w:r>
                          </w:p>
                        </w:tc>
                        <w:tc>
                          <w:tcPr>
                            <w:tcW w:w="656" w:type="dxa"/>
                            <w:tcBorders>
                              <w:top w:val="nil"/>
                              <w:left w:val="nil"/>
                              <w:bottom w:val="single" w:sz="4" w:space="0" w:color="auto"/>
                              <w:right w:val="single" w:sz="4" w:space="0" w:color="auto"/>
                            </w:tcBorders>
                            <w:shd w:val="clear" w:color="auto" w:fill="auto"/>
                            <w:noWrap/>
                            <w:vAlign w:val="bottom"/>
                            <w:hideMark/>
                          </w:tcPr>
                          <w:p w14:paraId="231FECC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0.0814</w:t>
                            </w:r>
                          </w:p>
                        </w:tc>
                        <w:tc>
                          <w:tcPr>
                            <w:tcW w:w="732" w:type="dxa"/>
                            <w:tcBorders>
                              <w:top w:val="nil"/>
                              <w:left w:val="nil"/>
                              <w:bottom w:val="single" w:sz="4" w:space="0" w:color="auto"/>
                              <w:right w:val="single" w:sz="4" w:space="0" w:color="auto"/>
                            </w:tcBorders>
                            <w:shd w:val="clear" w:color="auto" w:fill="auto"/>
                            <w:noWrap/>
                            <w:vAlign w:val="bottom"/>
                            <w:hideMark/>
                          </w:tcPr>
                          <w:p w14:paraId="1ACA8AB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0.0702</w:t>
                            </w:r>
                          </w:p>
                        </w:tc>
                        <w:tc>
                          <w:tcPr>
                            <w:tcW w:w="732" w:type="dxa"/>
                            <w:tcBorders>
                              <w:top w:val="nil"/>
                              <w:left w:val="nil"/>
                              <w:bottom w:val="single" w:sz="4" w:space="0" w:color="auto"/>
                              <w:right w:val="single" w:sz="4" w:space="0" w:color="auto"/>
                            </w:tcBorders>
                            <w:shd w:val="clear" w:color="auto" w:fill="auto"/>
                            <w:noWrap/>
                            <w:vAlign w:val="bottom"/>
                            <w:hideMark/>
                          </w:tcPr>
                          <w:p w14:paraId="6738902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00001EA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FA50D1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19F401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0DA15B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0980B35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2EC1471"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02F0A88"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Sector3</w:t>
                            </w:r>
                          </w:p>
                        </w:tc>
                        <w:tc>
                          <w:tcPr>
                            <w:tcW w:w="896" w:type="dxa"/>
                            <w:tcBorders>
                              <w:top w:val="nil"/>
                              <w:left w:val="nil"/>
                              <w:bottom w:val="single" w:sz="4" w:space="0" w:color="auto"/>
                              <w:right w:val="single" w:sz="4" w:space="0" w:color="auto"/>
                            </w:tcBorders>
                            <w:shd w:val="clear" w:color="auto" w:fill="auto"/>
                            <w:noWrap/>
                            <w:vAlign w:val="bottom"/>
                            <w:hideMark/>
                          </w:tcPr>
                          <w:p w14:paraId="07B3E85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0.0140</w:t>
                            </w:r>
                          </w:p>
                        </w:tc>
                        <w:tc>
                          <w:tcPr>
                            <w:tcW w:w="656" w:type="dxa"/>
                            <w:tcBorders>
                              <w:top w:val="nil"/>
                              <w:left w:val="nil"/>
                              <w:bottom w:val="single" w:sz="4" w:space="0" w:color="auto"/>
                              <w:right w:val="single" w:sz="4" w:space="0" w:color="auto"/>
                            </w:tcBorders>
                            <w:shd w:val="clear" w:color="auto" w:fill="auto"/>
                            <w:noWrap/>
                            <w:vAlign w:val="bottom"/>
                            <w:hideMark/>
                          </w:tcPr>
                          <w:p w14:paraId="1BE4F8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0.0931</w:t>
                            </w:r>
                          </w:p>
                        </w:tc>
                        <w:tc>
                          <w:tcPr>
                            <w:tcW w:w="656" w:type="dxa"/>
                            <w:tcBorders>
                              <w:top w:val="nil"/>
                              <w:left w:val="nil"/>
                              <w:bottom w:val="single" w:sz="4" w:space="0" w:color="auto"/>
                              <w:right w:val="single" w:sz="4" w:space="0" w:color="auto"/>
                            </w:tcBorders>
                            <w:shd w:val="clear" w:color="auto" w:fill="auto"/>
                            <w:noWrap/>
                            <w:vAlign w:val="bottom"/>
                            <w:hideMark/>
                          </w:tcPr>
                          <w:p w14:paraId="3A1AFE2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0.0031</w:t>
                            </w:r>
                          </w:p>
                        </w:tc>
                        <w:tc>
                          <w:tcPr>
                            <w:tcW w:w="656" w:type="dxa"/>
                            <w:tcBorders>
                              <w:top w:val="nil"/>
                              <w:left w:val="nil"/>
                              <w:bottom w:val="single" w:sz="4" w:space="0" w:color="auto"/>
                              <w:right w:val="single" w:sz="4" w:space="0" w:color="auto"/>
                            </w:tcBorders>
                            <w:shd w:val="clear" w:color="auto" w:fill="auto"/>
                            <w:noWrap/>
                            <w:vAlign w:val="bottom"/>
                            <w:hideMark/>
                          </w:tcPr>
                          <w:p w14:paraId="389523D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0.1012</w:t>
                            </w:r>
                          </w:p>
                        </w:tc>
                        <w:tc>
                          <w:tcPr>
                            <w:tcW w:w="750" w:type="dxa"/>
                            <w:tcBorders>
                              <w:top w:val="nil"/>
                              <w:left w:val="nil"/>
                              <w:bottom w:val="single" w:sz="4" w:space="0" w:color="auto"/>
                              <w:right w:val="single" w:sz="4" w:space="0" w:color="auto"/>
                            </w:tcBorders>
                            <w:shd w:val="clear" w:color="auto" w:fill="auto"/>
                            <w:noWrap/>
                            <w:vAlign w:val="bottom"/>
                            <w:hideMark/>
                          </w:tcPr>
                          <w:p w14:paraId="4C8CCAB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0.1514</w:t>
                            </w:r>
                          </w:p>
                        </w:tc>
                        <w:tc>
                          <w:tcPr>
                            <w:tcW w:w="857" w:type="dxa"/>
                            <w:tcBorders>
                              <w:top w:val="nil"/>
                              <w:left w:val="nil"/>
                              <w:bottom w:val="single" w:sz="4" w:space="0" w:color="auto"/>
                              <w:right w:val="single" w:sz="4" w:space="0" w:color="auto"/>
                            </w:tcBorders>
                            <w:shd w:val="clear" w:color="auto" w:fill="auto"/>
                            <w:noWrap/>
                            <w:vAlign w:val="bottom"/>
                            <w:hideMark/>
                          </w:tcPr>
                          <w:p w14:paraId="504ABA7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0.0181</w:t>
                            </w:r>
                          </w:p>
                        </w:tc>
                        <w:tc>
                          <w:tcPr>
                            <w:tcW w:w="656" w:type="dxa"/>
                            <w:tcBorders>
                              <w:top w:val="nil"/>
                              <w:left w:val="nil"/>
                              <w:bottom w:val="single" w:sz="4" w:space="0" w:color="auto"/>
                              <w:right w:val="single" w:sz="4" w:space="0" w:color="auto"/>
                            </w:tcBorders>
                            <w:shd w:val="clear" w:color="auto" w:fill="auto"/>
                            <w:noWrap/>
                            <w:vAlign w:val="bottom"/>
                            <w:hideMark/>
                          </w:tcPr>
                          <w:p w14:paraId="5DE0EA4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0.1662</w:t>
                            </w:r>
                          </w:p>
                        </w:tc>
                        <w:tc>
                          <w:tcPr>
                            <w:tcW w:w="732" w:type="dxa"/>
                            <w:tcBorders>
                              <w:top w:val="nil"/>
                              <w:left w:val="nil"/>
                              <w:bottom w:val="single" w:sz="4" w:space="0" w:color="auto"/>
                              <w:right w:val="single" w:sz="4" w:space="0" w:color="auto"/>
                            </w:tcBorders>
                            <w:shd w:val="clear" w:color="auto" w:fill="auto"/>
                            <w:noWrap/>
                            <w:vAlign w:val="bottom"/>
                            <w:hideMark/>
                          </w:tcPr>
                          <w:p w14:paraId="1887BD3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0.0606</w:t>
                            </w:r>
                          </w:p>
                        </w:tc>
                        <w:tc>
                          <w:tcPr>
                            <w:tcW w:w="732" w:type="dxa"/>
                            <w:tcBorders>
                              <w:top w:val="nil"/>
                              <w:left w:val="nil"/>
                              <w:bottom w:val="single" w:sz="4" w:space="0" w:color="auto"/>
                              <w:right w:val="single" w:sz="4" w:space="0" w:color="auto"/>
                            </w:tcBorders>
                            <w:shd w:val="clear" w:color="auto" w:fill="auto"/>
                            <w:noWrap/>
                            <w:vAlign w:val="bottom"/>
                            <w:hideMark/>
                          </w:tcPr>
                          <w:p w14:paraId="2A71EB2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0.2024</w:t>
                            </w:r>
                          </w:p>
                        </w:tc>
                        <w:tc>
                          <w:tcPr>
                            <w:tcW w:w="732" w:type="dxa"/>
                            <w:tcBorders>
                              <w:top w:val="nil"/>
                              <w:left w:val="nil"/>
                              <w:bottom w:val="single" w:sz="4" w:space="0" w:color="auto"/>
                              <w:right w:val="single" w:sz="4" w:space="0" w:color="auto"/>
                            </w:tcBorders>
                            <w:shd w:val="clear" w:color="auto" w:fill="auto"/>
                            <w:noWrap/>
                            <w:vAlign w:val="bottom"/>
                            <w:hideMark/>
                          </w:tcPr>
                          <w:p w14:paraId="6F55FAC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50834B9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57F78D7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4EFBBFA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2AF3B82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10F155DD"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5D92B50"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Sector4</w:t>
                            </w:r>
                          </w:p>
                        </w:tc>
                        <w:tc>
                          <w:tcPr>
                            <w:tcW w:w="896" w:type="dxa"/>
                            <w:tcBorders>
                              <w:top w:val="nil"/>
                              <w:left w:val="nil"/>
                              <w:bottom w:val="single" w:sz="4" w:space="0" w:color="auto"/>
                              <w:right w:val="single" w:sz="4" w:space="0" w:color="auto"/>
                            </w:tcBorders>
                            <w:shd w:val="clear" w:color="auto" w:fill="auto"/>
                            <w:noWrap/>
                            <w:vAlign w:val="bottom"/>
                            <w:hideMark/>
                          </w:tcPr>
                          <w:p w14:paraId="475F63F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0.0163</w:t>
                            </w:r>
                          </w:p>
                        </w:tc>
                        <w:tc>
                          <w:tcPr>
                            <w:tcW w:w="656" w:type="dxa"/>
                            <w:tcBorders>
                              <w:top w:val="nil"/>
                              <w:left w:val="nil"/>
                              <w:bottom w:val="single" w:sz="4" w:space="0" w:color="auto"/>
                              <w:right w:val="single" w:sz="4" w:space="0" w:color="auto"/>
                            </w:tcBorders>
                            <w:shd w:val="clear" w:color="auto" w:fill="auto"/>
                            <w:noWrap/>
                            <w:vAlign w:val="bottom"/>
                            <w:hideMark/>
                          </w:tcPr>
                          <w:p w14:paraId="318BEF8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0.1022</w:t>
                            </w:r>
                          </w:p>
                        </w:tc>
                        <w:tc>
                          <w:tcPr>
                            <w:tcW w:w="656" w:type="dxa"/>
                            <w:tcBorders>
                              <w:top w:val="nil"/>
                              <w:left w:val="nil"/>
                              <w:bottom w:val="single" w:sz="4" w:space="0" w:color="auto"/>
                              <w:right w:val="single" w:sz="4" w:space="0" w:color="auto"/>
                            </w:tcBorders>
                            <w:shd w:val="clear" w:color="auto" w:fill="auto"/>
                            <w:noWrap/>
                            <w:vAlign w:val="bottom"/>
                            <w:hideMark/>
                          </w:tcPr>
                          <w:p w14:paraId="606FCE6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0.1009</w:t>
                            </w:r>
                          </w:p>
                        </w:tc>
                        <w:tc>
                          <w:tcPr>
                            <w:tcW w:w="656" w:type="dxa"/>
                            <w:tcBorders>
                              <w:top w:val="nil"/>
                              <w:left w:val="nil"/>
                              <w:bottom w:val="single" w:sz="4" w:space="0" w:color="auto"/>
                              <w:right w:val="single" w:sz="4" w:space="0" w:color="auto"/>
                            </w:tcBorders>
                            <w:shd w:val="clear" w:color="auto" w:fill="auto"/>
                            <w:noWrap/>
                            <w:vAlign w:val="bottom"/>
                            <w:hideMark/>
                          </w:tcPr>
                          <w:p w14:paraId="3C4D20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0.1273</w:t>
                            </w:r>
                          </w:p>
                        </w:tc>
                        <w:tc>
                          <w:tcPr>
                            <w:tcW w:w="750" w:type="dxa"/>
                            <w:tcBorders>
                              <w:top w:val="nil"/>
                              <w:left w:val="nil"/>
                              <w:bottom w:val="single" w:sz="4" w:space="0" w:color="auto"/>
                              <w:right w:val="single" w:sz="4" w:space="0" w:color="auto"/>
                            </w:tcBorders>
                            <w:shd w:val="clear" w:color="auto" w:fill="auto"/>
                            <w:noWrap/>
                            <w:vAlign w:val="bottom"/>
                            <w:hideMark/>
                          </w:tcPr>
                          <w:p w14:paraId="75EA701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0.0403</w:t>
                            </w:r>
                          </w:p>
                        </w:tc>
                        <w:tc>
                          <w:tcPr>
                            <w:tcW w:w="857" w:type="dxa"/>
                            <w:tcBorders>
                              <w:top w:val="nil"/>
                              <w:left w:val="nil"/>
                              <w:bottom w:val="single" w:sz="4" w:space="0" w:color="auto"/>
                              <w:right w:val="single" w:sz="4" w:space="0" w:color="auto"/>
                            </w:tcBorders>
                            <w:shd w:val="clear" w:color="auto" w:fill="auto"/>
                            <w:noWrap/>
                            <w:vAlign w:val="bottom"/>
                            <w:hideMark/>
                          </w:tcPr>
                          <w:p w14:paraId="3DDB493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0.0157</w:t>
                            </w:r>
                          </w:p>
                        </w:tc>
                        <w:tc>
                          <w:tcPr>
                            <w:tcW w:w="656" w:type="dxa"/>
                            <w:tcBorders>
                              <w:top w:val="nil"/>
                              <w:left w:val="nil"/>
                              <w:bottom w:val="single" w:sz="4" w:space="0" w:color="auto"/>
                              <w:right w:val="single" w:sz="4" w:space="0" w:color="auto"/>
                            </w:tcBorders>
                            <w:shd w:val="clear" w:color="auto" w:fill="auto"/>
                            <w:noWrap/>
                            <w:vAlign w:val="bottom"/>
                            <w:hideMark/>
                          </w:tcPr>
                          <w:p w14:paraId="2094D6F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0.1158</w:t>
                            </w:r>
                          </w:p>
                        </w:tc>
                        <w:tc>
                          <w:tcPr>
                            <w:tcW w:w="732" w:type="dxa"/>
                            <w:tcBorders>
                              <w:top w:val="nil"/>
                              <w:left w:val="nil"/>
                              <w:bottom w:val="single" w:sz="4" w:space="0" w:color="auto"/>
                              <w:right w:val="single" w:sz="4" w:space="0" w:color="auto"/>
                            </w:tcBorders>
                            <w:shd w:val="clear" w:color="auto" w:fill="auto"/>
                            <w:noWrap/>
                            <w:vAlign w:val="bottom"/>
                            <w:hideMark/>
                          </w:tcPr>
                          <w:p w14:paraId="0907919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0.0511</w:t>
                            </w:r>
                          </w:p>
                        </w:tc>
                        <w:tc>
                          <w:tcPr>
                            <w:tcW w:w="732" w:type="dxa"/>
                            <w:tcBorders>
                              <w:top w:val="nil"/>
                              <w:left w:val="nil"/>
                              <w:bottom w:val="single" w:sz="4" w:space="0" w:color="auto"/>
                              <w:right w:val="single" w:sz="4" w:space="0" w:color="auto"/>
                            </w:tcBorders>
                            <w:shd w:val="clear" w:color="auto" w:fill="auto"/>
                            <w:noWrap/>
                            <w:vAlign w:val="bottom"/>
                            <w:hideMark/>
                          </w:tcPr>
                          <w:p w14:paraId="0269B2E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0.1709</w:t>
                            </w:r>
                          </w:p>
                        </w:tc>
                        <w:tc>
                          <w:tcPr>
                            <w:tcW w:w="732" w:type="dxa"/>
                            <w:tcBorders>
                              <w:top w:val="nil"/>
                              <w:left w:val="nil"/>
                              <w:bottom w:val="single" w:sz="4" w:space="0" w:color="auto"/>
                              <w:right w:val="single" w:sz="4" w:space="0" w:color="auto"/>
                            </w:tcBorders>
                            <w:shd w:val="clear" w:color="auto" w:fill="auto"/>
                            <w:noWrap/>
                            <w:vAlign w:val="bottom"/>
                            <w:hideMark/>
                          </w:tcPr>
                          <w:p w14:paraId="2C01790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0.1475</w:t>
                            </w:r>
                          </w:p>
                        </w:tc>
                        <w:tc>
                          <w:tcPr>
                            <w:tcW w:w="732" w:type="dxa"/>
                            <w:tcBorders>
                              <w:top w:val="nil"/>
                              <w:left w:val="nil"/>
                              <w:bottom w:val="single" w:sz="4" w:space="0" w:color="auto"/>
                              <w:right w:val="single" w:sz="4" w:space="0" w:color="auto"/>
                            </w:tcBorders>
                            <w:shd w:val="clear" w:color="auto" w:fill="auto"/>
                            <w:noWrap/>
                            <w:vAlign w:val="bottom"/>
                            <w:hideMark/>
                          </w:tcPr>
                          <w:p w14:paraId="4F8DAA7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08D241D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14:paraId="0533E8E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337B016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2F72F675"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1577AE6B"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Sector5</w:t>
                            </w:r>
                          </w:p>
                        </w:tc>
                        <w:tc>
                          <w:tcPr>
                            <w:tcW w:w="896" w:type="dxa"/>
                            <w:tcBorders>
                              <w:top w:val="nil"/>
                              <w:left w:val="nil"/>
                              <w:bottom w:val="single" w:sz="4" w:space="0" w:color="auto"/>
                              <w:right w:val="single" w:sz="4" w:space="0" w:color="auto"/>
                            </w:tcBorders>
                            <w:shd w:val="clear" w:color="auto" w:fill="auto"/>
                            <w:noWrap/>
                            <w:vAlign w:val="bottom"/>
                            <w:hideMark/>
                          </w:tcPr>
                          <w:p w14:paraId="2B6AFC0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0.1673</w:t>
                            </w:r>
                          </w:p>
                        </w:tc>
                        <w:tc>
                          <w:tcPr>
                            <w:tcW w:w="656" w:type="dxa"/>
                            <w:tcBorders>
                              <w:top w:val="nil"/>
                              <w:left w:val="nil"/>
                              <w:bottom w:val="single" w:sz="4" w:space="0" w:color="auto"/>
                              <w:right w:val="single" w:sz="4" w:space="0" w:color="auto"/>
                            </w:tcBorders>
                            <w:shd w:val="clear" w:color="auto" w:fill="auto"/>
                            <w:noWrap/>
                            <w:vAlign w:val="bottom"/>
                            <w:hideMark/>
                          </w:tcPr>
                          <w:p w14:paraId="4252E15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0.0686</w:t>
                            </w:r>
                          </w:p>
                        </w:tc>
                        <w:tc>
                          <w:tcPr>
                            <w:tcW w:w="656" w:type="dxa"/>
                            <w:tcBorders>
                              <w:top w:val="nil"/>
                              <w:left w:val="nil"/>
                              <w:bottom w:val="single" w:sz="4" w:space="0" w:color="auto"/>
                              <w:right w:val="single" w:sz="4" w:space="0" w:color="auto"/>
                            </w:tcBorders>
                            <w:shd w:val="clear" w:color="auto" w:fill="auto"/>
                            <w:noWrap/>
                            <w:vAlign w:val="bottom"/>
                            <w:hideMark/>
                          </w:tcPr>
                          <w:p w14:paraId="009AE5A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0.1473</w:t>
                            </w:r>
                          </w:p>
                        </w:tc>
                        <w:tc>
                          <w:tcPr>
                            <w:tcW w:w="656" w:type="dxa"/>
                            <w:tcBorders>
                              <w:top w:val="nil"/>
                              <w:left w:val="nil"/>
                              <w:bottom w:val="single" w:sz="4" w:space="0" w:color="auto"/>
                              <w:right w:val="single" w:sz="4" w:space="0" w:color="auto"/>
                            </w:tcBorders>
                            <w:shd w:val="clear" w:color="auto" w:fill="auto"/>
                            <w:noWrap/>
                            <w:vAlign w:val="bottom"/>
                            <w:hideMark/>
                          </w:tcPr>
                          <w:p w14:paraId="5168E97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0.0321</w:t>
                            </w:r>
                          </w:p>
                        </w:tc>
                        <w:tc>
                          <w:tcPr>
                            <w:tcW w:w="750" w:type="dxa"/>
                            <w:tcBorders>
                              <w:top w:val="nil"/>
                              <w:left w:val="nil"/>
                              <w:bottom w:val="single" w:sz="4" w:space="0" w:color="auto"/>
                              <w:right w:val="single" w:sz="4" w:space="0" w:color="auto"/>
                            </w:tcBorders>
                            <w:shd w:val="clear" w:color="auto" w:fill="auto"/>
                            <w:noWrap/>
                            <w:vAlign w:val="bottom"/>
                            <w:hideMark/>
                          </w:tcPr>
                          <w:p w14:paraId="40D27EF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0.0237</w:t>
                            </w:r>
                          </w:p>
                        </w:tc>
                        <w:tc>
                          <w:tcPr>
                            <w:tcW w:w="857" w:type="dxa"/>
                            <w:tcBorders>
                              <w:top w:val="nil"/>
                              <w:left w:val="nil"/>
                              <w:bottom w:val="single" w:sz="4" w:space="0" w:color="auto"/>
                              <w:right w:val="single" w:sz="4" w:space="0" w:color="auto"/>
                            </w:tcBorders>
                            <w:shd w:val="clear" w:color="auto" w:fill="auto"/>
                            <w:noWrap/>
                            <w:vAlign w:val="bottom"/>
                            <w:hideMark/>
                          </w:tcPr>
                          <w:p w14:paraId="665D6FCB"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0.0125</w:t>
                            </w:r>
                          </w:p>
                        </w:tc>
                        <w:tc>
                          <w:tcPr>
                            <w:tcW w:w="656" w:type="dxa"/>
                            <w:tcBorders>
                              <w:top w:val="nil"/>
                              <w:left w:val="nil"/>
                              <w:bottom w:val="single" w:sz="4" w:space="0" w:color="auto"/>
                              <w:right w:val="single" w:sz="4" w:space="0" w:color="auto"/>
                            </w:tcBorders>
                            <w:shd w:val="clear" w:color="auto" w:fill="auto"/>
                            <w:noWrap/>
                            <w:vAlign w:val="bottom"/>
                            <w:hideMark/>
                          </w:tcPr>
                          <w:p w14:paraId="2996A31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0.1123</w:t>
                            </w:r>
                          </w:p>
                        </w:tc>
                        <w:tc>
                          <w:tcPr>
                            <w:tcW w:w="732" w:type="dxa"/>
                            <w:tcBorders>
                              <w:top w:val="nil"/>
                              <w:left w:val="nil"/>
                              <w:bottom w:val="single" w:sz="4" w:space="0" w:color="auto"/>
                              <w:right w:val="single" w:sz="4" w:space="0" w:color="auto"/>
                            </w:tcBorders>
                            <w:shd w:val="clear" w:color="auto" w:fill="auto"/>
                            <w:noWrap/>
                            <w:vAlign w:val="bottom"/>
                            <w:hideMark/>
                          </w:tcPr>
                          <w:p w14:paraId="12FAF21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0.0294</w:t>
                            </w:r>
                          </w:p>
                        </w:tc>
                        <w:tc>
                          <w:tcPr>
                            <w:tcW w:w="732" w:type="dxa"/>
                            <w:tcBorders>
                              <w:top w:val="nil"/>
                              <w:left w:val="nil"/>
                              <w:bottom w:val="single" w:sz="4" w:space="0" w:color="auto"/>
                              <w:right w:val="single" w:sz="4" w:space="0" w:color="auto"/>
                            </w:tcBorders>
                            <w:shd w:val="clear" w:color="auto" w:fill="auto"/>
                            <w:noWrap/>
                            <w:vAlign w:val="bottom"/>
                            <w:hideMark/>
                          </w:tcPr>
                          <w:p w14:paraId="4025015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0.0982</w:t>
                            </w:r>
                          </w:p>
                        </w:tc>
                        <w:tc>
                          <w:tcPr>
                            <w:tcW w:w="732" w:type="dxa"/>
                            <w:tcBorders>
                              <w:top w:val="nil"/>
                              <w:left w:val="nil"/>
                              <w:bottom w:val="single" w:sz="4" w:space="0" w:color="auto"/>
                              <w:right w:val="single" w:sz="4" w:space="0" w:color="auto"/>
                            </w:tcBorders>
                            <w:shd w:val="clear" w:color="auto" w:fill="auto"/>
                            <w:noWrap/>
                            <w:vAlign w:val="bottom"/>
                            <w:hideMark/>
                          </w:tcPr>
                          <w:p w14:paraId="66B142EA" w14:textId="77777777" w:rsidR="008E5542" w:rsidRPr="00CA0B89" w:rsidRDefault="008E5542" w:rsidP="009B2BD2">
                            <w:pPr>
                              <w:spacing w:after="0" w:line="240" w:lineRule="auto"/>
                              <w:ind w:left="0" w:firstLine="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CA0B89">
                              <w:rPr>
                                <w:rFonts w:ascii="Times New Roman" w:eastAsia="Times New Roman" w:hAnsi="Times New Roman" w:cs="Times New Roman"/>
                                <w:sz w:val="16"/>
                                <w:szCs w:val="16"/>
                              </w:rPr>
                              <w:t>0.0848</w:t>
                            </w:r>
                          </w:p>
                        </w:tc>
                        <w:tc>
                          <w:tcPr>
                            <w:tcW w:w="732" w:type="dxa"/>
                            <w:tcBorders>
                              <w:top w:val="nil"/>
                              <w:left w:val="nil"/>
                              <w:bottom w:val="single" w:sz="4" w:space="0" w:color="auto"/>
                              <w:right w:val="single" w:sz="4" w:space="0" w:color="auto"/>
                            </w:tcBorders>
                            <w:shd w:val="clear" w:color="auto" w:fill="auto"/>
                            <w:noWrap/>
                            <w:vAlign w:val="bottom"/>
                            <w:hideMark/>
                          </w:tcPr>
                          <w:p w14:paraId="396102D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0.0716</w:t>
                            </w:r>
                          </w:p>
                        </w:tc>
                        <w:tc>
                          <w:tcPr>
                            <w:tcW w:w="732" w:type="dxa"/>
                            <w:tcBorders>
                              <w:top w:val="nil"/>
                              <w:left w:val="nil"/>
                              <w:bottom w:val="single" w:sz="4" w:space="0" w:color="auto"/>
                              <w:right w:val="single" w:sz="4" w:space="0" w:color="auto"/>
                            </w:tcBorders>
                            <w:shd w:val="clear" w:color="auto" w:fill="auto"/>
                            <w:noWrap/>
                            <w:vAlign w:val="bottom"/>
                            <w:hideMark/>
                          </w:tcPr>
                          <w:p w14:paraId="59B5F6C6"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4" w:space="0" w:color="auto"/>
                            </w:tcBorders>
                            <w:shd w:val="clear" w:color="auto" w:fill="auto"/>
                            <w:noWrap/>
                            <w:vAlign w:val="bottom"/>
                            <w:hideMark/>
                          </w:tcPr>
                          <w:p w14:paraId="34C8E485"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c>
                          <w:tcPr>
                            <w:tcW w:w="732" w:type="dxa"/>
                            <w:tcBorders>
                              <w:top w:val="nil"/>
                              <w:left w:val="nil"/>
                              <w:bottom w:val="single" w:sz="4" w:space="0" w:color="auto"/>
                              <w:right w:val="single" w:sz="8" w:space="0" w:color="auto"/>
                            </w:tcBorders>
                            <w:shd w:val="clear" w:color="auto" w:fill="auto"/>
                            <w:noWrap/>
                            <w:vAlign w:val="bottom"/>
                            <w:hideMark/>
                          </w:tcPr>
                          <w:p w14:paraId="19F38CF3"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09F49BC0"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6865B879"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Sector6</w:t>
                            </w:r>
                          </w:p>
                        </w:tc>
                        <w:tc>
                          <w:tcPr>
                            <w:tcW w:w="896" w:type="dxa"/>
                            <w:tcBorders>
                              <w:top w:val="nil"/>
                              <w:left w:val="nil"/>
                              <w:bottom w:val="single" w:sz="4" w:space="0" w:color="auto"/>
                              <w:right w:val="single" w:sz="4" w:space="0" w:color="auto"/>
                            </w:tcBorders>
                            <w:shd w:val="clear" w:color="auto" w:fill="auto"/>
                            <w:noWrap/>
                            <w:vAlign w:val="bottom"/>
                            <w:hideMark/>
                          </w:tcPr>
                          <w:p w14:paraId="2162EF3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0.0759</w:t>
                            </w:r>
                          </w:p>
                        </w:tc>
                        <w:tc>
                          <w:tcPr>
                            <w:tcW w:w="656" w:type="dxa"/>
                            <w:tcBorders>
                              <w:top w:val="nil"/>
                              <w:left w:val="nil"/>
                              <w:bottom w:val="single" w:sz="4" w:space="0" w:color="auto"/>
                              <w:right w:val="single" w:sz="4" w:space="0" w:color="auto"/>
                            </w:tcBorders>
                            <w:shd w:val="clear" w:color="auto" w:fill="auto"/>
                            <w:noWrap/>
                            <w:vAlign w:val="bottom"/>
                            <w:hideMark/>
                          </w:tcPr>
                          <w:p w14:paraId="6B801B7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0.1356</w:t>
                            </w:r>
                          </w:p>
                        </w:tc>
                        <w:tc>
                          <w:tcPr>
                            <w:tcW w:w="656" w:type="dxa"/>
                            <w:tcBorders>
                              <w:top w:val="nil"/>
                              <w:left w:val="nil"/>
                              <w:bottom w:val="single" w:sz="4" w:space="0" w:color="auto"/>
                              <w:right w:val="single" w:sz="4" w:space="0" w:color="auto"/>
                            </w:tcBorders>
                            <w:shd w:val="clear" w:color="auto" w:fill="auto"/>
                            <w:noWrap/>
                            <w:vAlign w:val="bottom"/>
                            <w:hideMark/>
                          </w:tcPr>
                          <w:p w14:paraId="2CA9D80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0.1136</w:t>
                            </w:r>
                          </w:p>
                        </w:tc>
                        <w:tc>
                          <w:tcPr>
                            <w:tcW w:w="656" w:type="dxa"/>
                            <w:tcBorders>
                              <w:top w:val="nil"/>
                              <w:left w:val="nil"/>
                              <w:bottom w:val="single" w:sz="4" w:space="0" w:color="auto"/>
                              <w:right w:val="single" w:sz="4" w:space="0" w:color="auto"/>
                            </w:tcBorders>
                            <w:shd w:val="clear" w:color="auto" w:fill="auto"/>
                            <w:noWrap/>
                            <w:vAlign w:val="bottom"/>
                            <w:hideMark/>
                          </w:tcPr>
                          <w:p w14:paraId="0AD168E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0.1088</w:t>
                            </w:r>
                          </w:p>
                        </w:tc>
                        <w:tc>
                          <w:tcPr>
                            <w:tcW w:w="750" w:type="dxa"/>
                            <w:tcBorders>
                              <w:top w:val="nil"/>
                              <w:left w:val="nil"/>
                              <w:bottom w:val="single" w:sz="4" w:space="0" w:color="auto"/>
                              <w:right w:val="single" w:sz="4" w:space="0" w:color="auto"/>
                            </w:tcBorders>
                            <w:shd w:val="clear" w:color="auto" w:fill="auto"/>
                            <w:noWrap/>
                            <w:vAlign w:val="bottom"/>
                            <w:hideMark/>
                          </w:tcPr>
                          <w:p w14:paraId="1EB1152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0.0823</w:t>
                            </w:r>
                          </w:p>
                        </w:tc>
                        <w:tc>
                          <w:tcPr>
                            <w:tcW w:w="857" w:type="dxa"/>
                            <w:tcBorders>
                              <w:top w:val="nil"/>
                              <w:left w:val="nil"/>
                              <w:bottom w:val="single" w:sz="4" w:space="0" w:color="auto"/>
                              <w:right w:val="single" w:sz="4" w:space="0" w:color="auto"/>
                            </w:tcBorders>
                            <w:shd w:val="clear" w:color="auto" w:fill="auto"/>
                            <w:noWrap/>
                            <w:vAlign w:val="bottom"/>
                            <w:hideMark/>
                          </w:tcPr>
                          <w:p w14:paraId="0A85EA84"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0.0838</w:t>
                            </w:r>
                          </w:p>
                        </w:tc>
                        <w:tc>
                          <w:tcPr>
                            <w:tcW w:w="656" w:type="dxa"/>
                            <w:tcBorders>
                              <w:top w:val="nil"/>
                              <w:left w:val="nil"/>
                              <w:bottom w:val="single" w:sz="4" w:space="0" w:color="auto"/>
                              <w:right w:val="single" w:sz="4" w:space="0" w:color="auto"/>
                            </w:tcBorders>
                            <w:shd w:val="clear" w:color="auto" w:fill="auto"/>
                            <w:noWrap/>
                            <w:vAlign w:val="bottom"/>
                            <w:hideMark/>
                          </w:tcPr>
                          <w:p w14:paraId="4E827FE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0.2433</w:t>
                            </w:r>
                          </w:p>
                        </w:tc>
                        <w:tc>
                          <w:tcPr>
                            <w:tcW w:w="732" w:type="dxa"/>
                            <w:tcBorders>
                              <w:top w:val="nil"/>
                              <w:left w:val="nil"/>
                              <w:bottom w:val="single" w:sz="4" w:space="0" w:color="auto"/>
                              <w:right w:val="single" w:sz="4" w:space="0" w:color="auto"/>
                            </w:tcBorders>
                            <w:shd w:val="clear" w:color="auto" w:fill="auto"/>
                            <w:noWrap/>
                            <w:vAlign w:val="bottom"/>
                            <w:hideMark/>
                          </w:tcPr>
                          <w:p w14:paraId="7F71925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0.0712</w:t>
                            </w:r>
                          </w:p>
                        </w:tc>
                        <w:tc>
                          <w:tcPr>
                            <w:tcW w:w="732" w:type="dxa"/>
                            <w:tcBorders>
                              <w:top w:val="nil"/>
                              <w:left w:val="nil"/>
                              <w:bottom w:val="single" w:sz="4" w:space="0" w:color="auto"/>
                              <w:right w:val="single" w:sz="4" w:space="0" w:color="auto"/>
                            </w:tcBorders>
                            <w:shd w:val="clear" w:color="auto" w:fill="auto"/>
                            <w:noWrap/>
                            <w:vAlign w:val="bottom"/>
                            <w:hideMark/>
                          </w:tcPr>
                          <w:p w14:paraId="4308E4A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0.2380</w:t>
                            </w:r>
                          </w:p>
                        </w:tc>
                        <w:tc>
                          <w:tcPr>
                            <w:tcW w:w="732" w:type="dxa"/>
                            <w:tcBorders>
                              <w:top w:val="nil"/>
                              <w:left w:val="nil"/>
                              <w:bottom w:val="single" w:sz="4" w:space="0" w:color="auto"/>
                              <w:right w:val="single" w:sz="4" w:space="0" w:color="auto"/>
                            </w:tcBorders>
                            <w:shd w:val="clear" w:color="auto" w:fill="auto"/>
                            <w:noWrap/>
                            <w:vAlign w:val="bottom"/>
                            <w:hideMark/>
                          </w:tcPr>
                          <w:p w14:paraId="4737F597"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0.2055</w:t>
                            </w:r>
                          </w:p>
                        </w:tc>
                        <w:tc>
                          <w:tcPr>
                            <w:tcW w:w="732" w:type="dxa"/>
                            <w:tcBorders>
                              <w:top w:val="nil"/>
                              <w:left w:val="nil"/>
                              <w:bottom w:val="single" w:sz="4" w:space="0" w:color="auto"/>
                              <w:right w:val="single" w:sz="4" w:space="0" w:color="auto"/>
                            </w:tcBorders>
                            <w:shd w:val="clear" w:color="auto" w:fill="auto"/>
                            <w:noWrap/>
                            <w:vAlign w:val="bottom"/>
                            <w:hideMark/>
                          </w:tcPr>
                          <w:p w14:paraId="48D57A6C"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0.1735</w:t>
                            </w:r>
                          </w:p>
                        </w:tc>
                        <w:tc>
                          <w:tcPr>
                            <w:tcW w:w="732" w:type="dxa"/>
                            <w:tcBorders>
                              <w:top w:val="nil"/>
                              <w:left w:val="nil"/>
                              <w:bottom w:val="single" w:sz="4" w:space="0" w:color="auto"/>
                              <w:right w:val="single" w:sz="4" w:space="0" w:color="auto"/>
                            </w:tcBorders>
                            <w:shd w:val="clear" w:color="auto" w:fill="auto"/>
                            <w:noWrap/>
                            <w:vAlign w:val="bottom"/>
                            <w:hideMark/>
                          </w:tcPr>
                          <w:p w14:paraId="40C64F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0.0988</w:t>
                            </w:r>
                          </w:p>
                        </w:tc>
                        <w:tc>
                          <w:tcPr>
                            <w:tcW w:w="732" w:type="dxa"/>
                            <w:tcBorders>
                              <w:top w:val="nil"/>
                              <w:left w:val="nil"/>
                              <w:bottom w:val="single" w:sz="4" w:space="0" w:color="auto"/>
                              <w:right w:val="single" w:sz="4" w:space="0" w:color="auto"/>
                            </w:tcBorders>
                            <w:shd w:val="clear" w:color="auto" w:fill="auto"/>
                            <w:noWrap/>
                            <w:vAlign w:val="bottom"/>
                            <w:hideMark/>
                          </w:tcPr>
                          <w:p w14:paraId="12E60D7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c>
                          <w:tcPr>
                            <w:tcW w:w="732" w:type="dxa"/>
                            <w:tcBorders>
                              <w:top w:val="nil"/>
                              <w:left w:val="nil"/>
                              <w:bottom w:val="single" w:sz="4" w:space="0" w:color="auto"/>
                              <w:right w:val="single" w:sz="8" w:space="0" w:color="auto"/>
                            </w:tcBorders>
                            <w:shd w:val="clear" w:color="auto" w:fill="auto"/>
                            <w:noWrap/>
                            <w:vAlign w:val="bottom"/>
                            <w:hideMark/>
                          </w:tcPr>
                          <w:p w14:paraId="1EA062A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 </w:t>
                            </w:r>
                          </w:p>
                        </w:tc>
                      </w:tr>
                      <w:tr w:rsidR="008E5542" w:rsidRPr="00CA0B89" w14:paraId="6FF1A08F" w14:textId="77777777" w:rsidTr="00B5127E">
                        <w:trPr>
                          <w:trHeight w:val="320"/>
                          <w:jc w:val="center"/>
                        </w:trPr>
                        <w:tc>
                          <w:tcPr>
                            <w:tcW w:w="857" w:type="dxa"/>
                            <w:tcBorders>
                              <w:top w:val="nil"/>
                              <w:left w:val="single" w:sz="8" w:space="0" w:color="auto"/>
                              <w:bottom w:val="single" w:sz="8" w:space="0" w:color="auto"/>
                              <w:right w:val="single" w:sz="8" w:space="0" w:color="auto"/>
                            </w:tcBorders>
                            <w:shd w:val="clear" w:color="auto" w:fill="auto"/>
                            <w:noWrap/>
                            <w:vAlign w:val="bottom"/>
                            <w:hideMark/>
                          </w:tcPr>
                          <w:p w14:paraId="0807BF63" w14:textId="77777777" w:rsidR="008E5542" w:rsidRPr="00CA0B89" w:rsidRDefault="008E5542" w:rsidP="00CA0B89">
                            <w:pPr>
                              <w:spacing w:after="0" w:line="240" w:lineRule="auto"/>
                              <w:ind w:left="0" w:firstLine="0"/>
                              <w:jc w:val="center"/>
                              <w:rPr>
                                <w:rFonts w:ascii="Times New Roman" w:eastAsia="Times New Roman" w:hAnsi="Times New Roman" w:cs="Times New Roman"/>
                                <w:b/>
                                <w:bCs/>
                                <w:sz w:val="16"/>
                                <w:szCs w:val="16"/>
                              </w:rPr>
                            </w:pPr>
                            <w:r w:rsidRPr="00CA0B89">
                              <w:rPr>
                                <w:rFonts w:ascii="Times New Roman" w:eastAsia="Times New Roman" w:hAnsi="Times New Roman" w:cs="Times New Roman"/>
                                <w:b/>
                                <w:bCs/>
                                <w:sz w:val="16"/>
                                <w:szCs w:val="16"/>
                              </w:rPr>
                              <w:t>Sector7</w:t>
                            </w:r>
                          </w:p>
                        </w:tc>
                        <w:tc>
                          <w:tcPr>
                            <w:tcW w:w="896" w:type="dxa"/>
                            <w:tcBorders>
                              <w:top w:val="nil"/>
                              <w:left w:val="nil"/>
                              <w:bottom w:val="single" w:sz="8" w:space="0" w:color="auto"/>
                              <w:right w:val="single" w:sz="4" w:space="0" w:color="auto"/>
                            </w:tcBorders>
                            <w:shd w:val="clear" w:color="auto" w:fill="auto"/>
                            <w:noWrap/>
                            <w:vAlign w:val="bottom"/>
                            <w:hideMark/>
                          </w:tcPr>
                          <w:p w14:paraId="2C45FA0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0.0999</w:t>
                            </w:r>
                          </w:p>
                        </w:tc>
                        <w:tc>
                          <w:tcPr>
                            <w:tcW w:w="656" w:type="dxa"/>
                            <w:tcBorders>
                              <w:top w:val="nil"/>
                              <w:left w:val="nil"/>
                              <w:bottom w:val="single" w:sz="8" w:space="0" w:color="auto"/>
                              <w:right w:val="single" w:sz="4" w:space="0" w:color="auto"/>
                            </w:tcBorders>
                            <w:shd w:val="clear" w:color="auto" w:fill="auto"/>
                            <w:noWrap/>
                            <w:vAlign w:val="bottom"/>
                            <w:hideMark/>
                          </w:tcPr>
                          <w:p w14:paraId="1394C551"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0.0739</w:t>
                            </w:r>
                          </w:p>
                        </w:tc>
                        <w:tc>
                          <w:tcPr>
                            <w:tcW w:w="656" w:type="dxa"/>
                            <w:tcBorders>
                              <w:top w:val="nil"/>
                              <w:left w:val="nil"/>
                              <w:bottom w:val="single" w:sz="8" w:space="0" w:color="auto"/>
                              <w:right w:val="single" w:sz="4" w:space="0" w:color="auto"/>
                            </w:tcBorders>
                            <w:shd w:val="clear" w:color="auto" w:fill="auto"/>
                            <w:noWrap/>
                            <w:vAlign w:val="bottom"/>
                            <w:hideMark/>
                          </w:tcPr>
                          <w:p w14:paraId="4D627CCE"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0.0908</w:t>
                            </w:r>
                          </w:p>
                        </w:tc>
                        <w:tc>
                          <w:tcPr>
                            <w:tcW w:w="656" w:type="dxa"/>
                            <w:tcBorders>
                              <w:top w:val="nil"/>
                              <w:left w:val="nil"/>
                              <w:bottom w:val="single" w:sz="8" w:space="0" w:color="auto"/>
                              <w:right w:val="single" w:sz="4" w:space="0" w:color="auto"/>
                            </w:tcBorders>
                            <w:shd w:val="clear" w:color="auto" w:fill="auto"/>
                            <w:noWrap/>
                            <w:vAlign w:val="bottom"/>
                            <w:hideMark/>
                          </w:tcPr>
                          <w:p w14:paraId="565AD682"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0.0528</w:t>
                            </w:r>
                          </w:p>
                        </w:tc>
                        <w:tc>
                          <w:tcPr>
                            <w:tcW w:w="750" w:type="dxa"/>
                            <w:tcBorders>
                              <w:top w:val="nil"/>
                              <w:left w:val="nil"/>
                              <w:bottom w:val="single" w:sz="8" w:space="0" w:color="auto"/>
                              <w:right w:val="single" w:sz="4" w:space="0" w:color="auto"/>
                            </w:tcBorders>
                            <w:shd w:val="clear" w:color="auto" w:fill="auto"/>
                            <w:noWrap/>
                            <w:vAlign w:val="bottom"/>
                            <w:hideMark/>
                          </w:tcPr>
                          <w:p w14:paraId="75E413B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0.0214</w:t>
                            </w:r>
                          </w:p>
                        </w:tc>
                        <w:tc>
                          <w:tcPr>
                            <w:tcW w:w="857" w:type="dxa"/>
                            <w:tcBorders>
                              <w:top w:val="nil"/>
                              <w:left w:val="nil"/>
                              <w:bottom w:val="single" w:sz="8" w:space="0" w:color="auto"/>
                              <w:right w:val="single" w:sz="4" w:space="0" w:color="auto"/>
                            </w:tcBorders>
                            <w:shd w:val="clear" w:color="auto" w:fill="auto"/>
                            <w:noWrap/>
                            <w:vAlign w:val="bottom"/>
                            <w:hideMark/>
                          </w:tcPr>
                          <w:p w14:paraId="49D623AF"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0.0831</w:t>
                            </w:r>
                          </w:p>
                        </w:tc>
                        <w:tc>
                          <w:tcPr>
                            <w:tcW w:w="656" w:type="dxa"/>
                            <w:tcBorders>
                              <w:top w:val="nil"/>
                              <w:left w:val="nil"/>
                              <w:bottom w:val="single" w:sz="8" w:space="0" w:color="auto"/>
                              <w:right w:val="single" w:sz="4" w:space="0" w:color="auto"/>
                            </w:tcBorders>
                            <w:shd w:val="clear" w:color="auto" w:fill="auto"/>
                            <w:noWrap/>
                            <w:vAlign w:val="bottom"/>
                            <w:hideMark/>
                          </w:tcPr>
                          <w:p w14:paraId="3723CB5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0.1046</w:t>
                            </w:r>
                          </w:p>
                        </w:tc>
                        <w:tc>
                          <w:tcPr>
                            <w:tcW w:w="732" w:type="dxa"/>
                            <w:tcBorders>
                              <w:top w:val="nil"/>
                              <w:left w:val="nil"/>
                              <w:bottom w:val="single" w:sz="8" w:space="0" w:color="auto"/>
                              <w:right w:val="single" w:sz="4" w:space="0" w:color="auto"/>
                            </w:tcBorders>
                            <w:shd w:val="clear" w:color="auto" w:fill="auto"/>
                            <w:noWrap/>
                            <w:vAlign w:val="bottom"/>
                            <w:hideMark/>
                          </w:tcPr>
                          <w:p w14:paraId="733B94A0"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0.0202</w:t>
                            </w:r>
                          </w:p>
                        </w:tc>
                        <w:tc>
                          <w:tcPr>
                            <w:tcW w:w="732" w:type="dxa"/>
                            <w:tcBorders>
                              <w:top w:val="nil"/>
                              <w:left w:val="nil"/>
                              <w:bottom w:val="single" w:sz="8" w:space="0" w:color="auto"/>
                              <w:right w:val="single" w:sz="4" w:space="0" w:color="auto"/>
                            </w:tcBorders>
                            <w:shd w:val="clear" w:color="auto" w:fill="auto"/>
                            <w:noWrap/>
                            <w:vAlign w:val="bottom"/>
                            <w:hideMark/>
                          </w:tcPr>
                          <w:p w14:paraId="4FC1B2CA"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0.0674</w:t>
                            </w:r>
                          </w:p>
                        </w:tc>
                        <w:tc>
                          <w:tcPr>
                            <w:tcW w:w="732" w:type="dxa"/>
                            <w:tcBorders>
                              <w:top w:val="nil"/>
                              <w:left w:val="nil"/>
                              <w:bottom w:val="single" w:sz="8" w:space="0" w:color="auto"/>
                              <w:right w:val="single" w:sz="4" w:space="0" w:color="auto"/>
                            </w:tcBorders>
                            <w:shd w:val="clear" w:color="auto" w:fill="auto"/>
                            <w:noWrap/>
                            <w:vAlign w:val="bottom"/>
                            <w:hideMark/>
                          </w:tcPr>
                          <w:p w14:paraId="54F4C22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0.0582</w:t>
                            </w:r>
                          </w:p>
                        </w:tc>
                        <w:tc>
                          <w:tcPr>
                            <w:tcW w:w="732" w:type="dxa"/>
                            <w:tcBorders>
                              <w:top w:val="nil"/>
                              <w:left w:val="nil"/>
                              <w:bottom w:val="single" w:sz="8" w:space="0" w:color="auto"/>
                              <w:right w:val="single" w:sz="4" w:space="0" w:color="auto"/>
                            </w:tcBorders>
                            <w:shd w:val="clear" w:color="auto" w:fill="auto"/>
                            <w:noWrap/>
                            <w:vAlign w:val="bottom"/>
                            <w:hideMark/>
                          </w:tcPr>
                          <w:p w14:paraId="4CCA2D8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0.0491</w:t>
                            </w:r>
                          </w:p>
                        </w:tc>
                        <w:tc>
                          <w:tcPr>
                            <w:tcW w:w="732" w:type="dxa"/>
                            <w:tcBorders>
                              <w:top w:val="nil"/>
                              <w:left w:val="nil"/>
                              <w:bottom w:val="single" w:sz="8" w:space="0" w:color="auto"/>
                              <w:right w:val="single" w:sz="4" w:space="0" w:color="auto"/>
                            </w:tcBorders>
                            <w:shd w:val="clear" w:color="auto" w:fill="auto"/>
                            <w:noWrap/>
                            <w:vAlign w:val="bottom"/>
                            <w:hideMark/>
                          </w:tcPr>
                          <w:p w14:paraId="0341BDE9"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0.0282</w:t>
                            </w:r>
                          </w:p>
                        </w:tc>
                        <w:tc>
                          <w:tcPr>
                            <w:tcW w:w="732" w:type="dxa"/>
                            <w:tcBorders>
                              <w:top w:val="nil"/>
                              <w:left w:val="nil"/>
                              <w:bottom w:val="single" w:sz="8" w:space="0" w:color="auto"/>
                              <w:right w:val="single" w:sz="4" w:space="0" w:color="auto"/>
                            </w:tcBorders>
                            <w:shd w:val="clear" w:color="auto" w:fill="auto"/>
                            <w:noWrap/>
                            <w:vAlign w:val="bottom"/>
                            <w:hideMark/>
                          </w:tcPr>
                          <w:p w14:paraId="0C1F3EA8"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0.0684</w:t>
                            </w:r>
                          </w:p>
                        </w:tc>
                        <w:tc>
                          <w:tcPr>
                            <w:tcW w:w="732" w:type="dxa"/>
                            <w:tcBorders>
                              <w:top w:val="nil"/>
                              <w:left w:val="nil"/>
                              <w:bottom w:val="single" w:sz="8" w:space="0" w:color="auto"/>
                              <w:right w:val="single" w:sz="8" w:space="0" w:color="auto"/>
                            </w:tcBorders>
                            <w:shd w:val="clear" w:color="auto" w:fill="auto"/>
                            <w:noWrap/>
                            <w:vAlign w:val="bottom"/>
                            <w:hideMark/>
                          </w:tcPr>
                          <w:p w14:paraId="25B3708D" w14:textId="77777777" w:rsidR="008E5542" w:rsidRPr="00CA0B89" w:rsidRDefault="008E5542" w:rsidP="00CA0B89">
                            <w:pPr>
                              <w:spacing w:after="0" w:line="240" w:lineRule="auto"/>
                              <w:ind w:left="0" w:firstLine="0"/>
                              <w:jc w:val="center"/>
                              <w:rPr>
                                <w:rFonts w:ascii="Times New Roman" w:eastAsia="Times New Roman" w:hAnsi="Times New Roman" w:cs="Times New Roman"/>
                                <w:sz w:val="16"/>
                                <w:szCs w:val="16"/>
                              </w:rPr>
                            </w:pPr>
                            <w:r w:rsidRPr="00CA0B89">
                              <w:rPr>
                                <w:rFonts w:ascii="Times New Roman" w:eastAsia="Times New Roman" w:hAnsi="Times New Roman" w:cs="Times New Roman"/>
                                <w:sz w:val="16"/>
                                <w:szCs w:val="16"/>
                              </w:rPr>
                              <w:t>1.0000</w:t>
                            </w:r>
                          </w:p>
                        </w:tc>
                      </w:tr>
                    </w:tbl>
                    <w:p w14:paraId="23A98C9E" w14:textId="77777777" w:rsidR="008E5542" w:rsidRPr="00B5127E" w:rsidRDefault="008E5542" w:rsidP="00B5127E">
                      <w:pPr>
                        <w:jc w:val="right"/>
                        <w:rPr>
                          <w:rFonts w:ascii="Times New Roman" w:hAnsi="Times New Roman" w:cs="Times New Roman"/>
                          <w:sz w:val="22"/>
                        </w:rPr>
                      </w:pPr>
                      <w:r w:rsidRPr="00B5127E">
                        <w:rPr>
                          <w:rFonts w:ascii="Times New Roman" w:hAnsi="Times New Roman" w:cs="Times New Roman"/>
                          <w:sz w:val="22"/>
                        </w:rPr>
                        <w:t>(Source: Stata)</w:t>
                      </w:r>
                    </w:p>
                  </w:txbxContent>
                </v:textbox>
                <w10:wrap type="square" anchorx="margin"/>
              </v:shape>
            </w:pict>
          </mc:Fallback>
        </mc:AlternateContent>
      </w:r>
    </w:p>
    <w:p w14:paraId="48D5CD79" w14:textId="77777777" w:rsidR="00CA0B89" w:rsidRDefault="00CA0B89" w:rsidP="00536234">
      <w:pPr>
        <w:spacing w:line="480" w:lineRule="auto"/>
        <w:ind w:left="0"/>
        <w:rPr>
          <w:rFonts w:ascii="Times New Roman" w:hAnsi="Times New Roman" w:cs="Times New Roman"/>
          <w:b/>
          <w:sz w:val="22"/>
          <w:szCs w:val="26"/>
          <w:u w:val="single"/>
        </w:rPr>
      </w:pPr>
    </w:p>
    <w:p w14:paraId="4D386A3B" w14:textId="77777777" w:rsidR="00CA0B89" w:rsidRDefault="00CA0B89" w:rsidP="00536234">
      <w:pPr>
        <w:spacing w:line="480" w:lineRule="auto"/>
        <w:ind w:left="0"/>
        <w:rPr>
          <w:rFonts w:ascii="Times New Roman" w:hAnsi="Times New Roman" w:cs="Times New Roman"/>
          <w:b/>
          <w:sz w:val="22"/>
          <w:szCs w:val="26"/>
          <w:u w:val="single"/>
        </w:rPr>
      </w:pPr>
    </w:p>
    <w:p w14:paraId="08503A05" w14:textId="77777777" w:rsidR="00CA0B89" w:rsidRDefault="00CA0B89" w:rsidP="00536234">
      <w:pPr>
        <w:spacing w:line="480" w:lineRule="auto"/>
        <w:ind w:left="0"/>
        <w:rPr>
          <w:rFonts w:ascii="Times New Roman" w:hAnsi="Times New Roman" w:cs="Times New Roman"/>
          <w:b/>
          <w:sz w:val="22"/>
          <w:szCs w:val="26"/>
          <w:u w:val="single"/>
        </w:rPr>
      </w:pPr>
    </w:p>
    <w:p w14:paraId="08CE8A77" w14:textId="77777777" w:rsidR="00CA0B89" w:rsidRDefault="00CA0B89" w:rsidP="00536234">
      <w:pPr>
        <w:spacing w:line="480" w:lineRule="auto"/>
        <w:ind w:left="0"/>
        <w:rPr>
          <w:rFonts w:ascii="Times New Roman" w:hAnsi="Times New Roman" w:cs="Times New Roman"/>
          <w:b/>
          <w:sz w:val="22"/>
          <w:szCs w:val="26"/>
          <w:u w:val="single"/>
        </w:rPr>
      </w:pPr>
    </w:p>
    <w:p w14:paraId="76A2B6FE" w14:textId="77777777" w:rsidR="00CA0B89" w:rsidRDefault="00CA0B89" w:rsidP="00536234">
      <w:pPr>
        <w:spacing w:line="480" w:lineRule="auto"/>
        <w:ind w:left="0"/>
        <w:rPr>
          <w:rFonts w:ascii="Times New Roman" w:hAnsi="Times New Roman" w:cs="Times New Roman"/>
          <w:b/>
          <w:sz w:val="22"/>
          <w:szCs w:val="26"/>
          <w:u w:val="single"/>
        </w:rPr>
      </w:pPr>
    </w:p>
    <w:p w14:paraId="5B531E37" w14:textId="77777777" w:rsidR="00CA0B89" w:rsidRDefault="00CA0B89" w:rsidP="00536234">
      <w:pPr>
        <w:spacing w:line="480" w:lineRule="auto"/>
        <w:ind w:left="0"/>
        <w:rPr>
          <w:rFonts w:ascii="Times New Roman" w:hAnsi="Times New Roman" w:cs="Times New Roman"/>
          <w:b/>
          <w:sz w:val="22"/>
          <w:szCs w:val="26"/>
          <w:u w:val="single"/>
        </w:rPr>
      </w:pPr>
    </w:p>
    <w:p w14:paraId="1EBB0C35" w14:textId="77777777" w:rsidR="00CA0B89" w:rsidRDefault="00CA0B89" w:rsidP="00536234">
      <w:pPr>
        <w:spacing w:line="480" w:lineRule="auto"/>
        <w:ind w:left="0"/>
        <w:rPr>
          <w:rFonts w:ascii="Times New Roman" w:hAnsi="Times New Roman" w:cs="Times New Roman"/>
          <w:b/>
          <w:sz w:val="22"/>
          <w:szCs w:val="26"/>
          <w:u w:val="single"/>
        </w:rPr>
      </w:pPr>
    </w:p>
    <w:p w14:paraId="08D01A22" w14:textId="77777777" w:rsidR="00CA0B89" w:rsidRDefault="00CA0B89" w:rsidP="00536234">
      <w:pPr>
        <w:spacing w:line="480" w:lineRule="auto"/>
        <w:ind w:left="0"/>
        <w:rPr>
          <w:rFonts w:ascii="Times New Roman" w:hAnsi="Times New Roman" w:cs="Times New Roman"/>
          <w:b/>
          <w:sz w:val="22"/>
          <w:szCs w:val="26"/>
          <w:u w:val="single"/>
        </w:rPr>
      </w:pPr>
    </w:p>
    <w:p w14:paraId="32874BC4" w14:textId="77777777" w:rsidR="00CA0B89" w:rsidRDefault="00CA0B89" w:rsidP="00536234">
      <w:pPr>
        <w:spacing w:line="480" w:lineRule="auto"/>
        <w:ind w:left="0"/>
        <w:rPr>
          <w:rFonts w:ascii="Times New Roman" w:hAnsi="Times New Roman" w:cs="Times New Roman"/>
          <w:b/>
          <w:sz w:val="22"/>
          <w:szCs w:val="26"/>
          <w:u w:val="single"/>
        </w:rPr>
      </w:pPr>
    </w:p>
    <w:p w14:paraId="0B7267A3" w14:textId="77777777" w:rsidR="00CA0B89" w:rsidRDefault="00CA0B89" w:rsidP="00536234">
      <w:pPr>
        <w:spacing w:line="480" w:lineRule="auto"/>
        <w:ind w:left="0"/>
        <w:rPr>
          <w:rFonts w:ascii="Times New Roman" w:hAnsi="Times New Roman" w:cs="Times New Roman"/>
          <w:b/>
          <w:sz w:val="22"/>
          <w:szCs w:val="26"/>
          <w:u w:val="single"/>
        </w:rPr>
      </w:pPr>
    </w:p>
    <w:p w14:paraId="3EFE8BFE" w14:textId="77777777" w:rsidR="00CA0B89" w:rsidRDefault="00CA0B89" w:rsidP="00536234">
      <w:pPr>
        <w:spacing w:line="480" w:lineRule="auto"/>
        <w:ind w:left="0"/>
        <w:rPr>
          <w:rFonts w:ascii="Times New Roman" w:hAnsi="Times New Roman" w:cs="Times New Roman"/>
          <w:b/>
          <w:sz w:val="22"/>
          <w:szCs w:val="26"/>
          <w:u w:val="single"/>
        </w:rPr>
      </w:pPr>
    </w:p>
    <w:p w14:paraId="464D5675" w14:textId="77777777" w:rsidR="00CA0B89" w:rsidRDefault="00CA0B89" w:rsidP="00536234">
      <w:pPr>
        <w:spacing w:line="480" w:lineRule="auto"/>
        <w:ind w:left="0"/>
        <w:rPr>
          <w:rFonts w:ascii="Times New Roman" w:hAnsi="Times New Roman" w:cs="Times New Roman"/>
          <w:b/>
          <w:sz w:val="22"/>
          <w:szCs w:val="26"/>
          <w:u w:val="single"/>
        </w:rPr>
      </w:pPr>
    </w:p>
    <w:p w14:paraId="1FFA8F69" w14:textId="77777777" w:rsidR="00CA0B89" w:rsidRDefault="00CA0B89" w:rsidP="00536234">
      <w:pPr>
        <w:spacing w:line="480" w:lineRule="auto"/>
        <w:ind w:left="0"/>
        <w:rPr>
          <w:rFonts w:ascii="Times New Roman" w:hAnsi="Times New Roman" w:cs="Times New Roman"/>
          <w:b/>
          <w:sz w:val="22"/>
          <w:szCs w:val="26"/>
          <w:u w:val="single"/>
        </w:rPr>
      </w:pPr>
    </w:p>
    <w:p w14:paraId="6A5C7EDE" w14:textId="77777777" w:rsidR="00CA0B89" w:rsidRDefault="00CA0B89" w:rsidP="00536234">
      <w:pPr>
        <w:spacing w:line="480" w:lineRule="auto"/>
        <w:ind w:left="0"/>
        <w:rPr>
          <w:rFonts w:ascii="Times New Roman" w:hAnsi="Times New Roman" w:cs="Times New Roman"/>
          <w:b/>
          <w:sz w:val="22"/>
          <w:szCs w:val="26"/>
          <w:u w:val="single"/>
        </w:rPr>
      </w:pPr>
    </w:p>
    <w:p w14:paraId="797BEEAD" w14:textId="77777777" w:rsidR="00CA0B89" w:rsidRDefault="00CA0B89" w:rsidP="00536234">
      <w:pPr>
        <w:spacing w:line="480" w:lineRule="auto"/>
        <w:ind w:left="0"/>
        <w:rPr>
          <w:rFonts w:ascii="Times New Roman" w:hAnsi="Times New Roman" w:cs="Times New Roman"/>
          <w:b/>
          <w:sz w:val="22"/>
          <w:szCs w:val="26"/>
          <w:u w:val="single"/>
        </w:rPr>
      </w:pPr>
    </w:p>
    <w:p w14:paraId="22804F7F" w14:textId="4695E9F6" w:rsidR="00CA0B89" w:rsidRDefault="00A04D1A" w:rsidP="008E5542">
      <w:pPr>
        <w:spacing w:line="480" w:lineRule="auto"/>
        <w:ind w:left="0" w:firstLine="0"/>
        <w:rPr>
          <w:rFonts w:ascii="Times New Roman" w:hAnsi="Times New Roman" w:cs="Times New Roman"/>
          <w:b/>
          <w:sz w:val="22"/>
          <w:szCs w:val="26"/>
          <w:u w:val="single"/>
        </w:rPr>
      </w:pPr>
      <w:r>
        <w:rPr>
          <w:rFonts w:ascii="Times New Roman" w:hAnsi="Times New Roman" w:cs="Times New Roman"/>
          <w:b/>
          <w:sz w:val="22"/>
          <w:szCs w:val="26"/>
          <w:u w:val="single"/>
        </w:rPr>
        <w:lastRenderedPageBreak/>
        <w:t>Figure</w:t>
      </w:r>
      <w:r w:rsidR="00CA0B89">
        <w:rPr>
          <w:rFonts w:ascii="Times New Roman" w:hAnsi="Times New Roman" w:cs="Times New Roman"/>
          <w:b/>
          <w:sz w:val="22"/>
          <w:szCs w:val="26"/>
          <w:u w:val="single"/>
        </w:rPr>
        <w:t xml:space="preserve"> E: Woolridge Test for Autocorrelation</w:t>
      </w:r>
    </w:p>
    <w:tbl>
      <w:tblPr>
        <w:tblW w:w="9583" w:type="dxa"/>
        <w:jc w:val="center"/>
        <w:tblLook w:val="04A0" w:firstRow="1" w:lastRow="0" w:firstColumn="1" w:lastColumn="0" w:noHBand="0" w:noVBand="1"/>
      </w:tblPr>
      <w:tblGrid>
        <w:gridCol w:w="9583"/>
      </w:tblGrid>
      <w:tr w:rsidR="00CA0B89" w:rsidRPr="00CA0B89" w14:paraId="6FB1B55B" w14:textId="77777777" w:rsidTr="00B5127E">
        <w:trPr>
          <w:trHeight w:val="351"/>
          <w:jc w:val="center"/>
        </w:trPr>
        <w:tc>
          <w:tcPr>
            <w:tcW w:w="95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767D4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Ho: No first order autocorrelation</w:t>
            </w:r>
          </w:p>
        </w:tc>
      </w:tr>
      <w:tr w:rsidR="00CA0B89" w:rsidRPr="00CA0B89" w14:paraId="57BC747C" w14:textId="77777777" w:rsidTr="00B5127E">
        <w:trPr>
          <w:trHeight w:val="351"/>
          <w:jc w:val="center"/>
        </w:trPr>
        <w:tc>
          <w:tcPr>
            <w:tcW w:w="9583"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0F8761B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F(1,72) = 6.110</w:t>
            </w:r>
          </w:p>
        </w:tc>
      </w:tr>
      <w:tr w:rsidR="00CA0B89" w:rsidRPr="00CA0B89" w14:paraId="2F834BE8" w14:textId="77777777" w:rsidTr="00B5127E">
        <w:trPr>
          <w:trHeight w:val="351"/>
          <w:jc w:val="center"/>
        </w:trPr>
        <w:tc>
          <w:tcPr>
            <w:tcW w:w="9583"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73CD8C1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Prob&gt;F = 0.0158</w:t>
            </w:r>
          </w:p>
        </w:tc>
      </w:tr>
      <w:tr w:rsidR="00CA0B89" w:rsidRPr="00CA0B89" w14:paraId="3CEDCF74" w14:textId="77777777" w:rsidTr="00B5127E">
        <w:trPr>
          <w:trHeight w:val="351"/>
          <w:jc w:val="center"/>
        </w:trPr>
        <w:tc>
          <w:tcPr>
            <w:tcW w:w="9583"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5B03D42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w:t>
            </w:r>
          </w:p>
        </w:tc>
      </w:tr>
      <w:tr w:rsidR="00CA0B89" w:rsidRPr="00CA0B89" w14:paraId="4AC82CE0" w14:textId="77777777" w:rsidTr="00B5127E">
        <w:trPr>
          <w:trHeight w:val="365"/>
          <w:jc w:val="center"/>
        </w:trPr>
        <w:tc>
          <w:tcPr>
            <w:tcW w:w="9583"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0A3C6A5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Pr>
                <w:rFonts w:ascii="Times New Roman" w:eastAsia="Times New Roman" w:hAnsi="Times New Roman" w:cs="Times New Roman"/>
                <w:sz w:val="20"/>
              </w:rPr>
              <w:t>.  *If the</w:t>
            </w:r>
            <w:r w:rsidRPr="00CA0B89">
              <w:rPr>
                <w:rFonts w:ascii="Times New Roman" w:eastAsia="Times New Roman" w:hAnsi="Times New Roman" w:cs="Times New Roman"/>
                <w:sz w:val="20"/>
              </w:rPr>
              <w:t xml:space="preserve"> Prob&gt;F &lt;0.05 there is</w:t>
            </w:r>
            <w:r w:rsidR="00B5127E">
              <w:rPr>
                <w:rFonts w:ascii="Times New Roman" w:eastAsia="Times New Roman" w:hAnsi="Times New Roman" w:cs="Times New Roman"/>
                <w:sz w:val="20"/>
              </w:rPr>
              <w:t xml:space="preserve"> autocorrelation, otherwise </w:t>
            </w:r>
            <w:r w:rsidRPr="00CA0B89">
              <w:rPr>
                <w:rFonts w:ascii="Times New Roman" w:eastAsia="Times New Roman" w:hAnsi="Times New Roman" w:cs="Times New Roman"/>
                <w:sz w:val="20"/>
              </w:rPr>
              <w:t xml:space="preserve">no </w:t>
            </w:r>
            <w:r w:rsidR="00B5127E">
              <w:rPr>
                <w:rFonts w:ascii="Times New Roman" w:eastAsia="Times New Roman" w:hAnsi="Times New Roman" w:cs="Times New Roman"/>
                <w:sz w:val="20"/>
              </w:rPr>
              <w:t>auto</w:t>
            </w:r>
            <w:r w:rsidRPr="00CA0B89">
              <w:rPr>
                <w:rFonts w:ascii="Times New Roman" w:eastAsia="Times New Roman" w:hAnsi="Times New Roman" w:cs="Times New Roman"/>
                <w:sz w:val="20"/>
              </w:rPr>
              <w:t>correlation.</w:t>
            </w:r>
          </w:p>
        </w:tc>
      </w:tr>
    </w:tbl>
    <w:p w14:paraId="7C6E59B9"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307511EF" w14:textId="003D6D72" w:rsidR="00CA0B89" w:rsidRDefault="00A04D1A" w:rsidP="00536234">
      <w:pPr>
        <w:spacing w:line="480" w:lineRule="auto"/>
        <w:ind w:left="0"/>
        <w:rPr>
          <w:rFonts w:ascii="Times New Roman" w:hAnsi="Times New Roman" w:cs="Times New Roman"/>
          <w:sz w:val="22"/>
          <w:szCs w:val="26"/>
        </w:rPr>
      </w:pPr>
      <w:r>
        <w:rPr>
          <w:rFonts w:ascii="Times New Roman" w:hAnsi="Times New Roman" w:cs="Times New Roman"/>
          <w:b/>
          <w:sz w:val="22"/>
          <w:szCs w:val="26"/>
          <w:u w:val="single"/>
        </w:rPr>
        <w:t>Figure</w:t>
      </w:r>
      <w:r w:rsidR="00CA0B89">
        <w:rPr>
          <w:rFonts w:ascii="Times New Roman" w:hAnsi="Times New Roman" w:cs="Times New Roman"/>
          <w:b/>
          <w:sz w:val="22"/>
          <w:szCs w:val="26"/>
          <w:u w:val="single"/>
        </w:rPr>
        <w:t xml:space="preserve"> F: </w:t>
      </w:r>
      <w:r w:rsidR="00CA0B89" w:rsidRPr="00CA0B89">
        <w:rPr>
          <w:rFonts w:ascii="Times New Roman" w:hAnsi="Times New Roman" w:cs="Times New Roman"/>
          <w:b/>
          <w:sz w:val="22"/>
          <w:szCs w:val="26"/>
          <w:u w:val="single"/>
        </w:rPr>
        <w:t>Durbin -Wu-Hausman Test to Test between Pooled Regression and Fixed Effects</w:t>
      </w:r>
    </w:p>
    <w:tbl>
      <w:tblPr>
        <w:tblW w:w="9317" w:type="dxa"/>
        <w:jc w:val="center"/>
        <w:tblLook w:val="04A0" w:firstRow="1" w:lastRow="0" w:firstColumn="1" w:lastColumn="0" w:noHBand="0" w:noVBand="1"/>
      </w:tblPr>
      <w:tblGrid>
        <w:gridCol w:w="961"/>
        <w:gridCol w:w="866"/>
        <w:gridCol w:w="2450"/>
        <w:gridCol w:w="927"/>
        <w:gridCol w:w="866"/>
        <w:gridCol w:w="1272"/>
        <w:gridCol w:w="766"/>
        <w:gridCol w:w="766"/>
        <w:gridCol w:w="666"/>
      </w:tblGrid>
      <w:tr w:rsidR="00CA0B89" w:rsidRPr="00CA0B89" w14:paraId="368702DD" w14:textId="77777777" w:rsidTr="00B5127E">
        <w:trPr>
          <w:trHeight w:val="270"/>
          <w:jc w:val="center"/>
        </w:trPr>
        <w:tc>
          <w:tcPr>
            <w:tcW w:w="5118" w:type="dxa"/>
            <w:gridSpan w:val="4"/>
            <w:tcBorders>
              <w:top w:val="single" w:sz="8" w:space="0" w:color="auto"/>
              <w:left w:val="single" w:sz="8" w:space="0" w:color="auto"/>
              <w:bottom w:val="nil"/>
              <w:right w:val="nil"/>
            </w:tcBorders>
            <w:shd w:val="clear" w:color="auto" w:fill="auto"/>
            <w:noWrap/>
            <w:vAlign w:val="bottom"/>
            <w:hideMark/>
          </w:tcPr>
          <w:p w14:paraId="163DBDE4"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Panel Variable: Compannum (Strongly Balanced)</w:t>
            </w:r>
          </w:p>
        </w:tc>
        <w:tc>
          <w:tcPr>
            <w:tcW w:w="838" w:type="dxa"/>
            <w:tcBorders>
              <w:top w:val="single" w:sz="8" w:space="0" w:color="auto"/>
              <w:left w:val="nil"/>
              <w:bottom w:val="nil"/>
              <w:right w:val="nil"/>
            </w:tcBorders>
            <w:shd w:val="clear" w:color="auto" w:fill="auto"/>
            <w:noWrap/>
            <w:vAlign w:val="bottom"/>
            <w:hideMark/>
          </w:tcPr>
          <w:p w14:paraId="59AA92EB"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1232" w:type="dxa"/>
            <w:tcBorders>
              <w:top w:val="single" w:sz="8" w:space="0" w:color="auto"/>
              <w:left w:val="nil"/>
              <w:bottom w:val="nil"/>
              <w:right w:val="nil"/>
            </w:tcBorders>
            <w:shd w:val="clear" w:color="auto" w:fill="auto"/>
            <w:noWrap/>
            <w:vAlign w:val="bottom"/>
            <w:hideMark/>
          </w:tcPr>
          <w:p w14:paraId="7FD318F5"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742" w:type="dxa"/>
            <w:tcBorders>
              <w:top w:val="single" w:sz="8" w:space="0" w:color="auto"/>
              <w:left w:val="nil"/>
              <w:bottom w:val="nil"/>
              <w:right w:val="nil"/>
            </w:tcBorders>
            <w:shd w:val="clear" w:color="auto" w:fill="auto"/>
            <w:noWrap/>
            <w:vAlign w:val="bottom"/>
            <w:hideMark/>
          </w:tcPr>
          <w:p w14:paraId="60717C2B"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742" w:type="dxa"/>
            <w:tcBorders>
              <w:top w:val="single" w:sz="8" w:space="0" w:color="auto"/>
              <w:left w:val="nil"/>
              <w:bottom w:val="nil"/>
              <w:right w:val="nil"/>
            </w:tcBorders>
            <w:shd w:val="clear" w:color="auto" w:fill="auto"/>
            <w:noWrap/>
            <w:vAlign w:val="bottom"/>
            <w:hideMark/>
          </w:tcPr>
          <w:p w14:paraId="7CB55F8D"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645" w:type="dxa"/>
            <w:tcBorders>
              <w:top w:val="single" w:sz="8" w:space="0" w:color="auto"/>
              <w:left w:val="nil"/>
              <w:bottom w:val="nil"/>
              <w:right w:val="single" w:sz="8" w:space="0" w:color="auto"/>
            </w:tcBorders>
            <w:shd w:val="clear" w:color="auto" w:fill="auto"/>
            <w:noWrap/>
            <w:vAlign w:val="bottom"/>
            <w:hideMark/>
          </w:tcPr>
          <w:p w14:paraId="551F8D92"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6FE2C766" w14:textId="77777777" w:rsidTr="00B5127E">
        <w:trPr>
          <w:trHeight w:val="270"/>
          <w:jc w:val="center"/>
        </w:trPr>
        <w:tc>
          <w:tcPr>
            <w:tcW w:w="4220" w:type="dxa"/>
            <w:gridSpan w:val="3"/>
            <w:tcBorders>
              <w:top w:val="nil"/>
              <w:left w:val="single" w:sz="8" w:space="0" w:color="auto"/>
              <w:bottom w:val="nil"/>
              <w:right w:val="nil"/>
            </w:tcBorders>
            <w:shd w:val="clear" w:color="auto" w:fill="auto"/>
            <w:noWrap/>
            <w:vAlign w:val="bottom"/>
            <w:hideMark/>
          </w:tcPr>
          <w:p w14:paraId="7485B68B"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Time Variable: time,2003 to 2006</w:t>
            </w:r>
          </w:p>
        </w:tc>
        <w:tc>
          <w:tcPr>
            <w:tcW w:w="898" w:type="dxa"/>
            <w:tcBorders>
              <w:top w:val="nil"/>
              <w:left w:val="nil"/>
              <w:bottom w:val="nil"/>
              <w:right w:val="nil"/>
            </w:tcBorders>
            <w:shd w:val="clear" w:color="auto" w:fill="auto"/>
            <w:noWrap/>
            <w:vAlign w:val="bottom"/>
            <w:hideMark/>
          </w:tcPr>
          <w:p w14:paraId="48B8DFAB"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p>
        </w:tc>
        <w:tc>
          <w:tcPr>
            <w:tcW w:w="838" w:type="dxa"/>
            <w:tcBorders>
              <w:top w:val="nil"/>
              <w:left w:val="nil"/>
              <w:bottom w:val="nil"/>
              <w:right w:val="nil"/>
            </w:tcBorders>
            <w:shd w:val="clear" w:color="auto" w:fill="auto"/>
            <w:noWrap/>
            <w:vAlign w:val="bottom"/>
            <w:hideMark/>
          </w:tcPr>
          <w:p w14:paraId="77696F9F"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22EC1210"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557DA77C"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508F1850"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1CA48DDB"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702FFB6B" w14:textId="77777777" w:rsidTr="00B5127E">
        <w:trPr>
          <w:trHeight w:val="270"/>
          <w:jc w:val="center"/>
        </w:trPr>
        <w:tc>
          <w:tcPr>
            <w:tcW w:w="1769" w:type="dxa"/>
            <w:gridSpan w:val="2"/>
            <w:tcBorders>
              <w:top w:val="nil"/>
              <w:left w:val="single" w:sz="8" w:space="0" w:color="auto"/>
              <w:bottom w:val="nil"/>
              <w:right w:val="nil"/>
            </w:tcBorders>
            <w:shd w:val="clear" w:color="auto" w:fill="auto"/>
            <w:noWrap/>
            <w:vAlign w:val="bottom"/>
            <w:hideMark/>
          </w:tcPr>
          <w:p w14:paraId="6A0880C6"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Delta: 1 Unit</w:t>
            </w:r>
          </w:p>
        </w:tc>
        <w:tc>
          <w:tcPr>
            <w:tcW w:w="2450" w:type="dxa"/>
            <w:tcBorders>
              <w:top w:val="nil"/>
              <w:left w:val="nil"/>
              <w:bottom w:val="nil"/>
              <w:right w:val="nil"/>
            </w:tcBorders>
            <w:shd w:val="clear" w:color="auto" w:fill="auto"/>
            <w:noWrap/>
            <w:vAlign w:val="bottom"/>
            <w:hideMark/>
          </w:tcPr>
          <w:p w14:paraId="63411B59"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p>
        </w:tc>
        <w:tc>
          <w:tcPr>
            <w:tcW w:w="898" w:type="dxa"/>
            <w:tcBorders>
              <w:top w:val="nil"/>
              <w:left w:val="nil"/>
              <w:bottom w:val="nil"/>
              <w:right w:val="nil"/>
            </w:tcBorders>
            <w:shd w:val="clear" w:color="auto" w:fill="auto"/>
            <w:noWrap/>
            <w:vAlign w:val="bottom"/>
            <w:hideMark/>
          </w:tcPr>
          <w:p w14:paraId="53C302FE"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7B56A60F"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462D7AD8"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59CE91CD"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64BC3D70"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248DD4F8"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45FD3552"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7BCD2317"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nil"/>
              <w:right w:val="nil"/>
            </w:tcBorders>
            <w:shd w:val="clear" w:color="auto" w:fill="auto"/>
            <w:noWrap/>
            <w:vAlign w:val="bottom"/>
            <w:hideMark/>
          </w:tcPr>
          <w:p w14:paraId="07C826DD"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2487A95B"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898" w:type="dxa"/>
            <w:tcBorders>
              <w:top w:val="nil"/>
              <w:left w:val="nil"/>
              <w:bottom w:val="nil"/>
              <w:right w:val="nil"/>
            </w:tcBorders>
            <w:shd w:val="clear" w:color="auto" w:fill="auto"/>
            <w:noWrap/>
            <w:vAlign w:val="bottom"/>
            <w:hideMark/>
          </w:tcPr>
          <w:p w14:paraId="0378BCF6"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49F5E5FC"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7984CC5C"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76A0E120"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14E984A2" w14:textId="77777777" w:rsidR="00CA0B89" w:rsidRPr="00CA0B89" w:rsidRDefault="00CA0B89" w:rsidP="00536234">
            <w:pPr>
              <w:spacing w:after="0" w:line="240" w:lineRule="auto"/>
              <w:ind w:left="0" w:firstLine="0"/>
              <w:jc w:val="left"/>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5D920601" w14:textId="77777777" w:rsidR="00CA0B89" w:rsidRPr="00CA0B89" w:rsidRDefault="00CA0B89" w:rsidP="00536234">
            <w:pPr>
              <w:spacing w:after="0" w:line="240" w:lineRule="auto"/>
              <w:ind w:left="0" w:firstLine="0"/>
              <w:jc w:val="left"/>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0B44B8C1"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1DF3664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Source</w:t>
            </w:r>
          </w:p>
        </w:tc>
        <w:tc>
          <w:tcPr>
            <w:tcW w:w="838" w:type="dxa"/>
            <w:tcBorders>
              <w:top w:val="nil"/>
              <w:left w:val="nil"/>
              <w:bottom w:val="nil"/>
              <w:right w:val="nil"/>
            </w:tcBorders>
            <w:shd w:val="clear" w:color="auto" w:fill="auto"/>
            <w:noWrap/>
            <w:vAlign w:val="bottom"/>
            <w:hideMark/>
          </w:tcPr>
          <w:p w14:paraId="1DA7835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SS</w:t>
            </w:r>
          </w:p>
        </w:tc>
        <w:tc>
          <w:tcPr>
            <w:tcW w:w="2450" w:type="dxa"/>
            <w:tcBorders>
              <w:top w:val="nil"/>
              <w:left w:val="nil"/>
              <w:bottom w:val="nil"/>
              <w:right w:val="nil"/>
            </w:tcBorders>
            <w:shd w:val="clear" w:color="auto" w:fill="auto"/>
            <w:noWrap/>
            <w:vAlign w:val="bottom"/>
            <w:hideMark/>
          </w:tcPr>
          <w:p w14:paraId="3E6585E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df</w:t>
            </w:r>
          </w:p>
        </w:tc>
        <w:tc>
          <w:tcPr>
            <w:tcW w:w="898" w:type="dxa"/>
            <w:tcBorders>
              <w:top w:val="nil"/>
              <w:left w:val="nil"/>
              <w:bottom w:val="nil"/>
              <w:right w:val="nil"/>
            </w:tcBorders>
            <w:shd w:val="clear" w:color="auto" w:fill="auto"/>
            <w:noWrap/>
            <w:vAlign w:val="bottom"/>
            <w:hideMark/>
          </w:tcPr>
          <w:p w14:paraId="57CDDF3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MS</w:t>
            </w:r>
          </w:p>
        </w:tc>
        <w:tc>
          <w:tcPr>
            <w:tcW w:w="838" w:type="dxa"/>
            <w:tcBorders>
              <w:top w:val="nil"/>
              <w:left w:val="nil"/>
              <w:bottom w:val="nil"/>
              <w:right w:val="nil"/>
            </w:tcBorders>
            <w:shd w:val="clear" w:color="auto" w:fill="auto"/>
            <w:noWrap/>
            <w:vAlign w:val="bottom"/>
            <w:hideMark/>
          </w:tcPr>
          <w:p w14:paraId="0FF8BF4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1232" w:type="dxa"/>
            <w:tcBorders>
              <w:top w:val="nil"/>
              <w:left w:val="nil"/>
              <w:bottom w:val="nil"/>
              <w:right w:val="nil"/>
            </w:tcBorders>
            <w:shd w:val="clear" w:color="auto" w:fill="auto"/>
            <w:noWrap/>
            <w:vAlign w:val="bottom"/>
            <w:hideMark/>
          </w:tcPr>
          <w:p w14:paraId="54CE19F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Number of Observations</w:t>
            </w:r>
          </w:p>
        </w:tc>
        <w:tc>
          <w:tcPr>
            <w:tcW w:w="742" w:type="dxa"/>
            <w:tcBorders>
              <w:top w:val="nil"/>
              <w:left w:val="nil"/>
              <w:bottom w:val="nil"/>
              <w:right w:val="nil"/>
            </w:tcBorders>
            <w:shd w:val="clear" w:color="auto" w:fill="auto"/>
            <w:noWrap/>
            <w:vAlign w:val="bottom"/>
            <w:hideMark/>
          </w:tcPr>
          <w:p w14:paraId="01C82F5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742" w:type="dxa"/>
            <w:tcBorders>
              <w:top w:val="nil"/>
              <w:left w:val="nil"/>
              <w:bottom w:val="nil"/>
              <w:right w:val="nil"/>
            </w:tcBorders>
            <w:shd w:val="clear" w:color="auto" w:fill="auto"/>
            <w:noWrap/>
            <w:vAlign w:val="bottom"/>
            <w:hideMark/>
          </w:tcPr>
          <w:p w14:paraId="77CDF9E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33F9A53C"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292</w:t>
            </w:r>
          </w:p>
        </w:tc>
      </w:tr>
      <w:tr w:rsidR="00CA0B89" w:rsidRPr="00CA0B89" w14:paraId="758E9963"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6670824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Model</w:t>
            </w:r>
          </w:p>
        </w:tc>
        <w:tc>
          <w:tcPr>
            <w:tcW w:w="838" w:type="dxa"/>
            <w:tcBorders>
              <w:top w:val="nil"/>
              <w:left w:val="nil"/>
              <w:bottom w:val="nil"/>
              <w:right w:val="nil"/>
            </w:tcBorders>
            <w:shd w:val="clear" w:color="auto" w:fill="auto"/>
            <w:noWrap/>
            <w:vAlign w:val="bottom"/>
            <w:hideMark/>
          </w:tcPr>
          <w:p w14:paraId="0543BB0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21.0229</w:t>
            </w:r>
          </w:p>
        </w:tc>
        <w:tc>
          <w:tcPr>
            <w:tcW w:w="2450" w:type="dxa"/>
            <w:tcBorders>
              <w:top w:val="nil"/>
              <w:left w:val="nil"/>
              <w:bottom w:val="nil"/>
              <w:right w:val="nil"/>
            </w:tcBorders>
            <w:shd w:val="clear" w:color="auto" w:fill="auto"/>
            <w:noWrap/>
            <w:vAlign w:val="bottom"/>
            <w:hideMark/>
          </w:tcPr>
          <w:p w14:paraId="126B13C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7</w:t>
            </w:r>
          </w:p>
        </w:tc>
        <w:tc>
          <w:tcPr>
            <w:tcW w:w="898" w:type="dxa"/>
            <w:tcBorders>
              <w:top w:val="nil"/>
              <w:left w:val="nil"/>
              <w:bottom w:val="nil"/>
              <w:right w:val="nil"/>
            </w:tcBorders>
            <w:shd w:val="clear" w:color="auto" w:fill="auto"/>
            <w:noWrap/>
            <w:vAlign w:val="bottom"/>
            <w:hideMark/>
          </w:tcPr>
          <w:p w14:paraId="30E3568C"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3.0033</w:t>
            </w:r>
          </w:p>
        </w:tc>
        <w:tc>
          <w:tcPr>
            <w:tcW w:w="838" w:type="dxa"/>
            <w:tcBorders>
              <w:top w:val="nil"/>
              <w:left w:val="nil"/>
              <w:bottom w:val="nil"/>
              <w:right w:val="nil"/>
            </w:tcBorders>
            <w:shd w:val="clear" w:color="auto" w:fill="auto"/>
            <w:noWrap/>
            <w:vAlign w:val="bottom"/>
            <w:hideMark/>
          </w:tcPr>
          <w:p w14:paraId="1C7BFFB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1232" w:type="dxa"/>
            <w:tcBorders>
              <w:top w:val="nil"/>
              <w:left w:val="nil"/>
              <w:bottom w:val="nil"/>
              <w:right w:val="nil"/>
            </w:tcBorders>
            <w:shd w:val="clear" w:color="auto" w:fill="auto"/>
            <w:noWrap/>
            <w:vAlign w:val="bottom"/>
            <w:hideMark/>
          </w:tcPr>
          <w:p w14:paraId="5C0EEF6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Prob&gt;F</w:t>
            </w:r>
          </w:p>
        </w:tc>
        <w:tc>
          <w:tcPr>
            <w:tcW w:w="742" w:type="dxa"/>
            <w:tcBorders>
              <w:top w:val="nil"/>
              <w:left w:val="nil"/>
              <w:bottom w:val="nil"/>
              <w:right w:val="nil"/>
            </w:tcBorders>
            <w:shd w:val="clear" w:color="auto" w:fill="auto"/>
            <w:noWrap/>
            <w:vAlign w:val="bottom"/>
            <w:hideMark/>
          </w:tcPr>
          <w:p w14:paraId="4403BC1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742" w:type="dxa"/>
            <w:tcBorders>
              <w:top w:val="nil"/>
              <w:left w:val="nil"/>
              <w:bottom w:val="nil"/>
              <w:right w:val="nil"/>
            </w:tcBorders>
            <w:shd w:val="clear" w:color="auto" w:fill="auto"/>
            <w:noWrap/>
            <w:vAlign w:val="bottom"/>
            <w:hideMark/>
          </w:tcPr>
          <w:p w14:paraId="5E532DC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3810BF7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w:t>
            </w:r>
          </w:p>
        </w:tc>
      </w:tr>
      <w:tr w:rsidR="00CA0B89" w:rsidRPr="00CA0B89" w14:paraId="194E076D"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7A9F64A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xml:space="preserve">Residual </w:t>
            </w:r>
          </w:p>
        </w:tc>
        <w:tc>
          <w:tcPr>
            <w:tcW w:w="838" w:type="dxa"/>
            <w:tcBorders>
              <w:top w:val="nil"/>
              <w:left w:val="nil"/>
              <w:bottom w:val="nil"/>
              <w:right w:val="nil"/>
            </w:tcBorders>
            <w:shd w:val="clear" w:color="auto" w:fill="auto"/>
            <w:noWrap/>
            <w:vAlign w:val="bottom"/>
            <w:hideMark/>
          </w:tcPr>
          <w:p w14:paraId="4FE50D8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1.5647</w:t>
            </w:r>
          </w:p>
        </w:tc>
        <w:tc>
          <w:tcPr>
            <w:tcW w:w="2450" w:type="dxa"/>
            <w:tcBorders>
              <w:top w:val="nil"/>
              <w:left w:val="nil"/>
              <w:bottom w:val="nil"/>
              <w:right w:val="nil"/>
            </w:tcBorders>
            <w:shd w:val="clear" w:color="auto" w:fill="auto"/>
            <w:noWrap/>
            <w:vAlign w:val="bottom"/>
            <w:hideMark/>
          </w:tcPr>
          <w:p w14:paraId="2145743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284</w:t>
            </w:r>
          </w:p>
        </w:tc>
        <w:tc>
          <w:tcPr>
            <w:tcW w:w="898" w:type="dxa"/>
            <w:tcBorders>
              <w:top w:val="nil"/>
              <w:left w:val="nil"/>
              <w:bottom w:val="nil"/>
              <w:right w:val="nil"/>
            </w:tcBorders>
            <w:shd w:val="clear" w:color="auto" w:fill="auto"/>
            <w:noWrap/>
            <w:vAlign w:val="bottom"/>
            <w:hideMark/>
          </w:tcPr>
          <w:p w14:paraId="008889A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0.0055</w:t>
            </w:r>
          </w:p>
        </w:tc>
        <w:tc>
          <w:tcPr>
            <w:tcW w:w="838" w:type="dxa"/>
            <w:tcBorders>
              <w:top w:val="nil"/>
              <w:left w:val="nil"/>
              <w:bottom w:val="nil"/>
              <w:right w:val="nil"/>
            </w:tcBorders>
            <w:shd w:val="clear" w:color="auto" w:fill="auto"/>
            <w:noWrap/>
            <w:vAlign w:val="bottom"/>
            <w:hideMark/>
          </w:tcPr>
          <w:p w14:paraId="1116529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1232" w:type="dxa"/>
            <w:tcBorders>
              <w:top w:val="nil"/>
              <w:left w:val="nil"/>
              <w:bottom w:val="nil"/>
              <w:right w:val="nil"/>
            </w:tcBorders>
            <w:shd w:val="clear" w:color="auto" w:fill="auto"/>
            <w:noWrap/>
            <w:vAlign w:val="bottom"/>
            <w:hideMark/>
          </w:tcPr>
          <w:p w14:paraId="206B532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R-Squared</w:t>
            </w:r>
          </w:p>
        </w:tc>
        <w:tc>
          <w:tcPr>
            <w:tcW w:w="742" w:type="dxa"/>
            <w:tcBorders>
              <w:top w:val="nil"/>
              <w:left w:val="nil"/>
              <w:bottom w:val="nil"/>
              <w:right w:val="nil"/>
            </w:tcBorders>
            <w:shd w:val="clear" w:color="auto" w:fill="auto"/>
            <w:noWrap/>
            <w:vAlign w:val="bottom"/>
            <w:hideMark/>
          </w:tcPr>
          <w:p w14:paraId="506204E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742" w:type="dxa"/>
            <w:tcBorders>
              <w:top w:val="nil"/>
              <w:left w:val="nil"/>
              <w:bottom w:val="nil"/>
              <w:right w:val="nil"/>
            </w:tcBorders>
            <w:shd w:val="clear" w:color="auto" w:fill="auto"/>
            <w:noWrap/>
            <w:vAlign w:val="bottom"/>
            <w:hideMark/>
          </w:tcPr>
          <w:p w14:paraId="5B61F7AD"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5867986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0.931</w:t>
            </w:r>
          </w:p>
        </w:tc>
      </w:tr>
      <w:tr w:rsidR="00CA0B89" w:rsidRPr="00CA0B89" w14:paraId="29BE213B"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617FA4E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Total</w:t>
            </w:r>
          </w:p>
        </w:tc>
        <w:tc>
          <w:tcPr>
            <w:tcW w:w="838" w:type="dxa"/>
            <w:tcBorders>
              <w:top w:val="nil"/>
              <w:left w:val="nil"/>
              <w:bottom w:val="nil"/>
              <w:right w:val="nil"/>
            </w:tcBorders>
            <w:shd w:val="clear" w:color="auto" w:fill="auto"/>
            <w:noWrap/>
            <w:vAlign w:val="bottom"/>
            <w:hideMark/>
          </w:tcPr>
          <w:p w14:paraId="78E7317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22.5876</w:t>
            </w:r>
          </w:p>
        </w:tc>
        <w:tc>
          <w:tcPr>
            <w:tcW w:w="2450" w:type="dxa"/>
            <w:tcBorders>
              <w:top w:val="nil"/>
              <w:left w:val="nil"/>
              <w:bottom w:val="nil"/>
              <w:right w:val="nil"/>
            </w:tcBorders>
            <w:shd w:val="clear" w:color="auto" w:fill="auto"/>
            <w:noWrap/>
            <w:vAlign w:val="bottom"/>
            <w:hideMark/>
          </w:tcPr>
          <w:p w14:paraId="5861E83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291</w:t>
            </w:r>
          </w:p>
        </w:tc>
        <w:tc>
          <w:tcPr>
            <w:tcW w:w="898" w:type="dxa"/>
            <w:tcBorders>
              <w:top w:val="nil"/>
              <w:left w:val="nil"/>
              <w:bottom w:val="nil"/>
              <w:right w:val="nil"/>
            </w:tcBorders>
            <w:shd w:val="clear" w:color="auto" w:fill="auto"/>
            <w:noWrap/>
            <w:vAlign w:val="bottom"/>
            <w:hideMark/>
          </w:tcPr>
          <w:p w14:paraId="3F1575B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3.0088</w:t>
            </w:r>
          </w:p>
        </w:tc>
        <w:tc>
          <w:tcPr>
            <w:tcW w:w="838" w:type="dxa"/>
            <w:tcBorders>
              <w:top w:val="nil"/>
              <w:left w:val="nil"/>
              <w:bottom w:val="nil"/>
              <w:right w:val="nil"/>
            </w:tcBorders>
            <w:shd w:val="clear" w:color="auto" w:fill="auto"/>
            <w:noWrap/>
            <w:vAlign w:val="bottom"/>
            <w:hideMark/>
          </w:tcPr>
          <w:p w14:paraId="3552E0F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1232" w:type="dxa"/>
            <w:tcBorders>
              <w:top w:val="nil"/>
              <w:left w:val="nil"/>
              <w:bottom w:val="nil"/>
              <w:right w:val="nil"/>
            </w:tcBorders>
            <w:shd w:val="clear" w:color="auto" w:fill="auto"/>
            <w:noWrap/>
            <w:vAlign w:val="bottom"/>
            <w:hideMark/>
          </w:tcPr>
          <w:p w14:paraId="478DA05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Adj R-Squared</w:t>
            </w:r>
          </w:p>
        </w:tc>
        <w:tc>
          <w:tcPr>
            <w:tcW w:w="742" w:type="dxa"/>
            <w:tcBorders>
              <w:top w:val="nil"/>
              <w:left w:val="nil"/>
              <w:bottom w:val="nil"/>
              <w:right w:val="nil"/>
            </w:tcBorders>
            <w:shd w:val="clear" w:color="auto" w:fill="auto"/>
            <w:noWrap/>
            <w:vAlign w:val="bottom"/>
            <w:hideMark/>
          </w:tcPr>
          <w:p w14:paraId="1F4C714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742" w:type="dxa"/>
            <w:tcBorders>
              <w:top w:val="nil"/>
              <w:left w:val="nil"/>
              <w:bottom w:val="nil"/>
              <w:right w:val="nil"/>
            </w:tcBorders>
            <w:shd w:val="clear" w:color="auto" w:fill="auto"/>
            <w:noWrap/>
            <w:vAlign w:val="bottom"/>
            <w:hideMark/>
          </w:tcPr>
          <w:p w14:paraId="52A1DA66"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26446AB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0.929</w:t>
            </w:r>
          </w:p>
        </w:tc>
      </w:tr>
      <w:tr w:rsidR="00CA0B89" w:rsidRPr="00CA0B89" w14:paraId="264110A6"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7E0DA3D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nil"/>
              <w:right w:val="nil"/>
            </w:tcBorders>
            <w:shd w:val="clear" w:color="auto" w:fill="auto"/>
            <w:noWrap/>
            <w:vAlign w:val="bottom"/>
            <w:hideMark/>
          </w:tcPr>
          <w:p w14:paraId="6C53F71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6C3A911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98" w:type="dxa"/>
            <w:tcBorders>
              <w:top w:val="nil"/>
              <w:left w:val="nil"/>
              <w:bottom w:val="nil"/>
              <w:right w:val="nil"/>
            </w:tcBorders>
            <w:shd w:val="clear" w:color="auto" w:fill="auto"/>
            <w:noWrap/>
            <w:vAlign w:val="bottom"/>
            <w:hideMark/>
          </w:tcPr>
          <w:p w14:paraId="1DDDA6B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5B521964"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77A4F9C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Root MSE</w:t>
            </w:r>
          </w:p>
        </w:tc>
        <w:tc>
          <w:tcPr>
            <w:tcW w:w="742" w:type="dxa"/>
            <w:tcBorders>
              <w:top w:val="nil"/>
              <w:left w:val="nil"/>
              <w:bottom w:val="nil"/>
              <w:right w:val="nil"/>
            </w:tcBorders>
            <w:shd w:val="clear" w:color="auto" w:fill="auto"/>
            <w:noWrap/>
            <w:vAlign w:val="bottom"/>
            <w:hideMark/>
          </w:tcPr>
          <w:p w14:paraId="0F0F291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742" w:type="dxa"/>
            <w:tcBorders>
              <w:top w:val="nil"/>
              <w:left w:val="nil"/>
              <w:bottom w:val="nil"/>
              <w:right w:val="nil"/>
            </w:tcBorders>
            <w:shd w:val="clear" w:color="auto" w:fill="auto"/>
            <w:noWrap/>
            <w:vAlign w:val="bottom"/>
            <w:hideMark/>
          </w:tcPr>
          <w:p w14:paraId="53A79964"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5FB462D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0.074</w:t>
            </w:r>
          </w:p>
        </w:tc>
      </w:tr>
      <w:tr w:rsidR="00CA0B89" w:rsidRPr="00CA0B89" w14:paraId="1C0A1242"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292886C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nil"/>
              <w:right w:val="nil"/>
            </w:tcBorders>
            <w:shd w:val="clear" w:color="auto" w:fill="auto"/>
            <w:noWrap/>
            <w:vAlign w:val="bottom"/>
            <w:hideMark/>
          </w:tcPr>
          <w:p w14:paraId="12C724F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7CE0B7D7"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98" w:type="dxa"/>
            <w:tcBorders>
              <w:top w:val="nil"/>
              <w:left w:val="nil"/>
              <w:bottom w:val="nil"/>
              <w:right w:val="nil"/>
            </w:tcBorders>
            <w:shd w:val="clear" w:color="auto" w:fill="auto"/>
            <w:noWrap/>
            <w:vAlign w:val="bottom"/>
            <w:hideMark/>
          </w:tcPr>
          <w:p w14:paraId="53F9BD33"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2EDC1E60"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4D862257"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2DE038CD"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0DEFD81C"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4542502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7835B0D1"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496B2DE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DPR</w:t>
            </w:r>
          </w:p>
        </w:tc>
        <w:tc>
          <w:tcPr>
            <w:tcW w:w="838" w:type="dxa"/>
            <w:tcBorders>
              <w:top w:val="nil"/>
              <w:left w:val="nil"/>
              <w:bottom w:val="nil"/>
              <w:right w:val="nil"/>
            </w:tcBorders>
            <w:shd w:val="clear" w:color="auto" w:fill="auto"/>
            <w:noWrap/>
            <w:vAlign w:val="bottom"/>
            <w:hideMark/>
          </w:tcPr>
          <w:p w14:paraId="2FCC5B5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4DD91EC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Coefficient</w:t>
            </w:r>
          </w:p>
        </w:tc>
        <w:tc>
          <w:tcPr>
            <w:tcW w:w="898" w:type="dxa"/>
            <w:tcBorders>
              <w:top w:val="nil"/>
              <w:left w:val="nil"/>
              <w:bottom w:val="nil"/>
              <w:right w:val="nil"/>
            </w:tcBorders>
            <w:shd w:val="clear" w:color="auto" w:fill="auto"/>
            <w:noWrap/>
            <w:vAlign w:val="bottom"/>
            <w:hideMark/>
          </w:tcPr>
          <w:p w14:paraId="1D7F848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Standard Error</w:t>
            </w:r>
          </w:p>
        </w:tc>
        <w:tc>
          <w:tcPr>
            <w:tcW w:w="838" w:type="dxa"/>
            <w:tcBorders>
              <w:top w:val="nil"/>
              <w:left w:val="nil"/>
              <w:bottom w:val="nil"/>
              <w:right w:val="nil"/>
            </w:tcBorders>
            <w:shd w:val="clear" w:color="auto" w:fill="auto"/>
            <w:noWrap/>
            <w:vAlign w:val="bottom"/>
            <w:hideMark/>
          </w:tcPr>
          <w:p w14:paraId="400BF1A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t</w:t>
            </w:r>
          </w:p>
        </w:tc>
        <w:tc>
          <w:tcPr>
            <w:tcW w:w="1232" w:type="dxa"/>
            <w:tcBorders>
              <w:top w:val="nil"/>
              <w:left w:val="nil"/>
              <w:bottom w:val="nil"/>
              <w:right w:val="nil"/>
            </w:tcBorders>
            <w:shd w:val="clear" w:color="auto" w:fill="auto"/>
            <w:noWrap/>
            <w:vAlign w:val="bottom"/>
            <w:hideMark/>
          </w:tcPr>
          <w:p w14:paraId="25427FD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P&gt;[t]</w:t>
            </w:r>
          </w:p>
        </w:tc>
        <w:tc>
          <w:tcPr>
            <w:tcW w:w="1484" w:type="dxa"/>
            <w:gridSpan w:val="2"/>
            <w:tcBorders>
              <w:top w:val="nil"/>
              <w:left w:val="nil"/>
              <w:bottom w:val="nil"/>
              <w:right w:val="nil"/>
            </w:tcBorders>
            <w:shd w:val="clear" w:color="auto" w:fill="auto"/>
            <w:noWrap/>
            <w:vAlign w:val="bottom"/>
            <w:hideMark/>
          </w:tcPr>
          <w:p w14:paraId="0330263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[95% Confidence Interval]</w:t>
            </w:r>
          </w:p>
        </w:tc>
        <w:tc>
          <w:tcPr>
            <w:tcW w:w="645" w:type="dxa"/>
            <w:tcBorders>
              <w:top w:val="nil"/>
              <w:left w:val="nil"/>
              <w:bottom w:val="nil"/>
              <w:right w:val="single" w:sz="8" w:space="0" w:color="auto"/>
            </w:tcBorders>
            <w:shd w:val="clear" w:color="auto" w:fill="auto"/>
            <w:noWrap/>
            <w:vAlign w:val="bottom"/>
            <w:hideMark/>
          </w:tcPr>
          <w:p w14:paraId="6936D92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03E2F72F"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3ECD383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nil"/>
              <w:right w:val="nil"/>
            </w:tcBorders>
            <w:shd w:val="clear" w:color="auto" w:fill="auto"/>
            <w:noWrap/>
            <w:vAlign w:val="bottom"/>
            <w:hideMark/>
          </w:tcPr>
          <w:p w14:paraId="61F34EC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4E231C16"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98" w:type="dxa"/>
            <w:tcBorders>
              <w:top w:val="nil"/>
              <w:left w:val="nil"/>
              <w:bottom w:val="nil"/>
              <w:right w:val="nil"/>
            </w:tcBorders>
            <w:shd w:val="clear" w:color="auto" w:fill="auto"/>
            <w:noWrap/>
            <w:vAlign w:val="bottom"/>
            <w:hideMark/>
          </w:tcPr>
          <w:p w14:paraId="33F95D5F"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007FD624"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4346C146"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0C717BFE"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78AE6AE1"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56472F0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4DDC7EDE"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353173E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Deal</w:t>
            </w:r>
          </w:p>
        </w:tc>
        <w:tc>
          <w:tcPr>
            <w:tcW w:w="838" w:type="dxa"/>
            <w:tcBorders>
              <w:top w:val="nil"/>
              <w:left w:val="nil"/>
              <w:bottom w:val="nil"/>
              <w:right w:val="nil"/>
            </w:tcBorders>
            <w:shd w:val="clear" w:color="auto" w:fill="auto"/>
            <w:noWrap/>
            <w:vAlign w:val="bottom"/>
            <w:hideMark/>
          </w:tcPr>
          <w:p w14:paraId="4539519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42FC0FC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-0.0101</w:t>
            </w:r>
          </w:p>
        </w:tc>
        <w:tc>
          <w:tcPr>
            <w:tcW w:w="898" w:type="dxa"/>
            <w:tcBorders>
              <w:top w:val="nil"/>
              <w:left w:val="nil"/>
              <w:bottom w:val="nil"/>
              <w:right w:val="nil"/>
            </w:tcBorders>
            <w:shd w:val="clear" w:color="auto" w:fill="auto"/>
            <w:noWrap/>
            <w:vAlign w:val="bottom"/>
            <w:hideMark/>
          </w:tcPr>
          <w:p w14:paraId="5AF6442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0.0098</w:t>
            </w:r>
          </w:p>
        </w:tc>
        <w:tc>
          <w:tcPr>
            <w:tcW w:w="838" w:type="dxa"/>
            <w:tcBorders>
              <w:top w:val="nil"/>
              <w:left w:val="nil"/>
              <w:bottom w:val="nil"/>
              <w:right w:val="nil"/>
            </w:tcBorders>
            <w:shd w:val="clear" w:color="auto" w:fill="auto"/>
            <w:noWrap/>
            <w:vAlign w:val="bottom"/>
            <w:hideMark/>
          </w:tcPr>
          <w:p w14:paraId="34A12D2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-1.0400</w:t>
            </w:r>
          </w:p>
        </w:tc>
        <w:tc>
          <w:tcPr>
            <w:tcW w:w="1232" w:type="dxa"/>
            <w:tcBorders>
              <w:top w:val="nil"/>
              <w:left w:val="nil"/>
              <w:bottom w:val="nil"/>
              <w:right w:val="nil"/>
            </w:tcBorders>
            <w:shd w:val="clear" w:color="auto" w:fill="auto"/>
            <w:noWrap/>
            <w:vAlign w:val="bottom"/>
            <w:hideMark/>
          </w:tcPr>
          <w:p w14:paraId="264D6E8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0.2990</w:t>
            </w:r>
          </w:p>
        </w:tc>
        <w:tc>
          <w:tcPr>
            <w:tcW w:w="742" w:type="dxa"/>
            <w:tcBorders>
              <w:top w:val="nil"/>
              <w:left w:val="nil"/>
              <w:bottom w:val="nil"/>
              <w:right w:val="nil"/>
            </w:tcBorders>
            <w:shd w:val="clear" w:color="auto" w:fill="auto"/>
            <w:noWrap/>
            <w:vAlign w:val="bottom"/>
            <w:hideMark/>
          </w:tcPr>
          <w:p w14:paraId="03972B6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-0.0293</w:t>
            </w:r>
          </w:p>
        </w:tc>
        <w:tc>
          <w:tcPr>
            <w:tcW w:w="742" w:type="dxa"/>
            <w:tcBorders>
              <w:top w:val="nil"/>
              <w:left w:val="nil"/>
              <w:bottom w:val="nil"/>
              <w:right w:val="nil"/>
            </w:tcBorders>
            <w:shd w:val="clear" w:color="auto" w:fill="auto"/>
            <w:noWrap/>
            <w:vAlign w:val="bottom"/>
            <w:hideMark/>
          </w:tcPr>
          <w:p w14:paraId="5969FFB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0.0091</w:t>
            </w:r>
          </w:p>
        </w:tc>
        <w:tc>
          <w:tcPr>
            <w:tcW w:w="645" w:type="dxa"/>
            <w:tcBorders>
              <w:top w:val="nil"/>
              <w:left w:val="nil"/>
              <w:bottom w:val="nil"/>
              <w:right w:val="single" w:sz="8" w:space="0" w:color="auto"/>
            </w:tcBorders>
            <w:shd w:val="clear" w:color="auto" w:fill="auto"/>
            <w:noWrap/>
            <w:vAlign w:val="bottom"/>
            <w:hideMark/>
          </w:tcPr>
          <w:p w14:paraId="5284DB4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3949BFDE"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1EFBE93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Profit</w:t>
            </w:r>
          </w:p>
        </w:tc>
        <w:tc>
          <w:tcPr>
            <w:tcW w:w="838" w:type="dxa"/>
            <w:tcBorders>
              <w:top w:val="nil"/>
              <w:left w:val="nil"/>
              <w:bottom w:val="nil"/>
              <w:right w:val="nil"/>
            </w:tcBorders>
            <w:shd w:val="clear" w:color="auto" w:fill="auto"/>
            <w:noWrap/>
            <w:vAlign w:val="bottom"/>
            <w:hideMark/>
          </w:tcPr>
          <w:p w14:paraId="412E78E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2EE24B2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0.0018</w:t>
            </w:r>
          </w:p>
        </w:tc>
        <w:tc>
          <w:tcPr>
            <w:tcW w:w="898" w:type="dxa"/>
            <w:tcBorders>
              <w:top w:val="nil"/>
              <w:left w:val="nil"/>
              <w:bottom w:val="nil"/>
              <w:right w:val="nil"/>
            </w:tcBorders>
            <w:shd w:val="clear" w:color="auto" w:fill="auto"/>
            <w:noWrap/>
            <w:vAlign w:val="bottom"/>
            <w:hideMark/>
          </w:tcPr>
          <w:p w14:paraId="3A6916D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0.0005</w:t>
            </w:r>
          </w:p>
        </w:tc>
        <w:tc>
          <w:tcPr>
            <w:tcW w:w="838" w:type="dxa"/>
            <w:tcBorders>
              <w:top w:val="nil"/>
              <w:left w:val="nil"/>
              <w:bottom w:val="nil"/>
              <w:right w:val="nil"/>
            </w:tcBorders>
            <w:shd w:val="clear" w:color="auto" w:fill="auto"/>
            <w:noWrap/>
            <w:vAlign w:val="bottom"/>
            <w:hideMark/>
          </w:tcPr>
          <w:p w14:paraId="6C9D23F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3.5500</w:t>
            </w:r>
          </w:p>
        </w:tc>
        <w:tc>
          <w:tcPr>
            <w:tcW w:w="1232" w:type="dxa"/>
            <w:tcBorders>
              <w:top w:val="nil"/>
              <w:left w:val="nil"/>
              <w:bottom w:val="nil"/>
              <w:right w:val="nil"/>
            </w:tcBorders>
            <w:shd w:val="clear" w:color="auto" w:fill="auto"/>
            <w:noWrap/>
            <w:vAlign w:val="bottom"/>
            <w:hideMark/>
          </w:tcPr>
          <w:p w14:paraId="637ABFD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0.0000</w:t>
            </w:r>
          </w:p>
        </w:tc>
        <w:tc>
          <w:tcPr>
            <w:tcW w:w="742" w:type="dxa"/>
            <w:tcBorders>
              <w:top w:val="nil"/>
              <w:left w:val="nil"/>
              <w:bottom w:val="nil"/>
              <w:right w:val="nil"/>
            </w:tcBorders>
            <w:shd w:val="clear" w:color="auto" w:fill="auto"/>
            <w:noWrap/>
            <w:vAlign w:val="bottom"/>
            <w:hideMark/>
          </w:tcPr>
          <w:p w14:paraId="771E324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0.0008</w:t>
            </w:r>
          </w:p>
        </w:tc>
        <w:tc>
          <w:tcPr>
            <w:tcW w:w="742" w:type="dxa"/>
            <w:tcBorders>
              <w:top w:val="nil"/>
              <w:left w:val="nil"/>
              <w:bottom w:val="nil"/>
              <w:right w:val="nil"/>
            </w:tcBorders>
            <w:shd w:val="clear" w:color="auto" w:fill="auto"/>
            <w:noWrap/>
            <w:vAlign w:val="bottom"/>
            <w:hideMark/>
          </w:tcPr>
          <w:p w14:paraId="5C7AECA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0.2228</w:t>
            </w:r>
          </w:p>
        </w:tc>
        <w:tc>
          <w:tcPr>
            <w:tcW w:w="645" w:type="dxa"/>
            <w:tcBorders>
              <w:top w:val="nil"/>
              <w:left w:val="nil"/>
              <w:bottom w:val="nil"/>
              <w:right w:val="single" w:sz="8" w:space="0" w:color="auto"/>
            </w:tcBorders>
            <w:shd w:val="clear" w:color="auto" w:fill="auto"/>
            <w:noWrap/>
            <w:vAlign w:val="bottom"/>
            <w:hideMark/>
          </w:tcPr>
          <w:p w14:paraId="72D6E63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0DC39EF7"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5D52680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CS</w:t>
            </w:r>
          </w:p>
        </w:tc>
        <w:tc>
          <w:tcPr>
            <w:tcW w:w="838" w:type="dxa"/>
            <w:tcBorders>
              <w:top w:val="nil"/>
              <w:left w:val="nil"/>
              <w:bottom w:val="nil"/>
              <w:right w:val="nil"/>
            </w:tcBorders>
            <w:shd w:val="clear" w:color="auto" w:fill="auto"/>
            <w:noWrap/>
            <w:vAlign w:val="bottom"/>
            <w:hideMark/>
          </w:tcPr>
          <w:p w14:paraId="3D6D160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1CF3DE3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-0.0042</w:t>
            </w:r>
          </w:p>
        </w:tc>
        <w:tc>
          <w:tcPr>
            <w:tcW w:w="898" w:type="dxa"/>
            <w:tcBorders>
              <w:top w:val="nil"/>
              <w:left w:val="nil"/>
              <w:bottom w:val="nil"/>
              <w:right w:val="nil"/>
            </w:tcBorders>
            <w:shd w:val="clear" w:color="auto" w:fill="auto"/>
            <w:noWrap/>
            <w:vAlign w:val="bottom"/>
            <w:hideMark/>
          </w:tcPr>
          <w:p w14:paraId="529FE61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0.0014</w:t>
            </w:r>
          </w:p>
        </w:tc>
        <w:tc>
          <w:tcPr>
            <w:tcW w:w="838" w:type="dxa"/>
            <w:tcBorders>
              <w:top w:val="nil"/>
              <w:left w:val="nil"/>
              <w:bottom w:val="nil"/>
              <w:right w:val="nil"/>
            </w:tcBorders>
            <w:shd w:val="clear" w:color="auto" w:fill="auto"/>
            <w:noWrap/>
            <w:vAlign w:val="bottom"/>
            <w:hideMark/>
          </w:tcPr>
          <w:p w14:paraId="5B4B474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-2.9600</w:t>
            </w:r>
          </w:p>
        </w:tc>
        <w:tc>
          <w:tcPr>
            <w:tcW w:w="1232" w:type="dxa"/>
            <w:tcBorders>
              <w:top w:val="nil"/>
              <w:left w:val="nil"/>
              <w:bottom w:val="nil"/>
              <w:right w:val="nil"/>
            </w:tcBorders>
            <w:shd w:val="clear" w:color="auto" w:fill="auto"/>
            <w:noWrap/>
            <w:vAlign w:val="bottom"/>
            <w:hideMark/>
          </w:tcPr>
          <w:p w14:paraId="71FAC58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0.0030</w:t>
            </w:r>
          </w:p>
        </w:tc>
        <w:tc>
          <w:tcPr>
            <w:tcW w:w="742" w:type="dxa"/>
            <w:tcBorders>
              <w:top w:val="nil"/>
              <w:left w:val="nil"/>
              <w:bottom w:val="nil"/>
              <w:right w:val="nil"/>
            </w:tcBorders>
            <w:shd w:val="clear" w:color="auto" w:fill="auto"/>
            <w:noWrap/>
            <w:vAlign w:val="bottom"/>
            <w:hideMark/>
          </w:tcPr>
          <w:p w14:paraId="3C7908F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-0.0070</w:t>
            </w:r>
          </w:p>
        </w:tc>
        <w:tc>
          <w:tcPr>
            <w:tcW w:w="742" w:type="dxa"/>
            <w:tcBorders>
              <w:top w:val="nil"/>
              <w:left w:val="nil"/>
              <w:bottom w:val="nil"/>
              <w:right w:val="nil"/>
            </w:tcBorders>
            <w:shd w:val="clear" w:color="auto" w:fill="auto"/>
            <w:noWrap/>
            <w:vAlign w:val="bottom"/>
            <w:hideMark/>
          </w:tcPr>
          <w:p w14:paraId="0A58B5E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-0.0014</w:t>
            </w:r>
          </w:p>
        </w:tc>
        <w:tc>
          <w:tcPr>
            <w:tcW w:w="645" w:type="dxa"/>
            <w:tcBorders>
              <w:top w:val="nil"/>
              <w:left w:val="nil"/>
              <w:bottom w:val="nil"/>
              <w:right w:val="single" w:sz="8" w:space="0" w:color="auto"/>
            </w:tcBorders>
            <w:shd w:val="clear" w:color="auto" w:fill="auto"/>
            <w:noWrap/>
            <w:vAlign w:val="bottom"/>
            <w:hideMark/>
          </w:tcPr>
          <w:p w14:paraId="084658A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499F7971"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24B6283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Growth</w:t>
            </w:r>
          </w:p>
        </w:tc>
        <w:tc>
          <w:tcPr>
            <w:tcW w:w="838" w:type="dxa"/>
            <w:tcBorders>
              <w:top w:val="nil"/>
              <w:left w:val="nil"/>
              <w:bottom w:val="nil"/>
              <w:right w:val="nil"/>
            </w:tcBorders>
            <w:shd w:val="clear" w:color="auto" w:fill="auto"/>
            <w:noWrap/>
            <w:vAlign w:val="bottom"/>
            <w:hideMark/>
          </w:tcPr>
          <w:p w14:paraId="7B31D8E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425B6A6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0.0082</w:t>
            </w:r>
          </w:p>
        </w:tc>
        <w:tc>
          <w:tcPr>
            <w:tcW w:w="898" w:type="dxa"/>
            <w:tcBorders>
              <w:top w:val="nil"/>
              <w:left w:val="nil"/>
              <w:bottom w:val="nil"/>
              <w:right w:val="nil"/>
            </w:tcBorders>
            <w:shd w:val="clear" w:color="auto" w:fill="auto"/>
            <w:noWrap/>
            <w:vAlign w:val="bottom"/>
            <w:hideMark/>
          </w:tcPr>
          <w:p w14:paraId="480E437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0.0015</w:t>
            </w:r>
          </w:p>
        </w:tc>
        <w:tc>
          <w:tcPr>
            <w:tcW w:w="838" w:type="dxa"/>
            <w:tcBorders>
              <w:top w:val="nil"/>
              <w:left w:val="nil"/>
              <w:bottom w:val="nil"/>
              <w:right w:val="nil"/>
            </w:tcBorders>
            <w:shd w:val="clear" w:color="auto" w:fill="auto"/>
            <w:noWrap/>
            <w:vAlign w:val="bottom"/>
            <w:hideMark/>
          </w:tcPr>
          <w:p w14:paraId="663E253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5.5500</w:t>
            </w:r>
          </w:p>
        </w:tc>
        <w:tc>
          <w:tcPr>
            <w:tcW w:w="1232" w:type="dxa"/>
            <w:tcBorders>
              <w:top w:val="nil"/>
              <w:left w:val="nil"/>
              <w:bottom w:val="nil"/>
              <w:right w:val="nil"/>
            </w:tcBorders>
            <w:shd w:val="clear" w:color="auto" w:fill="auto"/>
            <w:noWrap/>
            <w:vAlign w:val="bottom"/>
            <w:hideMark/>
          </w:tcPr>
          <w:p w14:paraId="7926565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0.0000</w:t>
            </w:r>
          </w:p>
        </w:tc>
        <w:tc>
          <w:tcPr>
            <w:tcW w:w="742" w:type="dxa"/>
            <w:tcBorders>
              <w:top w:val="nil"/>
              <w:left w:val="nil"/>
              <w:bottom w:val="nil"/>
              <w:right w:val="nil"/>
            </w:tcBorders>
            <w:shd w:val="clear" w:color="auto" w:fill="auto"/>
            <w:noWrap/>
            <w:vAlign w:val="bottom"/>
            <w:hideMark/>
          </w:tcPr>
          <w:p w14:paraId="4ECA492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0.0053</w:t>
            </w:r>
          </w:p>
        </w:tc>
        <w:tc>
          <w:tcPr>
            <w:tcW w:w="742" w:type="dxa"/>
            <w:tcBorders>
              <w:top w:val="nil"/>
              <w:left w:val="nil"/>
              <w:bottom w:val="nil"/>
              <w:right w:val="nil"/>
            </w:tcBorders>
            <w:shd w:val="clear" w:color="auto" w:fill="auto"/>
            <w:noWrap/>
            <w:vAlign w:val="bottom"/>
            <w:hideMark/>
          </w:tcPr>
          <w:p w14:paraId="4164397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0.0112</w:t>
            </w:r>
          </w:p>
        </w:tc>
        <w:tc>
          <w:tcPr>
            <w:tcW w:w="645" w:type="dxa"/>
            <w:tcBorders>
              <w:top w:val="nil"/>
              <w:left w:val="nil"/>
              <w:bottom w:val="nil"/>
              <w:right w:val="single" w:sz="8" w:space="0" w:color="auto"/>
            </w:tcBorders>
            <w:shd w:val="clear" w:color="auto" w:fill="auto"/>
            <w:noWrap/>
            <w:vAlign w:val="bottom"/>
            <w:hideMark/>
          </w:tcPr>
          <w:p w14:paraId="3CFCCF0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035073E9"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0602B07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Liquidity</w:t>
            </w:r>
          </w:p>
        </w:tc>
        <w:tc>
          <w:tcPr>
            <w:tcW w:w="838" w:type="dxa"/>
            <w:tcBorders>
              <w:top w:val="nil"/>
              <w:left w:val="nil"/>
              <w:bottom w:val="nil"/>
              <w:right w:val="nil"/>
            </w:tcBorders>
            <w:shd w:val="clear" w:color="auto" w:fill="auto"/>
            <w:noWrap/>
            <w:vAlign w:val="bottom"/>
            <w:hideMark/>
          </w:tcPr>
          <w:p w14:paraId="30391CA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1A0CEE7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0.0562</w:t>
            </w:r>
          </w:p>
        </w:tc>
        <w:tc>
          <w:tcPr>
            <w:tcW w:w="898" w:type="dxa"/>
            <w:tcBorders>
              <w:top w:val="nil"/>
              <w:left w:val="nil"/>
              <w:bottom w:val="nil"/>
              <w:right w:val="nil"/>
            </w:tcBorders>
            <w:shd w:val="clear" w:color="auto" w:fill="auto"/>
            <w:noWrap/>
            <w:vAlign w:val="bottom"/>
            <w:hideMark/>
          </w:tcPr>
          <w:p w14:paraId="7D24FCC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0.0064</w:t>
            </w:r>
          </w:p>
        </w:tc>
        <w:tc>
          <w:tcPr>
            <w:tcW w:w="838" w:type="dxa"/>
            <w:tcBorders>
              <w:top w:val="nil"/>
              <w:left w:val="nil"/>
              <w:bottom w:val="nil"/>
              <w:right w:val="nil"/>
            </w:tcBorders>
            <w:shd w:val="clear" w:color="auto" w:fill="auto"/>
            <w:noWrap/>
            <w:vAlign w:val="bottom"/>
            <w:hideMark/>
          </w:tcPr>
          <w:p w14:paraId="0F017AC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8.7600</w:t>
            </w:r>
          </w:p>
        </w:tc>
        <w:tc>
          <w:tcPr>
            <w:tcW w:w="1232" w:type="dxa"/>
            <w:tcBorders>
              <w:top w:val="nil"/>
              <w:left w:val="nil"/>
              <w:bottom w:val="nil"/>
              <w:right w:val="nil"/>
            </w:tcBorders>
            <w:shd w:val="clear" w:color="auto" w:fill="auto"/>
            <w:noWrap/>
            <w:vAlign w:val="bottom"/>
            <w:hideMark/>
          </w:tcPr>
          <w:p w14:paraId="46D068D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0.0000</w:t>
            </w:r>
          </w:p>
        </w:tc>
        <w:tc>
          <w:tcPr>
            <w:tcW w:w="742" w:type="dxa"/>
            <w:tcBorders>
              <w:top w:val="nil"/>
              <w:left w:val="nil"/>
              <w:bottom w:val="nil"/>
              <w:right w:val="nil"/>
            </w:tcBorders>
            <w:shd w:val="clear" w:color="auto" w:fill="auto"/>
            <w:noWrap/>
            <w:vAlign w:val="bottom"/>
            <w:hideMark/>
          </w:tcPr>
          <w:p w14:paraId="445277D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0.0436</w:t>
            </w:r>
          </w:p>
        </w:tc>
        <w:tc>
          <w:tcPr>
            <w:tcW w:w="742" w:type="dxa"/>
            <w:tcBorders>
              <w:top w:val="nil"/>
              <w:left w:val="nil"/>
              <w:bottom w:val="nil"/>
              <w:right w:val="nil"/>
            </w:tcBorders>
            <w:shd w:val="clear" w:color="auto" w:fill="auto"/>
            <w:noWrap/>
            <w:vAlign w:val="bottom"/>
            <w:hideMark/>
          </w:tcPr>
          <w:p w14:paraId="2ACD33E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0.0689</w:t>
            </w:r>
          </w:p>
        </w:tc>
        <w:tc>
          <w:tcPr>
            <w:tcW w:w="645" w:type="dxa"/>
            <w:tcBorders>
              <w:top w:val="nil"/>
              <w:left w:val="nil"/>
              <w:bottom w:val="nil"/>
              <w:right w:val="single" w:sz="8" w:space="0" w:color="auto"/>
            </w:tcBorders>
            <w:shd w:val="clear" w:color="auto" w:fill="auto"/>
            <w:noWrap/>
            <w:vAlign w:val="bottom"/>
            <w:hideMark/>
          </w:tcPr>
          <w:p w14:paraId="1D4BE30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5A475587"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407B5D4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Size</w:t>
            </w:r>
          </w:p>
        </w:tc>
        <w:tc>
          <w:tcPr>
            <w:tcW w:w="838" w:type="dxa"/>
            <w:tcBorders>
              <w:top w:val="nil"/>
              <w:left w:val="nil"/>
              <w:bottom w:val="nil"/>
              <w:right w:val="nil"/>
            </w:tcBorders>
            <w:shd w:val="clear" w:color="auto" w:fill="auto"/>
            <w:noWrap/>
            <w:vAlign w:val="bottom"/>
            <w:hideMark/>
          </w:tcPr>
          <w:p w14:paraId="57B5558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629E7DB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0.0190</w:t>
            </w:r>
          </w:p>
        </w:tc>
        <w:tc>
          <w:tcPr>
            <w:tcW w:w="898" w:type="dxa"/>
            <w:tcBorders>
              <w:top w:val="nil"/>
              <w:left w:val="nil"/>
              <w:bottom w:val="nil"/>
              <w:right w:val="nil"/>
            </w:tcBorders>
            <w:shd w:val="clear" w:color="auto" w:fill="auto"/>
            <w:noWrap/>
            <w:vAlign w:val="bottom"/>
            <w:hideMark/>
          </w:tcPr>
          <w:p w14:paraId="7549003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0.0036</w:t>
            </w:r>
          </w:p>
        </w:tc>
        <w:tc>
          <w:tcPr>
            <w:tcW w:w="838" w:type="dxa"/>
            <w:tcBorders>
              <w:top w:val="nil"/>
              <w:left w:val="nil"/>
              <w:bottom w:val="nil"/>
              <w:right w:val="nil"/>
            </w:tcBorders>
            <w:shd w:val="clear" w:color="auto" w:fill="auto"/>
            <w:noWrap/>
            <w:vAlign w:val="bottom"/>
            <w:hideMark/>
          </w:tcPr>
          <w:p w14:paraId="0C99FCB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5.2500</w:t>
            </w:r>
          </w:p>
        </w:tc>
        <w:tc>
          <w:tcPr>
            <w:tcW w:w="1232" w:type="dxa"/>
            <w:tcBorders>
              <w:top w:val="nil"/>
              <w:left w:val="nil"/>
              <w:bottom w:val="nil"/>
              <w:right w:val="nil"/>
            </w:tcBorders>
            <w:shd w:val="clear" w:color="auto" w:fill="auto"/>
            <w:noWrap/>
            <w:vAlign w:val="bottom"/>
            <w:hideMark/>
          </w:tcPr>
          <w:p w14:paraId="0A8013D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0.0000</w:t>
            </w:r>
          </w:p>
        </w:tc>
        <w:tc>
          <w:tcPr>
            <w:tcW w:w="742" w:type="dxa"/>
            <w:tcBorders>
              <w:top w:val="nil"/>
              <w:left w:val="nil"/>
              <w:bottom w:val="nil"/>
              <w:right w:val="nil"/>
            </w:tcBorders>
            <w:shd w:val="clear" w:color="auto" w:fill="auto"/>
            <w:noWrap/>
            <w:vAlign w:val="bottom"/>
            <w:hideMark/>
          </w:tcPr>
          <w:p w14:paraId="6E866E3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0.0119</w:t>
            </w:r>
          </w:p>
        </w:tc>
        <w:tc>
          <w:tcPr>
            <w:tcW w:w="742" w:type="dxa"/>
            <w:tcBorders>
              <w:top w:val="nil"/>
              <w:left w:val="nil"/>
              <w:bottom w:val="nil"/>
              <w:right w:val="nil"/>
            </w:tcBorders>
            <w:shd w:val="clear" w:color="auto" w:fill="auto"/>
            <w:noWrap/>
            <w:vAlign w:val="bottom"/>
            <w:hideMark/>
          </w:tcPr>
          <w:p w14:paraId="363EC33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0.0261</w:t>
            </w:r>
          </w:p>
        </w:tc>
        <w:tc>
          <w:tcPr>
            <w:tcW w:w="645" w:type="dxa"/>
            <w:tcBorders>
              <w:top w:val="nil"/>
              <w:left w:val="nil"/>
              <w:bottom w:val="nil"/>
              <w:right w:val="single" w:sz="8" w:space="0" w:color="auto"/>
            </w:tcBorders>
            <w:shd w:val="clear" w:color="auto" w:fill="auto"/>
            <w:noWrap/>
            <w:vAlign w:val="bottom"/>
            <w:hideMark/>
          </w:tcPr>
          <w:p w14:paraId="20D303D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58CB9A73"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7DA8F0A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resi_2</w:t>
            </w:r>
          </w:p>
        </w:tc>
        <w:tc>
          <w:tcPr>
            <w:tcW w:w="838" w:type="dxa"/>
            <w:tcBorders>
              <w:top w:val="nil"/>
              <w:left w:val="nil"/>
              <w:bottom w:val="nil"/>
              <w:right w:val="nil"/>
            </w:tcBorders>
            <w:shd w:val="clear" w:color="auto" w:fill="auto"/>
            <w:noWrap/>
            <w:vAlign w:val="bottom"/>
            <w:hideMark/>
          </w:tcPr>
          <w:p w14:paraId="552479D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736280F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1.0000</w:t>
            </w:r>
          </w:p>
        </w:tc>
        <w:tc>
          <w:tcPr>
            <w:tcW w:w="898" w:type="dxa"/>
            <w:tcBorders>
              <w:top w:val="nil"/>
              <w:left w:val="nil"/>
              <w:bottom w:val="nil"/>
              <w:right w:val="nil"/>
            </w:tcBorders>
            <w:shd w:val="clear" w:color="auto" w:fill="auto"/>
            <w:noWrap/>
            <w:vAlign w:val="bottom"/>
            <w:hideMark/>
          </w:tcPr>
          <w:p w14:paraId="24FAAAD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0.0165</w:t>
            </w:r>
          </w:p>
        </w:tc>
        <w:tc>
          <w:tcPr>
            <w:tcW w:w="838" w:type="dxa"/>
            <w:tcBorders>
              <w:top w:val="nil"/>
              <w:left w:val="nil"/>
              <w:bottom w:val="nil"/>
              <w:right w:val="nil"/>
            </w:tcBorders>
            <w:shd w:val="clear" w:color="auto" w:fill="auto"/>
            <w:noWrap/>
            <w:vAlign w:val="bottom"/>
            <w:hideMark/>
          </w:tcPr>
          <w:p w14:paraId="3F78168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60.5700</w:t>
            </w:r>
          </w:p>
        </w:tc>
        <w:tc>
          <w:tcPr>
            <w:tcW w:w="1232" w:type="dxa"/>
            <w:tcBorders>
              <w:top w:val="nil"/>
              <w:left w:val="nil"/>
              <w:bottom w:val="nil"/>
              <w:right w:val="nil"/>
            </w:tcBorders>
            <w:shd w:val="clear" w:color="auto" w:fill="auto"/>
            <w:noWrap/>
            <w:vAlign w:val="bottom"/>
            <w:hideMark/>
          </w:tcPr>
          <w:p w14:paraId="7D05038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0.0000</w:t>
            </w:r>
          </w:p>
        </w:tc>
        <w:tc>
          <w:tcPr>
            <w:tcW w:w="742" w:type="dxa"/>
            <w:tcBorders>
              <w:top w:val="nil"/>
              <w:left w:val="nil"/>
              <w:bottom w:val="nil"/>
              <w:right w:val="nil"/>
            </w:tcBorders>
            <w:shd w:val="clear" w:color="auto" w:fill="auto"/>
            <w:noWrap/>
            <w:vAlign w:val="bottom"/>
            <w:hideMark/>
          </w:tcPr>
          <w:p w14:paraId="4464F44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0.9675</w:t>
            </w:r>
          </w:p>
        </w:tc>
        <w:tc>
          <w:tcPr>
            <w:tcW w:w="742" w:type="dxa"/>
            <w:tcBorders>
              <w:top w:val="nil"/>
              <w:left w:val="nil"/>
              <w:bottom w:val="nil"/>
              <w:right w:val="nil"/>
            </w:tcBorders>
            <w:shd w:val="clear" w:color="auto" w:fill="auto"/>
            <w:noWrap/>
            <w:vAlign w:val="bottom"/>
            <w:hideMark/>
          </w:tcPr>
          <w:p w14:paraId="6FFC6EC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1.0325</w:t>
            </w:r>
          </w:p>
        </w:tc>
        <w:tc>
          <w:tcPr>
            <w:tcW w:w="645" w:type="dxa"/>
            <w:tcBorders>
              <w:top w:val="nil"/>
              <w:left w:val="nil"/>
              <w:bottom w:val="nil"/>
              <w:right w:val="single" w:sz="8" w:space="0" w:color="auto"/>
            </w:tcBorders>
            <w:shd w:val="clear" w:color="auto" w:fill="auto"/>
            <w:noWrap/>
            <w:vAlign w:val="bottom"/>
            <w:hideMark/>
          </w:tcPr>
          <w:p w14:paraId="4233D05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2591BC9C"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15F1249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_cons</w:t>
            </w:r>
          </w:p>
        </w:tc>
        <w:tc>
          <w:tcPr>
            <w:tcW w:w="838" w:type="dxa"/>
            <w:tcBorders>
              <w:top w:val="nil"/>
              <w:left w:val="nil"/>
              <w:bottom w:val="nil"/>
              <w:right w:val="nil"/>
            </w:tcBorders>
            <w:shd w:val="clear" w:color="auto" w:fill="auto"/>
            <w:noWrap/>
            <w:vAlign w:val="bottom"/>
            <w:hideMark/>
          </w:tcPr>
          <w:p w14:paraId="5F16780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7C07419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-0.0300</w:t>
            </w:r>
          </w:p>
        </w:tc>
        <w:tc>
          <w:tcPr>
            <w:tcW w:w="898" w:type="dxa"/>
            <w:tcBorders>
              <w:top w:val="nil"/>
              <w:left w:val="nil"/>
              <w:bottom w:val="nil"/>
              <w:right w:val="nil"/>
            </w:tcBorders>
            <w:shd w:val="clear" w:color="auto" w:fill="auto"/>
            <w:noWrap/>
            <w:vAlign w:val="bottom"/>
            <w:hideMark/>
          </w:tcPr>
          <w:p w14:paraId="3D6D102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0.0634</w:t>
            </w:r>
          </w:p>
        </w:tc>
        <w:tc>
          <w:tcPr>
            <w:tcW w:w="838" w:type="dxa"/>
            <w:tcBorders>
              <w:top w:val="nil"/>
              <w:left w:val="nil"/>
              <w:bottom w:val="nil"/>
              <w:right w:val="nil"/>
            </w:tcBorders>
            <w:shd w:val="clear" w:color="auto" w:fill="auto"/>
            <w:noWrap/>
            <w:vAlign w:val="bottom"/>
            <w:hideMark/>
          </w:tcPr>
          <w:p w14:paraId="1C11AC9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-0.4700</w:t>
            </w:r>
          </w:p>
        </w:tc>
        <w:tc>
          <w:tcPr>
            <w:tcW w:w="1232" w:type="dxa"/>
            <w:tcBorders>
              <w:top w:val="nil"/>
              <w:left w:val="nil"/>
              <w:bottom w:val="nil"/>
              <w:right w:val="nil"/>
            </w:tcBorders>
            <w:shd w:val="clear" w:color="auto" w:fill="auto"/>
            <w:noWrap/>
            <w:vAlign w:val="bottom"/>
            <w:hideMark/>
          </w:tcPr>
          <w:p w14:paraId="6D160EF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0.6360</w:t>
            </w:r>
          </w:p>
        </w:tc>
        <w:tc>
          <w:tcPr>
            <w:tcW w:w="742" w:type="dxa"/>
            <w:tcBorders>
              <w:top w:val="nil"/>
              <w:left w:val="nil"/>
              <w:bottom w:val="nil"/>
              <w:right w:val="nil"/>
            </w:tcBorders>
            <w:shd w:val="clear" w:color="auto" w:fill="auto"/>
            <w:noWrap/>
            <w:vAlign w:val="bottom"/>
            <w:hideMark/>
          </w:tcPr>
          <w:p w14:paraId="02480C5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-0.1548</w:t>
            </w:r>
          </w:p>
        </w:tc>
        <w:tc>
          <w:tcPr>
            <w:tcW w:w="742" w:type="dxa"/>
            <w:tcBorders>
              <w:top w:val="nil"/>
              <w:left w:val="nil"/>
              <w:bottom w:val="nil"/>
              <w:right w:val="nil"/>
            </w:tcBorders>
            <w:shd w:val="clear" w:color="auto" w:fill="auto"/>
            <w:noWrap/>
            <w:vAlign w:val="bottom"/>
            <w:hideMark/>
          </w:tcPr>
          <w:p w14:paraId="210E48E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0.0948</w:t>
            </w:r>
          </w:p>
        </w:tc>
        <w:tc>
          <w:tcPr>
            <w:tcW w:w="645" w:type="dxa"/>
            <w:tcBorders>
              <w:top w:val="nil"/>
              <w:left w:val="nil"/>
              <w:bottom w:val="nil"/>
              <w:right w:val="single" w:sz="8" w:space="0" w:color="auto"/>
            </w:tcBorders>
            <w:shd w:val="clear" w:color="auto" w:fill="auto"/>
            <w:noWrap/>
            <w:vAlign w:val="bottom"/>
            <w:hideMark/>
          </w:tcPr>
          <w:p w14:paraId="3C0EF9C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3EFF9787" w14:textId="77777777" w:rsidTr="00B5127E">
        <w:trPr>
          <w:trHeight w:val="270"/>
          <w:jc w:val="center"/>
        </w:trPr>
        <w:tc>
          <w:tcPr>
            <w:tcW w:w="931" w:type="dxa"/>
            <w:tcBorders>
              <w:top w:val="nil"/>
              <w:left w:val="single" w:sz="8" w:space="0" w:color="auto"/>
              <w:bottom w:val="nil"/>
              <w:right w:val="nil"/>
            </w:tcBorders>
            <w:shd w:val="clear" w:color="auto" w:fill="auto"/>
            <w:noWrap/>
            <w:vAlign w:val="bottom"/>
            <w:hideMark/>
          </w:tcPr>
          <w:p w14:paraId="62FD7AAC"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nil"/>
              <w:right w:val="nil"/>
            </w:tcBorders>
            <w:shd w:val="clear" w:color="auto" w:fill="auto"/>
            <w:noWrap/>
            <w:vAlign w:val="bottom"/>
            <w:hideMark/>
          </w:tcPr>
          <w:p w14:paraId="3157F5B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p>
        </w:tc>
        <w:tc>
          <w:tcPr>
            <w:tcW w:w="2450" w:type="dxa"/>
            <w:tcBorders>
              <w:top w:val="nil"/>
              <w:left w:val="nil"/>
              <w:bottom w:val="nil"/>
              <w:right w:val="nil"/>
            </w:tcBorders>
            <w:shd w:val="clear" w:color="auto" w:fill="auto"/>
            <w:noWrap/>
            <w:vAlign w:val="bottom"/>
            <w:hideMark/>
          </w:tcPr>
          <w:p w14:paraId="16798602"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98" w:type="dxa"/>
            <w:tcBorders>
              <w:top w:val="nil"/>
              <w:left w:val="nil"/>
              <w:bottom w:val="nil"/>
              <w:right w:val="nil"/>
            </w:tcBorders>
            <w:shd w:val="clear" w:color="auto" w:fill="auto"/>
            <w:noWrap/>
            <w:vAlign w:val="bottom"/>
            <w:hideMark/>
          </w:tcPr>
          <w:p w14:paraId="4F16B41F"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838" w:type="dxa"/>
            <w:tcBorders>
              <w:top w:val="nil"/>
              <w:left w:val="nil"/>
              <w:bottom w:val="nil"/>
              <w:right w:val="nil"/>
            </w:tcBorders>
            <w:shd w:val="clear" w:color="auto" w:fill="auto"/>
            <w:noWrap/>
            <w:vAlign w:val="bottom"/>
            <w:hideMark/>
          </w:tcPr>
          <w:p w14:paraId="3508E859"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1232" w:type="dxa"/>
            <w:tcBorders>
              <w:top w:val="nil"/>
              <w:left w:val="nil"/>
              <w:bottom w:val="nil"/>
              <w:right w:val="nil"/>
            </w:tcBorders>
            <w:shd w:val="clear" w:color="auto" w:fill="auto"/>
            <w:noWrap/>
            <w:vAlign w:val="bottom"/>
            <w:hideMark/>
          </w:tcPr>
          <w:p w14:paraId="31C66511"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232002A3"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742" w:type="dxa"/>
            <w:tcBorders>
              <w:top w:val="nil"/>
              <w:left w:val="nil"/>
              <w:bottom w:val="nil"/>
              <w:right w:val="nil"/>
            </w:tcBorders>
            <w:shd w:val="clear" w:color="auto" w:fill="auto"/>
            <w:noWrap/>
            <w:vAlign w:val="bottom"/>
            <w:hideMark/>
          </w:tcPr>
          <w:p w14:paraId="1E11E94E"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6"/>
              </w:rPr>
            </w:pPr>
          </w:p>
        </w:tc>
        <w:tc>
          <w:tcPr>
            <w:tcW w:w="645" w:type="dxa"/>
            <w:tcBorders>
              <w:top w:val="nil"/>
              <w:left w:val="nil"/>
              <w:bottom w:val="nil"/>
              <w:right w:val="single" w:sz="8" w:space="0" w:color="auto"/>
            </w:tcBorders>
            <w:shd w:val="clear" w:color="auto" w:fill="auto"/>
            <w:noWrap/>
            <w:vAlign w:val="bottom"/>
            <w:hideMark/>
          </w:tcPr>
          <w:p w14:paraId="303010C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r w:rsidR="00CA0B89" w:rsidRPr="00CA0B89" w14:paraId="7F4A78ED" w14:textId="77777777" w:rsidTr="00B5127E">
        <w:trPr>
          <w:trHeight w:val="281"/>
          <w:jc w:val="center"/>
        </w:trPr>
        <w:tc>
          <w:tcPr>
            <w:tcW w:w="931" w:type="dxa"/>
            <w:tcBorders>
              <w:top w:val="nil"/>
              <w:left w:val="single" w:sz="8" w:space="0" w:color="auto"/>
              <w:bottom w:val="single" w:sz="8" w:space="0" w:color="auto"/>
              <w:right w:val="nil"/>
            </w:tcBorders>
            <w:shd w:val="clear" w:color="auto" w:fill="auto"/>
            <w:noWrap/>
            <w:vAlign w:val="bottom"/>
            <w:hideMark/>
          </w:tcPr>
          <w:p w14:paraId="6E64E09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single" w:sz="8" w:space="0" w:color="auto"/>
              <w:right w:val="nil"/>
            </w:tcBorders>
            <w:shd w:val="clear" w:color="auto" w:fill="auto"/>
            <w:noWrap/>
            <w:vAlign w:val="bottom"/>
            <w:hideMark/>
          </w:tcPr>
          <w:p w14:paraId="2F091D2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2450" w:type="dxa"/>
            <w:tcBorders>
              <w:top w:val="nil"/>
              <w:left w:val="nil"/>
              <w:bottom w:val="single" w:sz="8" w:space="0" w:color="auto"/>
              <w:right w:val="nil"/>
            </w:tcBorders>
            <w:shd w:val="clear" w:color="auto" w:fill="auto"/>
            <w:noWrap/>
            <w:vAlign w:val="bottom"/>
            <w:hideMark/>
          </w:tcPr>
          <w:p w14:paraId="0BB05DC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xml:space="preserve">.  * if p-value of resi_2 coefficient &lt;5% OLS is not consistent </w:t>
            </w:r>
          </w:p>
        </w:tc>
        <w:tc>
          <w:tcPr>
            <w:tcW w:w="898" w:type="dxa"/>
            <w:tcBorders>
              <w:top w:val="nil"/>
              <w:left w:val="nil"/>
              <w:bottom w:val="single" w:sz="8" w:space="0" w:color="auto"/>
              <w:right w:val="nil"/>
            </w:tcBorders>
            <w:shd w:val="clear" w:color="auto" w:fill="auto"/>
            <w:noWrap/>
            <w:vAlign w:val="bottom"/>
            <w:hideMark/>
          </w:tcPr>
          <w:p w14:paraId="080A516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838" w:type="dxa"/>
            <w:tcBorders>
              <w:top w:val="nil"/>
              <w:left w:val="nil"/>
              <w:bottom w:val="single" w:sz="8" w:space="0" w:color="auto"/>
              <w:right w:val="nil"/>
            </w:tcBorders>
            <w:shd w:val="clear" w:color="auto" w:fill="auto"/>
            <w:noWrap/>
            <w:vAlign w:val="bottom"/>
            <w:hideMark/>
          </w:tcPr>
          <w:p w14:paraId="0EE148B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1232" w:type="dxa"/>
            <w:tcBorders>
              <w:top w:val="nil"/>
              <w:left w:val="nil"/>
              <w:bottom w:val="single" w:sz="8" w:space="0" w:color="auto"/>
              <w:right w:val="nil"/>
            </w:tcBorders>
            <w:shd w:val="clear" w:color="auto" w:fill="auto"/>
            <w:noWrap/>
            <w:vAlign w:val="bottom"/>
            <w:hideMark/>
          </w:tcPr>
          <w:p w14:paraId="73AF50B8"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742" w:type="dxa"/>
            <w:tcBorders>
              <w:top w:val="nil"/>
              <w:left w:val="nil"/>
              <w:bottom w:val="single" w:sz="8" w:space="0" w:color="auto"/>
              <w:right w:val="nil"/>
            </w:tcBorders>
            <w:shd w:val="clear" w:color="auto" w:fill="auto"/>
            <w:noWrap/>
            <w:vAlign w:val="bottom"/>
            <w:hideMark/>
          </w:tcPr>
          <w:p w14:paraId="27B8A48C"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742" w:type="dxa"/>
            <w:tcBorders>
              <w:top w:val="nil"/>
              <w:left w:val="nil"/>
              <w:bottom w:val="single" w:sz="8" w:space="0" w:color="auto"/>
              <w:right w:val="nil"/>
            </w:tcBorders>
            <w:shd w:val="clear" w:color="auto" w:fill="auto"/>
            <w:noWrap/>
            <w:vAlign w:val="bottom"/>
            <w:hideMark/>
          </w:tcPr>
          <w:p w14:paraId="718D528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c>
          <w:tcPr>
            <w:tcW w:w="645" w:type="dxa"/>
            <w:tcBorders>
              <w:top w:val="nil"/>
              <w:left w:val="nil"/>
              <w:bottom w:val="single" w:sz="8" w:space="0" w:color="auto"/>
              <w:right w:val="single" w:sz="8" w:space="0" w:color="auto"/>
            </w:tcBorders>
            <w:shd w:val="clear" w:color="auto" w:fill="auto"/>
            <w:noWrap/>
            <w:vAlign w:val="bottom"/>
            <w:hideMark/>
          </w:tcPr>
          <w:p w14:paraId="55A392F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6"/>
              </w:rPr>
            </w:pPr>
            <w:r w:rsidRPr="00CA0B89">
              <w:rPr>
                <w:rFonts w:ascii="Times New Roman" w:eastAsia="Times New Roman" w:hAnsi="Times New Roman" w:cs="Times New Roman"/>
                <w:sz w:val="20"/>
                <w:szCs w:val="16"/>
              </w:rPr>
              <w:t> </w:t>
            </w:r>
          </w:p>
        </w:tc>
      </w:tr>
    </w:tbl>
    <w:p w14:paraId="670E22D1"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245A9C8C" w14:textId="77777777" w:rsidR="00CA0B89" w:rsidRDefault="00CA0B89" w:rsidP="00536234">
      <w:pPr>
        <w:spacing w:line="480" w:lineRule="auto"/>
        <w:ind w:left="0"/>
        <w:rPr>
          <w:rFonts w:ascii="Times New Roman" w:hAnsi="Times New Roman" w:cs="Times New Roman"/>
          <w:sz w:val="22"/>
          <w:szCs w:val="26"/>
        </w:rPr>
      </w:pPr>
    </w:p>
    <w:p w14:paraId="43345A8F" w14:textId="77777777" w:rsidR="00CA0B89" w:rsidRDefault="00CA0B89" w:rsidP="00536234">
      <w:pPr>
        <w:spacing w:line="480" w:lineRule="auto"/>
        <w:ind w:left="0"/>
        <w:rPr>
          <w:rFonts w:ascii="Times New Roman" w:hAnsi="Times New Roman" w:cs="Times New Roman"/>
          <w:sz w:val="22"/>
          <w:szCs w:val="26"/>
        </w:rPr>
      </w:pPr>
    </w:p>
    <w:p w14:paraId="4A830687" w14:textId="4F9C512E" w:rsidR="00CA0B89" w:rsidRDefault="00A04D1A" w:rsidP="008E5542">
      <w:pPr>
        <w:spacing w:line="480" w:lineRule="auto"/>
        <w:ind w:left="0" w:firstLine="0"/>
        <w:rPr>
          <w:rFonts w:ascii="Times New Roman" w:hAnsi="Times New Roman" w:cs="Times New Roman"/>
          <w:sz w:val="22"/>
          <w:szCs w:val="26"/>
        </w:rPr>
      </w:pPr>
      <w:r>
        <w:rPr>
          <w:rFonts w:ascii="Times New Roman" w:hAnsi="Times New Roman" w:cs="Times New Roman"/>
          <w:b/>
          <w:sz w:val="22"/>
          <w:szCs w:val="26"/>
          <w:u w:val="single"/>
        </w:rPr>
        <w:lastRenderedPageBreak/>
        <w:t>Figure</w:t>
      </w:r>
      <w:r w:rsidR="00CA0B89">
        <w:rPr>
          <w:rFonts w:ascii="Times New Roman" w:hAnsi="Times New Roman" w:cs="Times New Roman"/>
          <w:b/>
          <w:sz w:val="22"/>
          <w:szCs w:val="26"/>
          <w:u w:val="single"/>
        </w:rPr>
        <w:t xml:space="preserve"> G: </w:t>
      </w:r>
      <w:r w:rsidR="00CA0B89" w:rsidRPr="00CA0B89">
        <w:rPr>
          <w:rFonts w:ascii="Times New Roman" w:hAnsi="Times New Roman" w:cs="Times New Roman"/>
          <w:b/>
          <w:sz w:val="22"/>
          <w:szCs w:val="26"/>
          <w:u w:val="single"/>
        </w:rPr>
        <w:t xml:space="preserve">Hausman Test to Test between </w:t>
      </w:r>
      <w:r w:rsidR="00CA0B89">
        <w:rPr>
          <w:rFonts w:ascii="Times New Roman" w:hAnsi="Times New Roman" w:cs="Times New Roman"/>
          <w:b/>
          <w:sz w:val="22"/>
          <w:szCs w:val="26"/>
          <w:u w:val="single"/>
        </w:rPr>
        <w:t>Fixed Effects and Random</w:t>
      </w:r>
      <w:r w:rsidR="00CA0B89" w:rsidRPr="00CA0B89">
        <w:rPr>
          <w:rFonts w:ascii="Times New Roman" w:hAnsi="Times New Roman" w:cs="Times New Roman"/>
          <w:b/>
          <w:sz w:val="22"/>
          <w:szCs w:val="26"/>
          <w:u w:val="single"/>
        </w:rPr>
        <w:t xml:space="preserve"> Effects</w:t>
      </w:r>
    </w:p>
    <w:tbl>
      <w:tblPr>
        <w:tblW w:w="9357"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28"/>
        <w:gridCol w:w="226"/>
        <w:gridCol w:w="1661"/>
        <w:gridCol w:w="1193"/>
        <w:gridCol w:w="1474"/>
        <w:gridCol w:w="2758"/>
        <w:gridCol w:w="238"/>
        <w:gridCol w:w="579"/>
      </w:tblGrid>
      <w:tr w:rsidR="00CA0B89" w:rsidRPr="00CA0B89" w14:paraId="31860534" w14:textId="77777777" w:rsidTr="00B5127E">
        <w:trPr>
          <w:trHeight w:val="270"/>
          <w:jc w:val="center"/>
        </w:trPr>
        <w:tc>
          <w:tcPr>
            <w:tcW w:w="1228" w:type="dxa"/>
            <w:shd w:val="clear" w:color="auto" w:fill="auto"/>
            <w:noWrap/>
            <w:vAlign w:val="bottom"/>
            <w:hideMark/>
          </w:tcPr>
          <w:p w14:paraId="1F9E361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138D1FE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280D2F04"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193" w:type="dxa"/>
            <w:shd w:val="clear" w:color="auto" w:fill="auto"/>
            <w:noWrap/>
            <w:vAlign w:val="bottom"/>
            <w:hideMark/>
          </w:tcPr>
          <w:p w14:paraId="1CD18758"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474" w:type="dxa"/>
            <w:shd w:val="clear" w:color="auto" w:fill="auto"/>
            <w:noWrap/>
            <w:vAlign w:val="bottom"/>
            <w:hideMark/>
          </w:tcPr>
          <w:p w14:paraId="2D41FB1C"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574B273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792CD5E7"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4816E618"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6CDB56BC" w14:textId="77777777" w:rsidTr="00B5127E">
        <w:trPr>
          <w:trHeight w:val="270"/>
          <w:jc w:val="center"/>
        </w:trPr>
        <w:tc>
          <w:tcPr>
            <w:tcW w:w="1228" w:type="dxa"/>
            <w:shd w:val="clear" w:color="auto" w:fill="auto"/>
            <w:noWrap/>
            <w:vAlign w:val="bottom"/>
            <w:hideMark/>
          </w:tcPr>
          <w:p w14:paraId="7D82779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1133356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74936309"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Coefficients</w:t>
            </w:r>
          </w:p>
        </w:tc>
        <w:tc>
          <w:tcPr>
            <w:tcW w:w="1193" w:type="dxa"/>
            <w:shd w:val="clear" w:color="auto" w:fill="auto"/>
            <w:noWrap/>
            <w:vAlign w:val="bottom"/>
            <w:hideMark/>
          </w:tcPr>
          <w:p w14:paraId="554B5531"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474" w:type="dxa"/>
            <w:shd w:val="clear" w:color="auto" w:fill="auto"/>
            <w:noWrap/>
            <w:vAlign w:val="bottom"/>
            <w:hideMark/>
          </w:tcPr>
          <w:p w14:paraId="46101BA2"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7300DFBA"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0393E686"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5BFF5135"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66B853C2" w14:textId="77777777" w:rsidTr="00B5127E">
        <w:trPr>
          <w:trHeight w:val="270"/>
          <w:jc w:val="center"/>
        </w:trPr>
        <w:tc>
          <w:tcPr>
            <w:tcW w:w="1228" w:type="dxa"/>
            <w:shd w:val="clear" w:color="auto" w:fill="auto"/>
            <w:noWrap/>
            <w:vAlign w:val="bottom"/>
            <w:hideMark/>
          </w:tcPr>
          <w:p w14:paraId="359B6D7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26C47D1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5AFF16DF"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(b)</w:t>
            </w:r>
          </w:p>
        </w:tc>
        <w:tc>
          <w:tcPr>
            <w:tcW w:w="1193" w:type="dxa"/>
            <w:shd w:val="clear" w:color="auto" w:fill="auto"/>
            <w:noWrap/>
            <w:vAlign w:val="bottom"/>
            <w:hideMark/>
          </w:tcPr>
          <w:p w14:paraId="071D421B"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(B)</w:t>
            </w:r>
          </w:p>
        </w:tc>
        <w:tc>
          <w:tcPr>
            <w:tcW w:w="1474" w:type="dxa"/>
            <w:shd w:val="clear" w:color="auto" w:fill="auto"/>
            <w:noWrap/>
            <w:vAlign w:val="bottom"/>
            <w:hideMark/>
          </w:tcPr>
          <w:p w14:paraId="087DB82A"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(b-B)</w:t>
            </w:r>
          </w:p>
        </w:tc>
        <w:tc>
          <w:tcPr>
            <w:tcW w:w="2758" w:type="dxa"/>
            <w:shd w:val="clear" w:color="auto" w:fill="auto"/>
            <w:noWrap/>
            <w:vAlign w:val="bottom"/>
            <w:hideMark/>
          </w:tcPr>
          <w:p w14:paraId="5A0ED921"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sqrt(diag(V_b-V_B))</w:t>
            </w:r>
          </w:p>
        </w:tc>
        <w:tc>
          <w:tcPr>
            <w:tcW w:w="234" w:type="dxa"/>
            <w:shd w:val="clear" w:color="auto" w:fill="auto"/>
            <w:noWrap/>
            <w:vAlign w:val="bottom"/>
            <w:hideMark/>
          </w:tcPr>
          <w:p w14:paraId="06ACB7D6" w14:textId="77777777" w:rsidR="00CA0B89" w:rsidRPr="00CA0B89" w:rsidRDefault="00CA0B89" w:rsidP="00536234">
            <w:pPr>
              <w:spacing w:after="0" w:line="240" w:lineRule="auto"/>
              <w:ind w:left="0" w:firstLine="0"/>
              <w:jc w:val="center"/>
              <w:rPr>
                <w:rFonts w:ascii="Calibri" w:eastAsia="Times New Roman" w:hAnsi="Calibri" w:cs="Calibri"/>
                <w:b/>
                <w:bCs/>
                <w:sz w:val="20"/>
              </w:rPr>
            </w:pPr>
          </w:p>
        </w:tc>
        <w:tc>
          <w:tcPr>
            <w:tcW w:w="579" w:type="dxa"/>
            <w:shd w:val="clear" w:color="auto" w:fill="auto"/>
            <w:noWrap/>
            <w:vAlign w:val="bottom"/>
            <w:hideMark/>
          </w:tcPr>
          <w:p w14:paraId="2B152EFC"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256DD265" w14:textId="77777777" w:rsidTr="00B5127E">
        <w:trPr>
          <w:trHeight w:val="270"/>
          <w:jc w:val="center"/>
        </w:trPr>
        <w:tc>
          <w:tcPr>
            <w:tcW w:w="1228" w:type="dxa"/>
            <w:shd w:val="clear" w:color="auto" w:fill="auto"/>
            <w:noWrap/>
            <w:vAlign w:val="bottom"/>
            <w:hideMark/>
          </w:tcPr>
          <w:p w14:paraId="48722DF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5F5B2E0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4802C58C"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Fixed</w:t>
            </w:r>
          </w:p>
        </w:tc>
        <w:tc>
          <w:tcPr>
            <w:tcW w:w="1193" w:type="dxa"/>
            <w:shd w:val="clear" w:color="auto" w:fill="auto"/>
            <w:noWrap/>
            <w:vAlign w:val="bottom"/>
            <w:hideMark/>
          </w:tcPr>
          <w:p w14:paraId="2D616C5E"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Random</w:t>
            </w:r>
          </w:p>
        </w:tc>
        <w:tc>
          <w:tcPr>
            <w:tcW w:w="1474" w:type="dxa"/>
            <w:shd w:val="clear" w:color="auto" w:fill="auto"/>
            <w:noWrap/>
            <w:vAlign w:val="bottom"/>
            <w:hideMark/>
          </w:tcPr>
          <w:p w14:paraId="0D872A31"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Difference</w:t>
            </w:r>
          </w:p>
        </w:tc>
        <w:tc>
          <w:tcPr>
            <w:tcW w:w="2758" w:type="dxa"/>
            <w:shd w:val="clear" w:color="auto" w:fill="auto"/>
            <w:noWrap/>
            <w:vAlign w:val="bottom"/>
            <w:hideMark/>
          </w:tcPr>
          <w:p w14:paraId="156A5DB0"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S.E</w:t>
            </w:r>
          </w:p>
        </w:tc>
        <w:tc>
          <w:tcPr>
            <w:tcW w:w="234" w:type="dxa"/>
            <w:shd w:val="clear" w:color="auto" w:fill="auto"/>
            <w:noWrap/>
            <w:vAlign w:val="bottom"/>
            <w:hideMark/>
          </w:tcPr>
          <w:p w14:paraId="2C98F225" w14:textId="77777777" w:rsidR="00CA0B89" w:rsidRPr="00CA0B89" w:rsidRDefault="00CA0B89" w:rsidP="00536234">
            <w:pPr>
              <w:spacing w:after="0" w:line="240" w:lineRule="auto"/>
              <w:ind w:left="0" w:firstLine="0"/>
              <w:jc w:val="center"/>
              <w:rPr>
                <w:rFonts w:ascii="Calibri" w:eastAsia="Times New Roman" w:hAnsi="Calibri" w:cs="Calibri"/>
                <w:b/>
                <w:bCs/>
                <w:sz w:val="20"/>
              </w:rPr>
            </w:pPr>
          </w:p>
        </w:tc>
        <w:tc>
          <w:tcPr>
            <w:tcW w:w="579" w:type="dxa"/>
            <w:shd w:val="clear" w:color="auto" w:fill="auto"/>
            <w:noWrap/>
            <w:vAlign w:val="bottom"/>
            <w:hideMark/>
          </w:tcPr>
          <w:p w14:paraId="028E3AAE"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35C4E6C2" w14:textId="77777777" w:rsidTr="00B5127E">
        <w:trPr>
          <w:trHeight w:val="270"/>
          <w:jc w:val="center"/>
        </w:trPr>
        <w:tc>
          <w:tcPr>
            <w:tcW w:w="1228" w:type="dxa"/>
            <w:shd w:val="clear" w:color="auto" w:fill="auto"/>
            <w:noWrap/>
            <w:vAlign w:val="bottom"/>
            <w:hideMark/>
          </w:tcPr>
          <w:p w14:paraId="012D347B"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Deal</w:t>
            </w:r>
          </w:p>
        </w:tc>
        <w:tc>
          <w:tcPr>
            <w:tcW w:w="226" w:type="dxa"/>
            <w:shd w:val="clear" w:color="auto" w:fill="auto"/>
            <w:noWrap/>
            <w:vAlign w:val="bottom"/>
            <w:hideMark/>
          </w:tcPr>
          <w:p w14:paraId="3E42F740"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2A141E4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0.0654</w:t>
            </w:r>
          </w:p>
        </w:tc>
        <w:tc>
          <w:tcPr>
            <w:tcW w:w="1193" w:type="dxa"/>
            <w:shd w:val="clear" w:color="auto" w:fill="auto"/>
            <w:noWrap/>
            <w:vAlign w:val="bottom"/>
            <w:hideMark/>
          </w:tcPr>
          <w:p w14:paraId="60DB634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0.0499</w:t>
            </w:r>
          </w:p>
        </w:tc>
        <w:tc>
          <w:tcPr>
            <w:tcW w:w="1474" w:type="dxa"/>
            <w:shd w:val="clear" w:color="auto" w:fill="auto"/>
            <w:noWrap/>
            <w:vAlign w:val="bottom"/>
            <w:hideMark/>
          </w:tcPr>
          <w:p w14:paraId="5B7CD64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0.0155</w:t>
            </w:r>
          </w:p>
        </w:tc>
        <w:tc>
          <w:tcPr>
            <w:tcW w:w="2758" w:type="dxa"/>
            <w:shd w:val="clear" w:color="auto" w:fill="auto"/>
            <w:noWrap/>
            <w:vAlign w:val="bottom"/>
            <w:hideMark/>
          </w:tcPr>
          <w:p w14:paraId="5F34B40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0.0083</w:t>
            </w:r>
          </w:p>
        </w:tc>
        <w:tc>
          <w:tcPr>
            <w:tcW w:w="234" w:type="dxa"/>
            <w:shd w:val="clear" w:color="auto" w:fill="auto"/>
            <w:noWrap/>
            <w:vAlign w:val="bottom"/>
            <w:hideMark/>
          </w:tcPr>
          <w:p w14:paraId="03EAB19B"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5DAC4AF8"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6DBF4BC0" w14:textId="77777777" w:rsidTr="00B5127E">
        <w:trPr>
          <w:trHeight w:val="270"/>
          <w:jc w:val="center"/>
        </w:trPr>
        <w:tc>
          <w:tcPr>
            <w:tcW w:w="1228" w:type="dxa"/>
            <w:shd w:val="clear" w:color="auto" w:fill="auto"/>
            <w:noWrap/>
            <w:vAlign w:val="bottom"/>
            <w:hideMark/>
          </w:tcPr>
          <w:p w14:paraId="5DD57212"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Profit</w:t>
            </w:r>
          </w:p>
        </w:tc>
        <w:tc>
          <w:tcPr>
            <w:tcW w:w="226" w:type="dxa"/>
            <w:shd w:val="clear" w:color="auto" w:fill="auto"/>
            <w:noWrap/>
            <w:vAlign w:val="bottom"/>
            <w:hideMark/>
          </w:tcPr>
          <w:p w14:paraId="60861552"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12ECE38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0.0034</w:t>
            </w:r>
          </w:p>
        </w:tc>
        <w:tc>
          <w:tcPr>
            <w:tcW w:w="1193" w:type="dxa"/>
            <w:shd w:val="clear" w:color="auto" w:fill="auto"/>
            <w:noWrap/>
            <w:vAlign w:val="bottom"/>
            <w:hideMark/>
          </w:tcPr>
          <w:p w14:paraId="24E070E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0.0052</w:t>
            </w:r>
          </w:p>
        </w:tc>
        <w:tc>
          <w:tcPr>
            <w:tcW w:w="1474" w:type="dxa"/>
            <w:shd w:val="clear" w:color="auto" w:fill="auto"/>
            <w:noWrap/>
            <w:vAlign w:val="bottom"/>
            <w:hideMark/>
          </w:tcPr>
          <w:p w14:paraId="5157373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-0.0018</w:t>
            </w:r>
          </w:p>
        </w:tc>
        <w:tc>
          <w:tcPr>
            <w:tcW w:w="2758" w:type="dxa"/>
            <w:shd w:val="clear" w:color="auto" w:fill="auto"/>
            <w:noWrap/>
            <w:vAlign w:val="bottom"/>
            <w:hideMark/>
          </w:tcPr>
          <w:p w14:paraId="19EEEE4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0.0008</w:t>
            </w:r>
          </w:p>
        </w:tc>
        <w:tc>
          <w:tcPr>
            <w:tcW w:w="234" w:type="dxa"/>
            <w:shd w:val="clear" w:color="auto" w:fill="auto"/>
            <w:noWrap/>
            <w:vAlign w:val="bottom"/>
            <w:hideMark/>
          </w:tcPr>
          <w:p w14:paraId="7E383929"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4DF5E782"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51B19829" w14:textId="77777777" w:rsidTr="00B5127E">
        <w:trPr>
          <w:trHeight w:val="270"/>
          <w:jc w:val="center"/>
        </w:trPr>
        <w:tc>
          <w:tcPr>
            <w:tcW w:w="1228" w:type="dxa"/>
            <w:shd w:val="clear" w:color="auto" w:fill="auto"/>
            <w:noWrap/>
            <w:vAlign w:val="bottom"/>
            <w:hideMark/>
          </w:tcPr>
          <w:p w14:paraId="5ECA09AC"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CS</w:t>
            </w:r>
          </w:p>
        </w:tc>
        <w:tc>
          <w:tcPr>
            <w:tcW w:w="226" w:type="dxa"/>
            <w:shd w:val="clear" w:color="auto" w:fill="auto"/>
            <w:noWrap/>
            <w:vAlign w:val="bottom"/>
            <w:hideMark/>
          </w:tcPr>
          <w:p w14:paraId="07E1EE52"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0180634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-0.004</w:t>
            </w:r>
          </w:p>
        </w:tc>
        <w:tc>
          <w:tcPr>
            <w:tcW w:w="1193" w:type="dxa"/>
            <w:shd w:val="clear" w:color="auto" w:fill="auto"/>
            <w:noWrap/>
            <w:vAlign w:val="bottom"/>
            <w:hideMark/>
          </w:tcPr>
          <w:p w14:paraId="356E84EC"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-0.0017</w:t>
            </w:r>
          </w:p>
        </w:tc>
        <w:tc>
          <w:tcPr>
            <w:tcW w:w="1474" w:type="dxa"/>
            <w:shd w:val="clear" w:color="auto" w:fill="auto"/>
            <w:noWrap/>
            <w:vAlign w:val="bottom"/>
            <w:hideMark/>
          </w:tcPr>
          <w:p w14:paraId="6BEE268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-0.0024</w:t>
            </w:r>
          </w:p>
        </w:tc>
        <w:tc>
          <w:tcPr>
            <w:tcW w:w="2758" w:type="dxa"/>
            <w:shd w:val="clear" w:color="auto" w:fill="auto"/>
            <w:noWrap/>
            <w:vAlign w:val="bottom"/>
            <w:hideMark/>
          </w:tcPr>
          <w:p w14:paraId="2A49EC3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0.0038</w:t>
            </w:r>
          </w:p>
        </w:tc>
        <w:tc>
          <w:tcPr>
            <w:tcW w:w="234" w:type="dxa"/>
            <w:shd w:val="clear" w:color="auto" w:fill="auto"/>
            <w:noWrap/>
            <w:vAlign w:val="bottom"/>
            <w:hideMark/>
          </w:tcPr>
          <w:p w14:paraId="70F75FD4"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5D243928"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71599FE3" w14:textId="77777777" w:rsidTr="00B5127E">
        <w:trPr>
          <w:trHeight w:val="270"/>
          <w:jc w:val="center"/>
        </w:trPr>
        <w:tc>
          <w:tcPr>
            <w:tcW w:w="1228" w:type="dxa"/>
            <w:shd w:val="clear" w:color="auto" w:fill="auto"/>
            <w:noWrap/>
            <w:vAlign w:val="bottom"/>
            <w:hideMark/>
          </w:tcPr>
          <w:p w14:paraId="25273490"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Growth</w:t>
            </w:r>
          </w:p>
        </w:tc>
        <w:tc>
          <w:tcPr>
            <w:tcW w:w="226" w:type="dxa"/>
            <w:shd w:val="clear" w:color="auto" w:fill="auto"/>
            <w:noWrap/>
            <w:vAlign w:val="bottom"/>
            <w:hideMark/>
          </w:tcPr>
          <w:p w14:paraId="6C183FB8"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795153A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0.0065</w:t>
            </w:r>
          </w:p>
        </w:tc>
        <w:tc>
          <w:tcPr>
            <w:tcW w:w="1193" w:type="dxa"/>
            <w:shd w:val="clear" w:color="auto" w:fill="auto"/>
            <w:noWrap/>
            <w:vAlign w:val="bottom"/>
            <w:hideMark/>
          </w:tcPr>
          <w:p w14:paraId="4003176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-0.0064</w:t>
            </w:r>
          </w:p>
        </w:tc>
        <w:tc>
          <w:tcPr>
            <w:tcW w:w="1474" w:type="dxa"/>
            <w:shd w:val="clear" w:color="auto" w:fill="auto"/>
            <w:noWrap/>
            <w:vAlign w:val="bottom"/>
            <w:hideMark/>
          </w:tcPr>
          <w:p w14:paraId="51A53C8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0.0002</w:t>
            </w:r>
          </w:p>
        </w:tc>
        <w:tc>
          <w:tcPr>
            <w:tcW w:w="2758" w:type="dxa"/>
            <w:shd w:val="clear" w:color="auto" w:fill="auto"/>
            <w:noWrap/>
            <w:vAlign w:val="bottom"/>
            <w:hideMark/>
          </w:tcPr>
          <w:p w14:paraId="4B10FCA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0.0028</w:t>
            </w:r>
          </w:p>
        </w:tc>
        <w:tc>
          <w:tcPr>
            <w:tcW w:w="234" w:type="dxa"/>
            <w:shd w:val="clear" w:color="auto" w:fill="auto"/>
            <w:noWrap/>
            <w:vAlign w:val="bottom"/>
            <w:hideMark/>
          </w:tcPr>
          <w:p w14:paraId="65B8C604"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7C916842"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7CDB2342" w14:textId="77777777" w:rsidTr="00B5127E">
        <w:trPr>
          <w:trHeight w:val="270"/>
          <w:jc w:val="center"/>
        </w:trPr>
        <w:tc>
          <w:tcPr>
            <w:tcW w:w="1228" w:type="dxa"/>
            <w:shd w:val="clear" w:color="auto" w:fill="auto"/>
            <w:noWrap/>
            <w:vAlign w:val="bottom"/>
            <w:hideMark/>
          </w:tcPr>
          <w:p w14:paraId="1657C7AC"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Liquidity</w:t>
            </w:r>
          </w:p>
        </w:tc>
        <w:tc>
          <w:tcPr>
            <w:tcW w:w="226" w:type="dxa"/>
            <w:shd w:val="clear" w:color="auto" w:fill="auto"/>
            <w:noWrap/>
            <w:vAlign w:val="bottom"/>
            <w:hideMark/>
          </w:tcPr>
          <w:p w14:paraId="4093BCDE"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7EC1710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0.0351</w:t>
            </w:r>
          </w:p>
        </w:tc>
        <w:tc>
          <w:tcPr>
            <w:tcW w:w="1193" w:type="dxa"/>
            <w:shd w:val="clear" w:color="auto" w:fill="auto"/>
            <w:noWrap/>
            <w:vAlign w:val="bottom"/>
            <w:hideMark/>
          </w:tcPr>
          <w:p w14:paraId="5E1923D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0.0336</w:t>
            </w:r>
          </w:p>
        </w:tc>
        <w:tc>
          <w:tcPr>
            <w:tcW w:w="1474" w:type="dxa"/>
            <w:shd w:val="clear" w:color="auto" w:fill="auto"/>
            <w:noWrap/>
            <w:vAlign w:val="bottom"/>
            <w:hideMark/>
          </w:tcPr>
          <w:p w14:paraId="05806E9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0.0015</w:t>
            </w:r>
          </w:p>
        </w:tc>
        <w:tc>
          <w:tcPr>
            <w:tcW w:w="2758" w:type="dxa"/>
            <w:shd w:val="clear" w:color="auto" w:fill="auto"/>
            <w:noWrap/>
            <w:vAlign w:val="bottom"/>
            <w:hideMark/>
          </w:tcPr>
          <w:p w14:paraId="2B1F198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0.0087</w:t>
            </w:r>
          </w:p>
        </w:tc>
        <w:tc>
          <w:tcPr>
            <w:tcW w:w="234" w:type="dxa"/>
            <w:shd w:val="clear" w:color="auto" w:fill="auto"/>
            <w:noWrap/>
            <w:vAlign w:val="bottom"/>
            <w:hideMark/>
          </w:tcPr>
          <w:p w14:paraId="632424BD"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7CA263C9"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4863541B" w14:textId="77777777" w:rsidTr="00B5127E">
        <w:trPr>
          <w:trHeight w:val="270"/>
          <w:jc w:val="center"/>
        </w:trPr>
        <w:tc>
          <w:tcPr>
            <w:tcW w:w="1228" w:type="dxa"/>
            <w:shd w:val="clear" w:color="auto" w:fill="auto"/>
            <w:noWrap/>
            <w:vAlign w:val="bottom"/>
            <w:hideMark/>
          </w:tcPr>
          <w:p w14:paraId="7DE483F3"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r w:rsidRPr="00CA0B89">
              <w:rPr>
                <w:rFonts w:ascii="Times New Roman" w:eastAsia="Times New Roman" w:hAnsi="Times New Roman" w:cs="Times New Roman"/>
                <w:b/>
                <w:bCs/>
                <w:sz w:val="20"/>
                <w:szCs w:val="18"/>
              </w:rPr>
              <w:t>Size</w:t>
            </w:r>
          </w:p>
        </w:tc>
        <w:tc>
          <w:tcPr>
            <w:tcW w:w="226" w:type="dxa"/>
            <w:shd w:val="clear" w:color="auto" w:fill="auto"/>
            <w:noWrap/>
            <w:vAlign w:val="bottom"/>
            <w:hideMark/>
          </w:tcPr>
          <w:p w14:paraId="42A6ED8D" w14:textId="77777777" w:rsidR="00CA0B89" w:rsidRPr="00CA0B89" w:rsidRDefault="00CA0B89" w:rsidP="00536234">
            <w:pPr>
              <w:spacing w:after="0" w:line="240" w:lineRule="auto"/>
              <w:ind w:left="0" w:firstLine="0"/>
              <w:jc w:val="center"/>
              <w:rPr>
                <w:rFonts w:ascii="Times New Roman" w:eastAsia="Times New Roman" w:hAnsi="Times New Roman" w:cs="Times New Roman"/>
                <w:b/>
                <w:bCs/>
                <w:sz w:val="20"/>
                <w:szCs w:val="18"/>
              </w:rPr>
            </w:pPr>
          </w:p>
        </w:tc>
        <w:tc>
          <w:tcPr>
            <w:tcW w:w="1661" w:type="dxa"/>
            <w:shd w:val="clear" w:color="auto" w:fill="auto"/>
            <w:noWrap/>
            <w:vAlign w:val="bottom"/>
            <w:hideMark/>
          </w:tcPr>
          <w:p w14:paraId="18F3FFD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-0.0213</w:t>
            </w:r>
          </w:p>
        </w:tc>
        <w:tc>
          <w:tcPr>
            <w:tcW w:w="1193" w:type="dxa"/>
            <w:shd w:val="clear" w:color="auto" w:fill="auto"/>
            <w:noWrap/>
            <w:vAlign w:val="bottom"/>
            <w:hideMark/>
          </w:tcPr>
          <w:p w14:paraId="63AA5E67"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0.0013</w:t>
            </w:r>
          </w:p>
        </w:tc>
        <w:tc>
          <w:tcPr>
            <w:tcW w:w="1474" w:type="dxa"/>
            <w:shd w:val="clear" w:color="auto" w:fill="auto"/>
            <w:noWrap/>
            <w:vAlign w:val="bottom"/>
            <w:hideMark/>
          </w:tcPr>
          <w:p w14:paraId="19F46EF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-0.0226</w:t>
            </w:r>
          </w:p>
        </w:tc>
        <w:tc>
          <w:tcPr>
            <w:tcW w:w="2758" w:type="dxa"/>
            <w:shd w:val="clear" w:color="auto" w:fill="auto"/>
            <w:noWrap/>
            <w:vAlign w:val="bottom"/>
            <w:hideMark/>
          </w:tcPr>
          <w:p w14:paraId="5151892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0.1225</w:t>
            </w:r>
          </w:p>
        </w:tc>
        <w:tc>
          <w:tcPr>
            <w:tcW w:w="234" w:type="dxa"/>
            <w:shd w:val="clear" w:color="auto" w:fill="auto"/>
            <w:noWrap/>
            <w:vAlign w:val="bottom"/>
            <w:hideMark/>
          </w:tcPr>
          <w:p w14:paraId="4007FA22" w14:textId="77777777" w:rsidR="00CA0B89" w:rsidRPr="00CA0B89" w:rsidRDefault="00CA0B89" w:rsidP="00536234">
            <w:pPr>
              <w:spacing w:after="0" w:line="240" w:lineRule="auto"/>
              <w:ind w:left="0" w:firstLine="0"/>
              <w:jc w:val="center"/>
              <w:rPr>
                <w:rFonts w:ascii="Calibri" w:eastAsia="Times New Roman" w:hAnsi="Calibri" w:cs="Calibri"/>
                <w:sz w:val="20"/>
              </w:rPr>
            </w:pPr>
          </w:p>
        </w:tc>
        <w:tc>
          <w:tcPr>
            <w:tcW w:w="579" w:type="dxa"/>
            <w:shd w:val="clear" w:color="auto" w:fill="auto"/>
            <w:noWrap/>
            <w:vAlign w:val="bottom"/>
            <w:hideMark/>
          </w:tcPr>
          <w:p w14:paraId="0D13B715"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3B98453B" w14:textId="77777777" w:rsidTr="00B5127E">
        <w:trPr>
          <w:trHeight w:val="270"/>
          <w:jc w:val="center"/>
        </w:trPr>
        <w:tc>
          <w:tcPr>
            <w:tcW w:w="1228" w:type="dxa"/>
            <w:shd w:val="clear" w:color="auto" w:fill="auto"/>
            <w:noWrap/>
            <w:vAlign w:val="bottom"/>
            <w:hideMark/>
          </w:tcPr>
          <w:p w14:paraId="259E617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480E8513"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7013F820"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193" w:type="dxa"/>
            <w:shd w:val="clear" w:color="auto" w:fill="auto"/>
            <w:noWrap/>
            <w:vAlign w:val="bottom"/>
            <w:hideMark/>
          </w:tcPr>
          <w:p w14:paraId="4922D5BE"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474" w:type="dxa"/>
            <w:shd w:val="clear" w:color="auto" w:fill="auto"/>
            <w:noWrap/>
            <w:vAlign w:val="bottom"/>
            <w:hideMark/>
          </w:tcPr>
          <w:p w14:paraId="586EA613"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27E60EC1"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3FD0D283"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4928C19B"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24C1D7B0" w14:textId="77777777" w:rsidTr="00B5127E">
        <w:trPr>
          <w:trHeight w:val="270"/>
          <w:jc w:val="center"/>
        </w:trPr>
        <w:tc>
          <w:tcPr>
            <w:tcW w:w="8778" w:type="dxa"/>
            <w:gridSpan w:val="7"/>
            <w:shd w:val="clear" w:color="auto" w:fill="auto"/>
            <w:noWrap/>
            <w:vAlign w:val="bottom"/>
            <w:hideMark/>
          </w:tcPr>
          <w:p w14:paraId="5BA4ADD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xml:space="preserve">                           b = consistent under Ho and Ha; obtained from xtreg</w:t>
            </w:r>
          </w:p>
        </w:tc>
        <w:tc>
          <w:tcPr>
            <w:tcW w:w="579" w:type="dxa"/>
            <w:shd w:val="clear" w:color="auto" w:fill="auto"/>
            <w:noWrap/>
            <w:vAlign w:val="bottom"/>
            <w:hideMark/>
          </w:tcPr>
          <w:p w14:paraId="57AD0C68"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5015DE5A" w14:textId="77777777" w:rsidTr="00B5127E">
        <w:trPr>
          <w:trHeight w:val="270"/>
          <w:jc w:val="center"/>
        </w:trPr>
        <w:tc>
          <w:tcPr>
            <w:tcW w:w="8778" w:type="dxa"/>
            <w:gridSpan w:val="7"/>
            <w:shd w:val="clear" w:color="auto" w:fill="auto"/>
            <w:noWrap/>
            <w:vAlign w:val="bottom"/>
            <w:hideMark/>
          </w:tcPr>
          <w:p w14:paraId="3B7C2F9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xml:space="preserve">            B = inconsistent under Ha, efficient under Ho; obtained from xtreg</w:t>
            </w:r>
          </w:p>
        </w:tc>
        <w:tc>
          <w:tcPr>
            <w:tcW w:w="579" w:type="dxa"/>
            <w:shd w:val="clear" w:color="auto" w:fill="auto"/>
            <w:noWrap/>
            <w:vAlign w:val="bottom"/>
            <w:hideMark/>
          </w:tcPr>
          <w:p w14:paraId="263B681D"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579A9BE7" w14:textId="77777777" w:rsidTr="00B5127E">
        <w:trPr>
          <w:trHeight w:val="270"/>
          <w:jc w:val="center"/>
        </w:trPr>
        <w:tc>
          <w:tcPr>
            <w:tcW w:w="1228" w:type="dxa"/>
            <w:shd w:val="clear" w:color="auto" w:fill="auto"/>
            <w:noWrap/>
            <w:vAlign w:val="bottom"/>
            <w:hideMark/>
          </w:tcPr>
          <w:p w14:paraId="71FFF6E9"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03B04F25"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1DD8F3B8"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193" w:type="dxa"/>
            <w:shd w:val="clear" w:color="auto" w:fill="auto"/>
            <w:noWrap/>
            <w:vAlign w:val="bottom"/>
            <w:hideMark/>
          </w:tcPr>
          <w:p w14:paraId="270A92F1"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474" w:type="dxa"/>
            <w:shd w:val="clear" w:color="auto" w:fill="auto"/>
            <w:noWrap/>
            <w:vAlign w:val="bottom"/>
            <w:hideMark/>
          </w:tcPr>
          <w:p w14:paraId="5BB3EAC3"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2042120F"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21BB8D69"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332CC552"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15A427D6" w14:textId="77777777" w:rsidTr="00B5127E">
        <w:trPr>
          <w:trHeight w:val="270"/>
          <w:jc w:val="center"/>
        </w:trPr>
        <w:tc>
          <w:tcPr>
            <w:tcW w:w="8778" w:type="dxa"/>
            <w:gridSpan w:val="7"/>
            <w:shd w:val="clear" w:color="auto" w:fill="auto"/>
            <w:noWrap/>
            <w:vAlign w:val="bottom"/>
            <w:hideMark/>
          </w:tcPr>
          <w:p w14:paraId="615BC0D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xml:space="preserve">    Test:  Ho:  difference in coefficients not systematic</w:t>
            </w:r>
          </w:p>
        </w:tc>
        <w:tc>
          <w:tcPr>
            <w:tcW w:w="579" w:type="dxa"/>
            <w:shd w:val="clear" w:color="auto" w:fill="auto"/>
            <w:noWrap/>
            <w:vAlign w:val="bottom"/>
            <w:hideMark/>
          </w:tcPr>
          <w:p w14:paraId="1801BC5E"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7B96FB79" w14:textId="77777777" w:rsidTr="00B5127E">
        <w:trPr>
          <w:trHeight w:val="270"/>
          <w:jc w:val="center"/>
        </w:trPr>
        <w:tc>
          <w:tcPr>
            <w:tcW w:w="1228" w:type="dxa"/>
            <w:shd w:val="clear" w:color="auto" w:fill="auto"/>
            <w:noWrap/>
            <w:vAlign w:val="bottom"/>
            <w:hideMark/>
          </w:tcPr>
          <w:p w14:paraId="5598ED5F"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66D72AEE"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6796C8FF"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193" w:type="dxa"/>
            <w:shd w:val="clear" w:color="auto" w:fill="auto"/>
            <w:noWrap/>
            <w:vAlign w:val="bottom"/>
            <w:hideMark/>
          </w:tcPr>
          <w:p w14:paraId="1EA9C4FE"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474" w:type="dxa"/>
            <w:shd w:val="clear" w:color="auto" w:fill="auto"/>
            <w:noWrap/>
            <w:vAlign w:val="bottom"/>
            <w:hideMark/>
          </w:tcPr>
          <w:p w14:paraId="71F6FC64"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2B3D8A68"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72F377D8"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01497EED"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3FC5EDE1" w14:textId="77777777" w:rsidTr="00B5127E">
        <w:trPr>
          <w:trHeight w:val="270"/>
          <w:jc w:val="center"/>
        </w:trPr>
        <w:tc>
          <w:tcPr>
            <w:tcW w:w="8778" w:type="dxa"/>
            <w:gridSpan w:val="7"/>
            <w:shd w:val="clear" w:color="auto" w:fill="auto"/>
            <w:noWrap/>
            <w:vAlign w:val="bottom"/>
            <w:hideMark/>
          </w:tcPr>
          <w:p w14:paraId="6A3A45B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xml:space="preserve">                                        chi2(6)  = (b-B)'[(V_b-V_B)^(-1)](b-B)</w:t>
            </w:r>
          </w:p>
        </w:tc>
        <w:tc>
          <w:tcPr>
            <w:tcW w:w="579" w:type="dxa"/>
            <w:shd w:val="clear" w:color="auto" w:fill="auto"/>
            <w:noWrap/>
            <w:vAlign w:val="bottom"/>
            <w:hideMark/>
          </w:tcPr>
          <w:p w14:paraId="5890A2E4"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5374C61A" w14:textId="77777777" w:rsidTr="00B5127E">
        <w:trPr>
          <w:trHeight w:val="270"/>
          <w:jc w:val="center"/>
        </w:trPr>
        <w:tc>
          <w:tcPr>
            <w:tcW w:w="8778" w:type="dxa"/>
            <w:gridSpan w:val="7"/>
            <w:shd w:val="clear" w:color="auto" w:fill="auto"/>
            <w:noWrap/>
            <w:vAlign w:val="bottom"/>
            <w:hideMark/>
          </w:tcPr>
          <w:p w14:paraId="27439D8B"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xml:space="preserve">                     =       27.01</w:t>
            </w:r>
          </w:p>
        </w:tc>
        <w:tc>
          <w:tcPr>
            <w:tcW w:w="579" w:type="dxa"/>
            <w:shd w:val="clear" w:color="auto" w:fill="auto"/>
            <w:noWrap/>
            <w:vAlign w:val="bottom"/>
            <w:hideMark/>
          </w:tcPr>
          <w:p w14:paraId="67FF97F0"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375C164D" w14:textId="77777777" w:rsidTr="00B5127E">
        <w:trPr>
          <w:trHeight w:val="270"/>
          <w:jc w:val="center"/>
        </w:trPr>
        <w:tc>
          <w:tcPr>
            <w:tcW w:w="8778" w:type="dxa"/>
            <w:gridSpan w:val="7"/>
            <w:shd w:val="clear" w:color="auto" w:fill="auto"/>
            <w:noWrap/>
            <w:vAlign w:val="bottom"/>
            <w:hideMark/>
          </w:tcPr>
          <w:p w14:paraId="41E0AD3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Prob&gt;chi2    =      0.0001</w:t>
            </w:r>
          </w:p>
        </w:tc>
        <w:tc>
          <w:tcPr>
            <w:tcW w:w="579" w:type="dxa"/>
            <w:shd w:val="clear" w:color="auto" w:fill="auto"/>
            <w:noWrap/>
            <w:vAlign w:val="bottom"/>
            <w:hideMark/>
          </w:tcPr>
          <w:p w14:paraId="6361BB52"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25466B7E" w14:textId="77777777" w:rsidTr="00B5127E">
        <w:trPr>
          <w:trHeight w:val="270"/>
          <w:jc w:val="center"/>
        </w:trPr>
        <w:tc>
          <w:tcPr>
            <w:tcW w:w="1228" w:type="dxa"/>
            <w:shd w:val="clear" w:color="auto" w:fill="auto"/>
            <w:noWrap/>
            <w:vAlign w:val="bottom"/>
            <w:hideMark/>
          </w:tcPr>
          <w:p w14:paraId="62D055D2"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w:t>
            </w:r>
          </w:p>
        </w:tc>
        <w:tc>
          <w:tcPr>
            <w:tcW w:w="226" w:type="dxa"/>
            <w:shd w:val="clear" w:color="auto" w:fill="auto"/>
            <w:noWrap/>
            <w:vAlign w:val="bottom"/>
            <w:hideMark/>
          </w:tcPr>
          <w:p w14:paraId="6D794EE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p>
        </w:tc>
        <w:tc>
          <w:tcPr>
            <w:tcW w:w="1661" w:type="dxa"/>
            <w:shd w:val="clear" w:color="auto" w:fill="auto"/>
            <w:noWrap/>
            <w:vAlign w:val="bottom"/>
            <w:hideMark/>
          </w:tcPr>
          <w:p w14:paraId="61D5BAAE"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193" w:type="dxa"/>
            <w:shd w:val="clear" w:color="auto" w:fill="auto"/>
            <w:noWrap/>
            <w:vAlign w:val="bottom"/>
            <w:hideMark/>
          </w:tcPr>
          <w:p w14:paraId="5F67844B"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1474" w:type="dxa"/>
            <w:shd w:val="clear" w:color="auto" w:fill="auto"/>
            <w:noWrap/>
            <w:vAlign w:val="bottom"/>
            <w:hideMark/>
          </w:tcPr>
          <w:p w14:paraId="214B1E58"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758" w:type="dxa"/>
            <w:shd w:val="clear" w:color="auto" w:fill="auto"/>
            <w:noWrap/>
            <w:vAlign w:val="bottom"/>
            <w:hideMark/>
          </w:tcPr>
          <w:p w14:paraId="59D7DB6D"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18"/>
              </w:rPr>
            </w:pPr>
          </w:p>
        </w:tc>
        <w:tc>
          <w:tcPr>
            <w:tcW w:w="234" w:type="dxa"/>
            <w:shd w:val="clear" w:color="auto" w:fill="auto"/>
            <w:noWrap/>
            <w:vAlign w:val="bottom"/>
            <w:hideMark/>
          </w:tcPr>
          <w:p w14:paraId="4909CD0C" w14:textId="77777777" w:rsidR="00CA0B89" w:rsidRPr="00CA0B89" w:rsidRDefault="00CA0B89" w:rsidP="00536234">
            <w:pPr>
              <w:spacing w:after="0" w:line="240" w:lineRule="auto"/>
              <w:ind w:left="0" w:firstLine="0"/>
              <w:jc w:val="center"/>
              <w:rPr>
                <w:rFonts w:ascii="Times New Roman" w:eastAsia="Times New Roman" w:hAnsi="Times New Roman" w:cs="Times New Roman"/>
                <w:color w:val="auto"/>
                <w:sz w:val="20"/>
                <w:szCs w:val="20"/>
              </w:rPr>
            </w:pPr>
          </w:p>
        </w:tc>
        <w:tc>
          <w:tcPr>
            <w:tcW w:w="579" w:type="dxa"/>
            <w:shd w:val="clear" w:color="auto" w:fill="auto"/>
            <w:noWrap/>
            <w:vAlign w:val="bottom"/>
            <w:hideMark/>
          </w:tcPr>
          <w:p w14:paraId="180C2725"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r w:rsidR="00CA0B89" w:rsidRPr="00CA0B89" w14:paraId="29407973" w14:textId="77777777" w:rsidTr="00B5127E">
        <w:trPr>
          <w:trHeight w:val="281"/>
          <w:jc w:val="center"/>
        </w:trPr>
        <w:tc>
          <w:tcPr>
            <w:tcW w:w="8778" w:type="dxa"/>
            <w:gridSpan w:val="7"/>
            <w:shd w:val="clear" w:color="auto" w:fill="auto"/>
            <w:noWrap/>
            <w:vAlign w:val="bottom"/>
            <w:hideMark/>
          </w:tcPr>
          <w:p w14:paraId="19968B5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szCs w:val="18"/>
              </w:rPr>
            </w:pPr>
            <w:r w:rsidRPr="00CA0B89">
              <w:rPr>
                <w:rFonts w:ascii="Times New Roman" w:eastAsia="Times New Roman" w:hAnsi="Times New Roman" w:cs="Times New Roman"/>
                <w:sz w:val="20"/>
                <w:szCs w:val="18"/>
              </w:rPr>
              <w:t>. *If Prob&gt;ch</w:t>
            </w:r>
            <w:r w:rsidR="009B2BD2">
              <w:rPr>
                <w:rFonts w:ascii="Times New Roman" w:eastAsia="Times New Roman" w:hAnsi="Times New Roman" w:cs="Times New Roman"/>
                <w:sz w:val="20"/>
                <w:szCs w:val="18"/>
              </w:rPr>
              <w:t>i2 &lt;5% i.e significant  use fixe</w:t>
            </w:r>
            <w:r w:rsidRPr="00CA0B89">
              <w:rPr>
                <w:rFonts w:ascii="Times New Roman" w:eastAsia="Times New Roman" w:hAnsi="Times New Roman" w:cs="Times New Roman"/>
                <w:sz w:val="20"/>
                <w:szCs w:val="18"/>
              </w:rPr>
              <w:t>d effects</w:t>
            </w:r>
          </w:p>
        </w:tc>
        <w:tc>
          <w:tcPr>
            <w:tcW w:w="579" w:type="dxa"/>
            <w:shd w:val="clear" w:color="auto" w:fill="auto"/>
            <w:noWrap/>
            <w:vAlign w:val="bottom"/>
            <w:hideMark/>
          </w:tcPr>
          <w:p w14:paraId="3F6BE517" w14:textId="77777777" w:rsidR="00CA0B89" w:rsidRPr="00CA0B89" w:rsidRDefault="00CA0B89" w:rsidP="00536234">
            <w:pPr>
              <w:spacing w:after="0" w:line="240" w:lineRule="auto"/>
              <w:ind w:left="0" w:firstLine="0"/>
              <w:jc w:val="center"/>
              <w:rPr>
                <w:rFonts w:ascii="Calibri" w:eastAsia="Times New Roman" w:hAnsi="Calibri" w:cs="Calibri"/>
                <w:sz w:val="20"/>
              </w:rPr>
            </w:pPr>
            <w:r w:rsidRPr="00CA0B89">
              <w:rPr>
                <w:rFonts w:ascii="Calibri" w:eastAsia="Times New Roman" w:hAnsi="Calibri" w:cs="Calibri"/>
                <w:sz w:val="20"/>
              </w:rPr>
              <w:t> </w:t>
            </w:r>
          </w:p>
        </w:tc>
      </w:tr>
    </w:tbl>
    <w:p w14:paraId="297FFF4E"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2E72149A" w14:textId="77777777" w:rsidR="00CA0B89" w:rsidRDefault="00CA0B89" w:rsidP="00536234">
      <w:pPr>
        <w:spacing w:line="480" w:lineRule="auto"/>
        <w:ind w:left="0"/>
        <w:rPr>
          <w:rFonts w:ascii="Times New Roman" w:hAnsi="Times New Roman" w:cs="Times New Roman"/>
          <w:b/>
          <w:sz w:val="22"/>
          <w:szCs w:val="26"/>
          <w:u w:val="single"/>
        </w:rPr>
      </w:pPr>
    </w:p>
    <w:p w14:paraId="698D1370" w14:textId="77777777" w:rsidR="00CA0B89" w:rsidRDefault="00CA0B89" w:rsidP="00536234">
      <w:pPr>
        <w:spacing w:line="480" w:lineRule="auto"/>
        <w:ind w:left="0"/>
        <w:rPr>
          <w:rFonts w:ascii="Times New Roman" w:hAnsi="Times New Roman" w:cs="Times New Roman"/>
          <w:b/>
          <w:sz w:val="22"/>
          <w:szCs w:val="26"/>
          <w:u w:val="single"/>
        </w:rPr>
      </w:pPr>
    </w:p>
    <w:p w14:paraId="642F9211" w14:textId="77777777" w:rsidR="00CA0B89" w:rsidRDefault="00CA0B89" w:rsidP="00536234">
      <w:pPr>
        <w:spacing w:line="480" w:lineRule="auto"/>
        <w:ind w:left="0"/>
        <w:rPr>
          <w:rFonts w:ascii="Times New Roman" w:hAnsi="Times New Roman" w:cs="Times New Roman"/>
          <w:b/>
          <w:sz w:val="22"/>
          <w:szCs w:val="26"/>
          <w:u w:val="single"/>
        </w:rPr>
      </w:pPr>
    </w:p>
    <w:p w14:paraId="100382FA" w14:textId="77777777" w:rsidR="00CA0B89" w:rsidRDefault="00CA0B89" w:rsidP="00536234">
      <w:pPr>
        <w:spacing w:line="480" w:lineRule="auto"/>
        <w:ind w:left="0"/>
        <w:rPr>
          <w:rFonts w:ascii="Times New Roman" w:hAnsi="Times New Roman" w:cs="Times New Roman"/>
          <w:b/>
          <w:sz w:val="22"/>
          <w:szCs w:val="26"/>
          <w:u w:val="single"/>
        </w:rPr>
      </w:pPr>
    </w:p>
    <w:p w14:paraId="71C45A67" w14:textId="77777777" w:rsidR="00CA0B89" w:rsidRDefault="00CA0B89" w:rsidP="00536234">
      <w:pPr>
        <w:spacing w:line="480" w:lineRule="auto"/>
        <w:ind w:left="0"/>
        <w:rPr>
          <w:rFonts w:ascii="Times New Roman" w:hAnsi="Times New Roman" w:cs="Times New Roman"/>
          <w:b/>
          <w:sz w:val="22"/>
          <w:szCs w:val="26"/>
          <w:u w:val="single"/>
        </w:rPr>
      </w:pPr>
    </w:p>
    <w:p w14:paraId="14CD1A5B" w14:textId="77777777" w:rsidR="00CA0B89" w:rsidRDefault="00CA0B89" w:rsidP="00536234">
      <w:pPr>
        <w:spacing w:line="480" w:lineRule="auto"/>
        <w:ind w:left="0"/>
        <w:rPr>
          <w:rFonts w:ascii="Times New Roman" w:hAnsi="Times New Roman" w:cs="Times New Roman"/>
          <w:b/>
          <w:sz w:val="22"/>
          <w:szCs w:val="26"/>
          <w:u w:val="single"/>
        </w:rPr>
      </w:pPr>
    </w:p>
    <w:p w14:paraId="1B78CF21" w14:textId="77777777" w:rsidR="00CA0B89" w:rsidRDefault="00CA0B89" w:rsidP="00536234">
      <w:pPr>
        <w:spacing w:line="480" w:lineRule="auto"/>
        <w:ind w:left="0"/>
        <w:rPr>
          <w:rFonts w:ascii="Times New Roman" w:hAnsi="Times New Roman" w:cs="Times New Roman"/>
          <w:b/>
          <w:sz w:val="22"/>
          <w:szCs w:val="26"/>
          <w:u w:val="single"/>
        </w:rPr>
      </w:pPr>
    </w:p>
    <w:p w14:paraId="04AEF611" w14:textId="77777777" w:rsidR="00CA0B89" w:rsidRDefault="00CA0B89" w:rsidP="00536234">
      <w:pPr>
        <w:spacing w:line="480" w:lineRule="auto"/>
        <w:ind w:left="0"/>
        <w:rPr>
          <w:rFonts w:ascii="Times New Roman" w:hAnsi="Times New Roman" w:cs="Times New Roman"/>
          <w:b/>
          <w:sz w:val="22"/>
          <w:szCs w:val="26"/>
          <w:u w:val="single"/>
        </w:rPr>
      </w:pPr>
    </w:p>
    <w:p w14:paraId="47228BD2" w14:textId="77777777" w:rsidR="00CA0B89" w:rsidRDefault="00CA0B89" w:rsidP="00536234">
      <w:pPr>
        <w:spacing w:line="480" w:lineRule="auto"/>
        <w:ind w:left="0"/>
        <w:rPr>
          <w:rFonts w:ascii="Times New Roman" w:hAnsi="Times New Roman" w:cs="Times New Roman"/>
          <w:b/>
          <w:sz w:val="22"/>
          <w:szCs w:val="26"/>
          <w:u w:val="single"/>
        </w:rPr>
      </w:pPr>
    </w:p>
    <w:p w14:paraId="135AC01F" w14:textId="77777777" w:rsidR="00CA0B89" w:rsidRDefault="00CA0B89" w:rsidP="00536234">
      <w:pPr>
        <w:spacing w:line="480" w:lineRule="auto"/>
        <w:ind w:left="0"/>
        <w:rPr>
          <w:rFonts w:ascii="Times New Roman" w:hAnsi="Times New Roman" w:cs="Times New Roman"/>
          <w:b/>
          <w:sz w:val="22"/>
          <w:szCs w:val="26"/>
          <w:u w:val="single"/>
        </w:rPr>
      </w:pPr>
    </w:p>
    <w:p w14:paraId="4FED6721" w14:textId="4EA3FBEA" w:rsidR="00CA0B89" w:rsidRDefault="00A04D1A" w:rsidP="00536234">
      <w:pPr>
        <w:spacing w:line="480" w:lineRule="auto"/>
        <w:ind w:left="0"/>
        <w:rPr>
          <w:rFonts w:ascii="Times New Roman" w:hAnsi="Times New Roman" w:cs="Times New Roman"/>
          <w:sz w:val="22"/>
          <w:szCs w:val="26"/>
        </w:rPr>
      </w:pPr>
      <w:r>
        <w:rPr>
          <w:rFonts w:ascii="Times New Roman" w:hAnsi="Times New Roman" w:cs="Times New Roman"/>
          <w:b/>
          <w:sz w:val="22"/>
          <w:szCs w:val="26"/>
          <w:u w:val="single"/>
        </w:rPr>
        <w:lastRenderedPageBreak/>
        <w:t>Figure</w:t>
      </w:r>
      <w:r w:rsidR="00CA0B89">
        <w:rPr>
          <w:rFonts w:ascii="Times New Roman" w:hAnsi="Times New Roman" w:cs="Times New Roman"/>
          <w:b/>
          <w:sz w:val="22"/>
          <w:szCs w:val="26"/>
          <w:u w:val="single"/>
        </w:rPr>
        <w:t xml:space="preserve"> </w:t>
      </w:r>
      <w:r w:rsidR="00A53BD2">
        <w:rPr>
          <w:rFonts w:ascii="Times New Roman" w:hAnsi="Times New Roman" w:cs="Times New Roman"/>
          <w:b/>
          <w:sz w:val="22"/>
          <w:szCs w:val="26"/>
          <w:u w:val="single"/>
        </w:rPr>
        <w:t>H</w:t>
      </w:r>
      <w:r w:rsidR="00CA0B89">
        <w:rPr>
          <w:rFonts w:ascii="Times New Roman" w:hAnsi="Times New Roman" w:cs="Times New Roman"/>
          <w:b/>
          <w:sz w:val="22"/>
          <w:szCs w:val="26"/>
          <w:u w:val="single"/>
        </w:rPr>
        <w:t xml:space="preserve">: </w:t>
      </w:r>
      <w:r w:rsidR="00CA0B89" w:rsidRPr="00CA0B89">
        <w:rPr>
          <w:rFonts w:ascii="Times New Roman" w:hAnsi="Times New Roman" w:cs="Times New Roman"/>
          <w:b/>
          <w:sz w:val="22"/>
          <w:szCs w:val="26"/>
          <w:u w:val="single"/>
        </w:rPr>
        <w:t>Mo</w:t>
      </w:r>
      <w:r w:rsidR="00CA0B89">
        <w:rPr>
          <w:rFonts w:ascii="Times New Roman" w:hAnsi="Times New Roman" w:cs="Times New Roman"/>
          <w:b/>
          <w:sz w:val="22"/>
          <w:szCs w:val="26"/>
          <w:u w:val="single"/>
        </w:rPr>
        <w:t>dified Wald Test for Groupwise H</w:t>
      </w:r>
      <w:r w:rsidR="00CA0B89" w:rsidRPr="00CA0B89">
        <w:rPr>
          <w:rFonts w:ascii="Times New Roman" w:hAnsi="Times New Roman" w:cs="Times New Roman"/>
          <w:b/>
          <w:sz w:val="22"/>
          <w:szCs w:val="26"/>
          <w:u w:val="single"/>
        </w:rPr>
        <w:t>eteroskedasticity</w:t>
      </w:r>
    </w:p>
    <w:tbl>
      <w:tblPr>
        <w:tblW w:w="91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9"/>
      </w:tblGrid>
      <w:tr w:rsidR="00CA0B89" w:rsidRPr="00CA0B89" w14:paraId="76B457F9" w14:textId="77777777" w:rsidTr="00B5127E">
        <w:trPr>
          <w:trHeight w:val="340"/>
          <w:jc w:val="center"/>
        </w:trPr>
        <w:tc>
          <w:tcPr>
            <w:tcW w:w="9149" w:type="dxa"/>
            <w:shd w:val="clear" w:color="auto" w:fill="auto"/>
            <w:noWrap/>
            <w:vAlign w:val="bottom"/>
            <w:hideMark/>
          </w:tcPr>
          <w:p w14:paraId="619A477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H0: sigma(i)^2 = sigma^2 for all i</w:t>
            </w:r>
          </w:p>
        </w:tc>
      </w:tr>
      <w:tr w:rsidR="00CA0B89" w:rsidRPr="00CA0B89" w14:paraId="35EF7AD5" w14:textId="77777777" w:rsidTr="00B5127E">
        <w:trPr>
          <w:trHeight w:val="340"/>
          <w:jc w:val="center"/>
        </w:trPr>
        <w:tc>
          <w:tcPr>
            <w:tcW w:w="9149" w:type="dxa"/>
            <w:shd w:val="clear" w:color="auto" w:fill="auto"/>
            <w:noWrap/>
            <w:vAlign w:val="bottom"/>
            <w:hideMark/>
          </w:tcPr>
          <w:p w14:paraId="7F9FF10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chi2 (73)  =    2.4e+05</w:t>
            </w:r>
          </w:p>
        </w:tc>
      </w:tr>
      <w:tr w:rsidR="00CA0B89" w:rsidRPr="00CA0B89" w14:paraId="4873B643" w14:textId="77777777" w:rsidTr="00B5127E">
        <w:trPr>
          <w:trHeight w:val="340"/>
          <w:jc w:val="center"/>
        </w:trPr>
        <w:tc>
          <w:tcPr>
            <w:tcW w:w="9149" w:type="dxa"/>
            <w:shd w:val="clear" w:color="auto" w:fill="auto"/>
            <w:noWrap/>
            <w:vAlign w:val="bottom"/>
            <w:hideMark/>
          </w:tcPr>
          <w:p w14:paraId="3F4801A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Prob&gt;chi2 =      0.0000</w:t>
            </w:r>
          </w:p>
        </w:tc>
      </w:tr>
      <w:tr w:rsidR="00CA0B89" w:rsidRPr="00CA0B89" w14:paraId="7207354B" w14:textId="77777777" w:rsidTr="00B5127E">
        <w:trPr>
          <w:trHeight w:val="340"/>
          <w:jc w:val="center"/>
        </w:trPr>
        <w:tc>
          <w:tcPr>
            <w:tcW w:w="9149" w:type="dxa"/>
            <w:shd w:val="clear" w:color="auto" w:fill="auto"/>
            <w:noWrap/>
            <w:vAlign w:val="bottom"/>
            <w:hideMark/>
          </w:tcPr>
          <w:p w14:paraId="1A23FF5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w:t>
            </w:r>
          </w:p>
        </w:tc>
      </w:tr>
      <w:tr w:rsidR="00CA0B89" w:rsidRPr="00CA0B89" w14:paraId="712B4EDE" w14:textId="77777777" w:rsidTr="00B5127E">
        <w:trPr>
          <w:trHeight w:val="354"/>
          <w:jc w:val="center"/>
        </w:trPr>
        <w:tc>
          <w:tcPr>
            <w:tcW w:w="9149" w:type="dxa"/>
            <w:shd w:val="clear" w:color="auto" w:fill="auto"/>
            <w:noWrap/>
            <w:vAlign w:val="bottom"/>
            <w:hideMark/>
          </w:tcPr>
          <w:p w14:paraId="1994812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*If the Prob&gt;Chi2 &lt;0.05 there is heteroskedasticity</w:t>
            </w:r>
          </w:p>
        </w:tc>
      </w:tr>
    </w:tbl>
    <w:p w14:paraId="257D801A"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5AA83D2F" w14:textId="2CE4A58E" w:rsidR="00CA0B89" w:rsidRDefault="00A04D1A" w:rsidP="00536234">
      <w:pPr>
        <w:spacing w:line="480" w:lineRule="auto"/>
        <w:ind w:left="0"/>
        <w:rPr>
          <w:rFonts w:ascii="Times New Roman" w:hAnsi="Times New Roman" w:cs="Times New Roman"/>
          <w:sz w:val="22"/>
          <w:szCs w:val="26"/>
        </w:rPr>
      </w:pPr>
      <w:r>
        <w:rPr>
          <w:rFonts w:ascii="Times New Roman" w:hAnsi="Times New Roman" w:cs="Times New Roman"/>
          <w:b/>
          <w:sz w:val="22"/>
          <w:szCs w:val="26"/>
          <w:u w:val="single"/>
        </w:rPr>
        <w:t>Figure</w:t>
      </w:r>
      <w:r w:rsidR="00CA0B89">
        <w:rPr>
          <w:rFonts w:ascii="Times New Roman" w:hAnsi="Times New Roman" w:cs="Times New Roman"/>
          <w:b/>
          <w:sz w:val="22"/>
          <w:szCs w:val="26"/>
          <w:u w:val="single"/>
        </w:rPr>
        <w:t xml:space="preserve"> </w:t>
      </w:r>
      <w:r w:rsidR="00A53BD2">
        <w:rPr>
          <w:rFonts w:ascii="Times New Roman" w:hAnsi="Times New Roman" w:cs="Times New Roman"/>
          <w:b/>
          <w:sz w:val="22"/>
          <w:szCs w:val="26"/>
          <w:u w:val="single"/>
        </w:rPr>
        <w:t>I</w:t>
      </w:r>
      <w:r w:rsidR="00CA0B89">
        <w:rPr>
          <w:rFonts w:ascii="Times New Roman" w:hAnsi="Times New Roman" w:cs="Times New Roman"/>
          <w:b/>
          <w:sz w:val="22"/>
          <w:szCs w:val="26"/>
          <w:u w:val="single"/>
        </w:rPr>
        <w:t xml:space="preserve">: </w:t>
      </w:r>
      <w:r w:rsidR="00CA0B89" w:rsidRPr="00CA0B89">
        <w:rPr>
          <w:rFonts w:ascii="Times New Roman" w:hAnsi="Times New Roman" w:cs="Times New Roman"/>
          <w:b/>
          <w:sz w:val="22"/>
          <w:szCs w:val="26"/>
          <w:u w:val="single"/>
        </w:rPr>
        <w:t>Breusch-Pagan / Cook-Weis</w:t>
      </w:r>
      <w:r w:rsidR="00CA0B89">
        <w:rPr>
          <w:rFonts w:ascii="Times New Roman" w:hAnsi="Times New Roman" w:cs="Times New Roman"/>
          <w:b/>
          <w:sz w:val="22"/>
          <w:szCs w:val="26"/>
          <w:u w:val="single"/>
        </w:rPr>
        <w:t>berg Test for H</w:t>
      </w:r>
      <w:r w:rsidR="00CA0B89" w:rsidRPr="00CA0B89">
        <w:rPr>
          <w:rFonts w:ascii="Times New Roman" w:hAnsi="Times New Roman" w:cs="Times New Roman"/>
          <w:b/>
          <w:sz w:val="22"/>
          <w:szCs w:val="26"/>
          <w:u w:val="single"/>
        </w:rPr>
        <w:t>eteroskedasticity</w:t>
      </w:r>
    </w:p>
    <w:tbl>
      <w:tblPr>
        <w:tblW w:w="9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1"/>
      </w:tblGrid>
      <w:tr w:rsidR="00CA0B89" w:rsidRPr="00CA0B89" w14:paraId="4F6A8D40" w14:textId="77777777" w:rsidTr="00B5127E">
        <w:trPr>
          <w:trHeight w:val="326"/>
          <w:jc w:val="center"/>
        </w:trPr>
        <w:tc>
          <w:tcPr>
            <w:tcW w:w="9101" w:type="dxa"/>
            <w:shd w:val="clear" w:color="auto" w:fill="auto"/>
            <w:noWrap/>
            <w:vAlign w:val="bottom"/>
            <w:hideMark/>
          </w:tcPr>
          <w:p w14:paraId="034028D1"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xml:space="preserve">         Ho: Constant variance</w:t>
            </w:r>
          </w:p>
        </w:tc>
      </w:tr>
      <w:tr w:rsidR="00CA0B89" w:rsidRPr="00CA0B89" w14:paraId="012EE0F9" w14:textId="77777777" w:rsidTr="00B5127E">
        <w:trPr>
          <w:trHeight w:val="326"/>
          <w:jc w:val="center"/>
        </w:trPr>
        <w:tc>
          <w:tcPr>
            <w:tcW w:w="9101" w:type="dxa"/>
            <w:shd w:val="clear" w:color="auto" w:fill="auto"/>
            <w:noWrap/>
            <w:vAlign w:val="bottom"/>
            <w:hideMark/>
          </w:tcPr>
          <w:p w14:paraId="45B9BA5A"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xml:space="preserve">         Variables: fitted values of DPR</w:t>
            </w:r>
          </w:p>
        </w:tc>
      </w:tr>
      <w:tr w:rsidR="00CA0B89" w:rsidRPr="00CA0B89" w14:paraId="0EC57E7D" w14:textId="77777777" w:rsidTr="00B5127E">
        <w:trPr>
          <w:trHeight w:val="326"/>
          <w:jc w:val="center"/>
        </w:trPr>
        <w:tc>
          <w:tcPr>
            <w:tcW w:w="9101" w:type="dxa"/>
            <w:shd w:val="clear" w:color="auto" w:fill="auto"/>
            <w:noWrap/>
            <w:vAlign w:val="bottom"/>
            <w:hideMark/>
          </w:tcPr>
          <w:p w14:paraId="7E794E80"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xml:space="preserve">         chi2(1)      =    16.66</w:t>
            </w:r>
          </w:p>
        </w:tc>
      </w:tr>
      <w:tr w:rsidR="00CA0B89" w:rsidRPr="00CA0B89" w14:paraId="0914F95D" w14:textId="77777777" w:rsidTr="00B5127E">
        <w:trPr>
          <w:trHeight w:val="326"/>
          <w:jc w:val="center"/>
        </w:trPr>
        <w:tc>
          <w:tcPr>
            <w:tcW w:w="9101" w:type="dxa"/>
            <w:shd w:val="clear" w:color="auto" w:fill="auto"/>
            <w:noWrap/>
            <w:vAlign w:val="bottom"/>
            <w:hideMark/>
          </w:tcPr>
          <w:p w14:paraId="49923556"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xml:space="preserve">         Prob &gt; chi2  =   0.0000</w:t>
            </w:r>
          </w:p>
        </w:tc>
      </w:tr>
      <w:tr w:rsidR="00CA0B89" w:rsidRPr="00CA0B89" w14:paraId="4E3C7D40" w14:textId="77777777" w:rsidTr="00B5127E">
        <w:trPr>
          <w:trHeight w:val="326"/>
          <w:jc w:val="center"/>
        </w:trPr>
        <w:tc>
          <w:tcPr>
            <w:tcW w:w="9101" w:type="dxa"/>
            <w:shd w:val="clear" w:color="auto" w:fill="auto"/>
            <w:noWrap/>
            <w:vAlign w:val="bottom"/>
            <w:hideMark/>
          </w:tcPr>
          <w:p w14:paraId="04AF2574"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w:t>
            </w:r>
          </w:p>
        </w:tc>
      </w:tr>
      <w:tr w:rsidR="00CA0B89" w:rsidRPr="00CA0B89" w14:paraId="203D3099" w14:textId="77777777" w:rsidTr="00B5127E">
        <w:trPr>
          <w:trHeight w:val="341"/>
          <w:jc w:val="center"/>
        </w:trPr>
        <w:tc>
          <w:tcPr>
            <w:tcW w:w="9101" w:type="dxa"/>
            <w:shd w:val="clear" w:color="auto" w:fill="auto"/>
            <w:noWrap/>
            <w:vAlign w:val="bottom"/>
            <w:hideMark/>
          </w:tcPr>
          <w:p w14:paraId="019DDD3D" w14:textId="77777777" w:rsidR="00CA0B89" w:rsidRPr="00CA0B89" w:rsidRDefault="00CA0B89" w:rsidP="00536234">
            <w:pPr>
              <w:spacing w:after="0" w:line="240" w:lineRule="auto"/>
              <w:ind w:left="0" w:firstLine="0"/>
              <w:jc w:val="center"/>
              <w:rPr>
                <w:rFonts w:ascii="Times New Roman" w:eastAsia="Times New Roman" w:hAnsi="Times New Roman" w:cs="Times New Roman"/>
                <w:sz w:val="20"/>
              </w:rPr>
            </w:pPr>
            <w:r w:rsidRPr="00CA0B89">
              <w:rPr>
                <w:rFonts w:ascii="Times New Roman" w:eastAsia="Times New Roman" w:hAnsi="Times New Roman" w:cs="Times New Roman"/>
                <w:sz w:val="20"/>
              </w:rPr>
              <w:t>.   * if prob&lt;5% reject the null</w:t>
            </w:r>
            <w:r w:rsidR="009B2BD2">
              <w:rPr>
                <w:rFonts w:ascii="Times New Roman" w:eastAsia="Times New Roman" w:hAnsi="Times New Roman" w:cs="Times New Roman"/>
                <w:sz w:val="20"/>
              </w:rPr>
              <w:t xml:space="preserve"> hypothesis</w:t>
            </w:r>
            <w:r w:rsidRPr="00CA0B89">
              <w:rPr>
                <w:rFonts w:ascii="Times New Roman" w:eastAsia="Times New Roman" w:hAnsi="Times New Roman" w:cs="Times New Roman"/>
                <w:sz w:val="20"/>
              </w:rPr>
              <w:t>( there is heteroscedasticity)</w:t>
            </w:r>
          </w:p>
        </w:tc>
      </w:tr>
    </w:tbl>
    <w:p w14:paraId="667E2357"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101EAA12" w14:textId="77777777" w:rsidR="00CA0B89" w:rsidRDefault="00CA0B89" w:rsidP="00536234">
      <w:pPr>
        <w:spacing w:line="480" w:lineRule="auto"/>
        <w:ind w:left="0"/>
        <w:rPr>
          <w:rFonts w:ascii="Times New Roman" w:hAnsi="Times New Roman" w:cs="Times New Roman"/>
          <w:b/>
          <w:sz w:val="22"/>
          <w:szCs w:val="26"/>
          <w:u w:val="single"/>
        </w:rPr>
      </w:pPr>
    </w:p>
    <w:p w14:paraId="036F2E17" w14:textId="77777777" w:rsidR="00CA0B89" w:rsidRDefault="00CA0B89" w:rsidP="00536234">
      <w:pPr>
        <w:spacing w:line="480" w:lineRule="auto"/>
        <w:ind w:left="0"/>
        <w:rPr>
          <w:rFonts w:ascii="Times New Roman" w:hAnsi="Times New Roman" w:cs="Times New Roman"/>
          <w:b/>
          <w:sz w:val="22"/>
          <w:szCs w:val="26"/>
          <w:u w:val="single"/>
        </w:rPr>
      </w:pPr>
    </w:p>
    <w:p w14:paraId="5B47C8A6" w14:textId="77777777" w:rsidR="00CA0B89" w:rsidRDefault="00CA0B89" w:rsidP="00536234">
      <w:pPr>
        <w:spacing w:line="480" w:lineRule="auto"/>
        <w:ind w:left="0"/>
        <w:rPr>
          <w:rFonts w:ascii="Times New Roman" w:hAnsi="Times New Roman" w:cs="Times New Roman"/>
          <w:b/>
          <w:sz w:val="22"/>
          <w:szCs w:val="26"/>
          <w:u w:val="single"/>
        </w:rPr>
      </w:pPr>
    </w:p>
    <w:p w14:paraId="6BE96D28" w14:textId="77777777" w:rsidR="00CA0B89" w:rsidRDefault="00CA0B89" w:rsidP="00536234">
      <w:pPr>
        <w:spacing w:line="480" w:lineRule="auto"/>
        <w:ind w:left="0"/>
        <w:rPr>
          <w:rFonts w:ascii="Times New Roman" w:hAnsi="Times New Roman" w:cs="Times New Roman"/>
          <w:b/>
          <w:sz w:val="22"/>
          <w:szCs w:val="26"/>
          <w:u w:val="single"/>
        </w:rPr>
      </w:pPr>
    </w:p>
    <w:p w14:paraId="750D8419" w14:textId="77777777" w:rsidR="00CA0B89" w:rsidRDefault="00CA0B89" w:rsidP="00536234">
      <w:pPr>
        <w:spacing w:line="480" w:lineRule="auto"/>
        <w:ind w:left="0"/>
        <w:rPr>
          <w:rFonts w:ascii="Times New Roman" w:hAnsi="Times New Roman" w:cs="Times New Roman"/>
          <w:b/>
          <w:sz w:val="22"/>
          <w:szCs w:val="26"/>
          <w:u w:val="single"/>
        </w:rPr>
      </w:pPr>
    </w:p>
    <w:p w14:paraId="2291BAEE" w14:textId="77777777" w:rsidR="00CA0B89" w:rsidRDefault="00CA0B89" w:rsidP="00536234">
      <w:pPr>
        <w:spacing w:line="480" w:lineRule="auto"/>
        <w:ind w:left="0"/>
        <w:rPr>
          <w:rFonts w:ascii="Times New Roman" w:hAnsi="Times New Roman" w:cs="Times New Roman"/>
          <w:b/>
          <w:sz w:val="22"/>
          <w:szCs w:val="26"/>
          <w:u w:val="single"/>
        </w:rPr>
      </w:pPr>
    </w:p>
    <w:p w14:paraId="4BBCFC13" w14:textId="77777777" w:rsidR="00CA0B89" w:rsidRDefault="00CA0B89" w:rsidP="00536234">
      <w:pPr>
        <w:spacing w:line="480" w:lineRule="auto"/>
        <w:ind w:left="0"/>
        <w:rPr>
          <w:rFonts w:ascii="Times New Roman" w:hAnsi="Times New Roman" w:cs="Times New Roman"/>
          <w:b/>
          <w:sz w:val="22"/>
          <w:szCs w:val="26"/>
          <w:u w:val="single"/>
        </w:rPr>
      </w:pPr>
    </w:p>
    <w:p w14:paraId="2C1F46E9" w14:textId="77777777" w:rsidR="00CA0B89" w:rsidRDefault="00CA0B89" w:rsidP="00536234">
      <w:pPr>
        <w:spacing w:line="480" w:lineRule="auto"/>
        <w:ind w:left="0"/>
        <w:rPr>
          <w:rFonts w:ascii="Times New Roman" w:hAnsi="Times New Roman" w:cs="Times New Roman"/>
          <w:b/>
          <w:sz w:val="22"/>
          <w:szCs w:val="26"/>
          <w:u w:val="single"/>
        </w:rPr>
      </w:pPr>
    </w:p>
    <w:p w14:paraId="46F02299" w14:textId="77777777" w:rsidR="00CA0B89" w:rsidRDefault="00CA0B89" w:rsidP="00536234">
      <w:pPr>
        <w:spacing w:line="480" w:lineRule="auto"/>
        <w:ind w:left="0"/>
        <w:rPr>
          <w:rFonts w:ascii="Times New Roman" w:hAnsi="Times New Roman" w:cs="Times New Roman"/>
          <w:b/>
          <w:sz w:val="22"/>
          <w:szCs w:val="26"/>
          <w:u w:val="single"/>
        </w:rPr>
      </w:pPr>
    </w:p>
    <w:p w14:paraId="056C2C24" w14:textId="77777777" w:rsidR="00CA0B89" w:rsidRDefault="00CA0B89" w:rsidP="00536234">
      <w:pPr>
        <w:spacing w:line="480" w:lineRule="auto"/>
        <w:ind w:left="0"/>
        <w:rPr>
          <w:rFonts w:ascii="Times New Roman" w:hAnsi="Times New Roman" w:cs="Times New Roman"/>
          <w:b/>
          <w:sz w:val="22"/>
          <w:szCs w:val="26"/>
          <w:u w:val="single"/>
        </w:rPr>
      </w:pPr>
    </w:p>
    <w:p w14:paraId="21E60B6A" w14:textId="77777777" w:rsidR="00CA0B89" w:rsidRDefault="00CA0B89" w:rsidP="00536234">
      <w:pPr>
        <w:spacing w:line="480" w:lineRule="auto"/>
        <w:ind w:left="0"/>
        <w:rPr>
          <w:rFonts w:ascii="Times New Roman" w:hAnsi="Times New Roman" w:cs="Times New Roman"/>
          <w:b/>
          <w:sz w:val="22"/>
          <w:szCs w:val="26"/>
          <w:u w:val="single"/>
        </w:rPr>
      </w:pPr>
    </w:p>
    <w:p w14:paraId="1150AD0A" w14:textId="3004AE2B" w:rsidR="00CA0B89" w:rsidRDefault="00A04D1A" w:rsidP="00536234">
      <w:pPr>
        <w:spacing w:line="480" w:lineRule="auto"/>
        <w:ind w:left="0"/>
        <w:rPr>
          <w:rFonts w:ascii="Times New Roman" w:hAnsi="Times New Roman" w:cs="Times New Roman"/>
          <w:sz w:val="22"/>
          <w:szCs w:val="26"/>
        </w:rPr>
      </w:pPr>
      <w:r>
        <w:rPr>
          <w:rFonts w:ascii="Times New Roman" w:hAnsi="Times New Roman" w:cs="Times New Roman"/>
          <w:b/>
          <w:sz w:val="22"/>
          <w:szCs w:val="26"/>
          <w:u w:val="single"/>
        </w:rPr>
        <w:lastRenderedPageBreak/>
        <w:t>Figure</w:t>
      </w:r>
      <w:r w:rsidR="00CA0B89">
        <w:rPr>
          <w:rFonts w:ascii="Times New Roman" w:hAnsi="Times New Roman" w:cs="Times New Roman"/>
          <w:b/>
          <w:sz w:val="22"/>
          <w:szCs w:val="26"/>
          <w:u w:val="single"/>
        </w:rPr>
        <w:t xml:space="preserve"> </w:t>
      </w:r>
      <w:r w:rsidR="00A53BD2">
        <w:rPr>
          <w:rFonts w:ascii="Times New Roman" w:hAnsi="Times New Roman" w:cs="Times New Roman"/>
          <w:b/>
          <w:sz w:val="22"/>
          <w:szCs w:val="26"/>
          <w:u w:val="single"/>
        </w:rPr>
        <w:t>J</w:t>
      </w:r>
      <w:r w:rsidR="00CA0B89">
        <w:rPr>
          <w:rFonts w:ascii="Times New Roman" w:hAnsi="Times New Roman" w:cs="Times New Roman"/>
          <w:b/>
          <w:sz w:val="22"/>
          <w:szCs w:val="26"/>
          <w:u w:val="single"/>
        </w:rPr>
        <w:t>: Table Comparing Models Prepared on a Balanced Panel to the Same Models Prepared on an Unbalanced Panel</w:t>
      </w:r>
    </w:p>
    <w:p w14:paraId="5F0B0FB4" w14:textId="77777777" w:rsidR="00CA0B89" w:rsidRPr="00CA0B89" w:rsidRDefault="00CA0B89" w:rsidP="00536234">
      <w:pPr>
        <w:spacing w:line="480" w:lineRule="auto"/>
        <w:ind w:left="0" w:firstLine="0"/>
        <w:rPr>
          <w:rFonts w:ascii="Times New Roman" w:hAnsi="Times New Roman" w:cs="Times New Roman"/>
          <w:sz w:val="18"/>
          <w:szCs w:val="18"/>
        </w:rPr>
      </w:pPr>
    </w:p>
    <w:tbl>
      <w:tblPr>
        <w:tblpPr w:leftFromText="180" w:rightFromText="180" w:vertAnchor="text" w:horzAnchor="margin" w:tblpXSpec="center" w:tblpY="66"/>
        <w:tblW w:w="8364" w:type="dxa"/>
        <w:tblLayout w:type="fixed"/>
        <w:tblCellMar>
          <w:left w:w="75" w:type="dxa"/>
          <w:right w:w="75" w:type="dxa"/>
        </w:tblCellMar>
        <w:tblLook w:val="0000" w:firstRow="0" w:lastRow="0" w:firstColumn="0" w:lastColumn="0" w:noHBand="0" w:noVBand="0"/>
      </w:tblPr>
      <w:tblGrid>
        <w:gridCol w:w="1796"/>
        <w:gridCol w:w="1465"/>
        <w:gridCol w:w="869"/>
        <w:gridCol w:w="1167"/>
        <w:gridCol w:w="1167"/>
        <w:gridCol w:w="1900"/>
      </w:tblGrid>
      <w:tr w:rsidR="00CA0B89" w:rsidRPr="00CA0B89" w14:paraId="2B853C03" w14:textId="77777777" w:rsidTr="00CA0B89">
        <w:trPr>
          <w:trHeight w:val="393"/>
        </w:trPr>
        <w:tc>
          <w:tcPr>
            <w:tcW w:w="1796" w:type="dxa"/>
            <w:tcBorders>
              <w:top w:val="single" w:sz="6" w:space="0" w:color="auto"/>
              <w:left w:val="nil"/>
              <w:bottom w:val="nil"/>
              <w:right w:val="nil"/>
            </w:tcBorders>
          </w:tcPr>
          <w:p w14:paraId="466659A3"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sz w:val="18"/>
                <w:szCs w:val="24"/>
              </w:rPr>
            </w:pPr>
          </w:p>
        </w:tc>
        <w:tc>
          <w:tcPr>
            <w:tcW w:w="1465" w:type="dxa"/>
            <w:tcBorders>
              <w:top w:val="single" w:sz="6" w:space="0" w:color="auto"/>
              <w:left w:val="nil"/>
              <w:bottom w:val="nil"/>
              <w:right w:val="nil"/>
            </w:tcBorders>
          </w:tcPr>
          <w:p w14:paraId="5F89959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sz w:val="18"/>
                <w:szCs w:val="24"/>
              </w:rPr>
            </w:pPr>
            <w:r>
              <w:rPr>
                <w:rFonts w:ascii="Times New Roman" w:hAnsi="Times New Roman"/>
                <w:sz w:val="18"/>
                <w:szCs w:val="24"/>
              </w:rPr>
              <w:t xml:space="preserve">                    </w:t>
            </w:r>
            <w:r w:rsidRPr="00CA0B89">
              <w:rPr>
                <w:rFonts w:ascii="Times New Roman" w:hAnsi="Times New Roman"/>
                <w:sz w:val="18"/>
                <w:szCs w:val="24"/>
              </w:rPr>
              <w:t>(1)</w:t>
            </w:r>
          </w:p>
        </w:tc>
        <w:tc>
          <w:tcPr>
            <w:tcW w:w="869" w:type="dxa"/>
            <w:tcBorders>
              <w:top w:val="single" w:sz="6" w:space="0" w:color="auto"/>
              <w:left w:val="nil"/>
              <w:bottom w:val="nil"/>
              <w:right w:val="nil"/>
            </w:tcBorders>
          </w:tcPr>
          <w:p w14:paraId="3C3D61E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sz w:val="18"/>
                <w:szCs w:val="24"/>
              </w:rPr>
            </w:pPr>
            <w:r>
              <w:rPr>
                <w:rFonts w:ascii="Times New Roman" w:hAnsi="Times New Roman"/>
                <w:sz w:val="18"/>
                <w:szCs w:val="24"/>
              </w:rPr>
              <w:t xml:space="preserve">                </w:t>
            </w:r>
          </w:p>
        </w:tc>
        <w:tc>
          <w:tcPr>
            <w:tcW w:w="1167" w:type="dxa"/>
            <w:tcBorders>
              <w:top w:val="single" w:sz="6" w:space="0" w:color="auto"/>
              <w:left w:val="nil"/>
              <w:bottom w:val="nil"/>
              <w:right w:val="nil"/>
            </w:tcBorders>
          </w:tcPr>
          <w:p w14:paraId="19E0D746" w14:textId="77777777" w:rsidR="00CA0B89" w:rsidRPr="00CA0B89" w:rsidRDefault="00CA0B89" w:rsidP="00536234">
            <w:pPr>
              <w:widowControl w:val="0"/>
              <w:autoSpaceDE w:val="0"/>
              <w:autoSpaceDN w:val="0"/>
              <w:adjustRightInd w:val="0"/>
              <w:spacing w:after="0" w:line="240" w:lineRule="auto"/>
              <w:ind w:left="0" w:firstLine="0"/>
              <w:rPr>
                <w:rFonts w:ascii="Times New Roman" w:hAnsi="Times New Roman"/>
                <w:sz w:val="18"/>
                <w:szCs w:val="24"/>
              </w:rPr>
            </w:pPr>
            <w:r>
              <w:rPr>
                <w:rFonts w:ascii="Times New Roman" w:hAnsi="Times New Roman"/>
                <w:sz w:val="18"/>
                <w:szCs w:val="24"/>
              </w:rPr>
              <w:t xml:space="preserve">        (2)</w:t>
            </w:r>
          </w:p>
        </w:tc>
        <w:tc>
          <w:tcPr>
            <w:tcW w:w="1167" w:type="dxa"/>
            <w:tcBorders>
              <w:top w:val="single" w:sz="6" w:space="0" w:color="auto"/>
              <w:left w:val="nil"/>
              <w:bottom w:val="nil"/>
              <w:right w:val="nil"/>
            </w:tcBorders>
          </w:tcPr>
          <w:p w14:paraId="61AF466F"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sz w:val="18"/>
                <w:szCs w:val="24"/>
              </w:rPr>
            </w:pPr>
            <w:r>
              <w:rPr>
                <w:rFonts w:ascii="Times New Roman" w:hAnsi="Times New Roman"/>
                <w:sz w:val="18"/>
                <w:szCs w:val="24"/>
              </w:rPr>
              <w:t xml:space="preserve">            (3)</w:t>
            </w:r>
          </w:p>
        </w:tc>
        <w:tc>
          <w:tcPr>
            <w:tcW w:w="1900" w:type="dxa"/>
            <w:tcBorders>
              <w:top w:val="single" w:sz="6" w:space="0" w:color="auto"/>
              <w:left w:val="nil"/>
              <w:bottom w:val="nil"/>
              <w:right w:val="nil"/>
            </w:tcBorders>
          </w:tcPr>
          <w:p w14:paraId="1C2DFE65" w14:textId="77777777" w:rsidR="00CA0B89" w:rsidRPr="00CA0B89" w:rsidRDefault="00CA0B89" w:rsidP="00536234">
            <w:pPr>
              <w:widowControl w:val="0"/>
              <w:tabs>
                <w:tab w:val="left" w:pos="468"/>
                <w:tab w:val="center" w:pos="723"/>
              </w:tabs>
              <w:autoSpaceDE w:val="0"/>
              <w:autoSpaceDN w:val="0"/>
              <w:adjustRightInd w:val="0"/>
              <w:spacing w:after="0" w:line="240" w:lineRule="auto"/>
              <w:ind w:left="0"/>
              <w:jc w:val="center"/>
              <w:rPr>
                <w:rFonts w:ascii="Times New Roman" w:hAnsi="Times New Roman"/>
                <w:sz w:val="18"/>
                <w:szCs w:val="24"/>
              </w:rPr>
            </w:pPr>
            <w:r>
              <w:rPr>
                <w:rFonts w:ascii="Times New Roman" w:hAnsi="Times New Roman"/>
                <w:sz w:val="18"/>
                <w:szCs w:val="24"/>
              </w:rPr>
              <w:t xml:space="preserve">         (4)</w:t>
            </w:r>
          </w:p>
        </w:tc>
      </w:tr>
    </w:tbl>
    <w:tbl>
      <w:tblPr>
        <w:tblpPr w:leftFromText="180" w:rightFromText="180" w:vertAnchor="page" w:horzAnchor="margin" w:tblpXSpec="center" w:tblpY="3805"/>
        <w:tblW w:w="8806" w:type="dxa"/>
        <w:tblLayout w:type="fixed"/>
        <w:tblCellMar>
          <w:left w:w="75" w:type="dxa"/>
          <w:right w:w="75" w:type="dxa"/>
        </w:tblCellMar>
        <w:tblLook w:val="0000" w:firstRow="0" w:lastRow="0" w:firstColumn="0" w:lastColumn="0" w:noHBand="0" w:noVBand="0"/>
      </w:tblPr>
      <w:tblGrid>
        <w:gridCol w:w="2450"/>
        <w:gridCol w:w="1589"/>
        <w:gridCol w:w="1589"/>
        <w:gridCol w:w="1589"/>
        <w:gridCol w:w="1589"/>
      </w:tblGrid>
      <w:tr w:rsidR="00CA0B89" w:rsidRPr="00CA0B89" w14:paraId="4E7FBA17" w14:textId="77777777" w:rsidTr="00B5127E">
        <w:trPr>
          <w:trHeight w:val="263"/>
        </w:trPr>
        <w:tc>
          <w:tcPr>
            <w:tcW w:w="2450" w:type="dxa"/>
            <w:tcBorders>
              <w:top w:val="nil"/>
              <w:left w:val="nil"/>
              <w:bottom w:val="single" w:sz="6" w:space="0" w:color="auto"/>
              <w:right w:val="nil"/>
            </w:tcBorders>
          </w:tcPr>
          <w:p w14:paraId="315C1855"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VARIABLES</w:t>
            </w:r>
          </w:p>
        </w:tc>
        <w:tc>
          <w:tcPr>
            <w:tcW w:w="1589" w:type="dxa"/>
            <w:tcBorders>
              <w:top w:val="nil"/>
              <w:left w:val="nil"/>
              <w:bottom w:val="single" w:sz="6" w:space="0" w:color="auto"/>
              <w:right w:val="nil"/>
            </w:tcBorders>
          </w:tcPr>
          <w:p w14:paraId="351E352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 xml:space="preserve"> BPR_D</w:t>
            </w:r>
          </w:p>
        </w:tc>
        <w:tc>
          <w:tcPr>
            <w:tcW w:w="1589" w:type="dxa"/>
            <w:tcBorders>
              <w:top w:val="nil"/>
              <w:left w:val="nil"/>
              <w:bottom w:val="single" w:sz="6" w:space="0" w:color="auto"/>
              <w:right w:val="nil"/>
            </w:tcBorders>
          </w:tcPr>
          <w:p w14:paraId="62EA869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UPR_D</w:t>
            </w:r>
          </w:p>
        </w:tc>
        <w:tc>
          <w:tcPr>
            <w:tcW w:w="1589" w:type="dxa"/>
            <w:tcBorders>
              <w:top w:val="nil"/>
              <w:left w:val="nil"/>
              <w:bottom w:val="single" w:sz="6" w:space="0" w:color="auto"/>
              <w:right w:val="nil"/>
            </w:tcBorders>
          </w:tcPr>
          <w:p w14:paraId="5A3B26A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BFE_ND</w:t>
            </w:r>
          </w:p>
        </w:tc>
        <w:tc>
          <w:tcPr>
            <w:tcW w:w="1589" w:type="dxa"/>
            <w:tcBorders>
              <w:top w:val="nil"/>
              <w:left w:val="nil"/>
              <w:bottom w:val="single" w:sz="6" w:space="0" w:color="auto"/>
              <w:right w:val="nil"/>
            </w:tcBorders>
          </w:tcPr>
          <w:p w14:paraId="2A45B00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UFE_ND</w:t>
            </w:r>
          </w:p>
        </w:tc>
      </w:tr>
      <w:tr w:rsidR="00CA0B89" w:rsidRPr="00CA0B89" w14:paraId="78A4AD35" w14:textId="77777777" w:rsidTr="00B5127E">
        <w:trPr>
          <w:trHeight w:val="263"/>
        </w:trPr>
        <w:tc>
          <w:tcPr>
            <w:tcW w:w="2450" w:type="dxa"/>
            <w:tcBorders>
              <w:top w:val="nil"/>
              <w:left w:val="nil"/>
              <w:bottom w:val="nil"/>
              <w:right w:val="nil"/>
            </w:tcBorders>
          </w:tcPr>
          <w:p w14:paraId="1512D641"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0EB2438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67D613B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1ABF6D1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3CC8A66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1E030619" w14:textId="77777777" w:rsidTr="00B5127E">
        <w:trPr>
          <w:trHeight w:val="263"/>
        </w:trPr>
        <w:tc>
          <w:tcPr>
            <w:tcW w:w="2450" w:type="dxa"/>
            <w:tcBorders>
              <w:top w:val="nil"/>
              <w:left w:val="nil"/>
              <w:bottom w:val="nil"/>
              <w:right w:val="nil"/>
            </w:tcBorders>
          </w:tcPr>
          <w:p w14:paraId="6095CAC1"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Deal</w:t>
            </w:r>
          </w:p>
        </w:tc>
        <w:tc>
          <w:tcPr>
            <w:tcW w:w="1589" w:type="dxa"/>
            <w:tcBorders>
              <w:top w:val="nil"/>
              <w:left w:val="nil"/>
              <w:bottom w:val="nil"/>
              <w:right w:val="nil"/>
            </w:tcBorders>
          </w:tcPr>
          <w:p w14:paraId="6D903BB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0.043</w:t>
            </w:r>
          </w:p>
        </w:tc>
        <w:tc>
          <w:tcPr>
            <w:tcW w:w="1589" w:type="dxa"/>
            <w:tcBorders>
              <w:top w:val="nil"/>
              <w:left w:val="nil"/>
              <w:bottom w:val="nil"/>
              <w:right w:val="nil"/>
            </w:tcBorders>
          </w:tcPr>
          <w:p w14:paraId="51506B2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0.008</w:t>
            </w:r>
          </w:p>
        </w:tc>
        <w:tc>
          <w:tcPr>
            <w:tcW w:w="1589" w:type="dxa"/>
            <w:tcBorders>
              <w:top w:val="nil"/>
              <w:left w:val="nil"/>
              <w:bottom w:val="nil"/>
              <w:right w:val="nil"/>
            </w:tcBorders>
          </w:tcPr>
          <w:p w14:paraId="152C42B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0.079***</w:t>
            </w:r>
          </w:p>
        </w:tc>
        <w:tc>
          <w:tcPr>
            <w:tcW w:w="1589" w:type="dxa"/>
            <w:tcBorders>
              <w:top w:val="nil"/>
              <w:left w:val="nil"/>
              <w:bottom w:val="nil"/>
              <w:right w:val="nil"/>
            </w:tcBorders>
          </w:tcPr>
          <w:p w14:paraId="5E0918A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0.065***</w:t>
            </w:r>
          </w:p>
        </w:tc>
      </w:tr>
      <w:tr w:rsidR="00CA0B89" w:rsidRPr="00CA0B89" w14:paraId="688A2F68" w14:textId="77777777" w:rsidTr="00B5127E">
        <w:trPr>
          <w:trHeight w:val="263"/>
        </w:trPr>
        <w:tc>
          <w:tcPr>
            <w:tcW w:w="2450" w:type="dxa"/>
            <w:tcBorders>
              <w:top w:val="nil"/>
              <w:left w:val="nil"/>
              <w:bottom w:val="nil"/>
              <w:right w:val="nil"/>
            </w:tcBorders>
          </w:tcPr>
          <w:p w14:paraId="750DC199"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2BC9069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(2.91341e-02)</w:t>
            </w:r>
          </w:p>
        </w:tc>
        <w:tc>
          <w:tcPr>
            <w:tcW w:w="1589" w:type="dxa"/>
            <w:tcBorders>
              <w:top w:val="nil"/>
              <w:left w:val="nil"/>
              <w:bottom w:val="nil"/>
              <w:right w:val="nil"/>
            </w:tcBorders>
          </w:tcPr>
          <w:p w14:paraId="5A0E9A0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(2.69232e-02)</w:t>
            </w:r>
          </w:p>
        </w:tc>
        <w:tc>
          <w:tcPr>
            <w:tcW w:w="1589" w:type="dxa"/>
            <w:tcBorders>
              <w:top w:val="nil"/>
              <w:left w:val="nil"/>
              <w:bottom w:val="nil"/>
              <w:right w:val="nil"/>
            </w:tcBorders>
          </w:tcPr>
          <w:p w14:paraId="7D371FA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(2.45556e-02)</w:t>
            </w:r>
          </w:p>
        </w:tc>
        <w:tc>
          <w:tcPr>
            <w:tcW w:w="1589" w:type="dxa"/>
            <w:tcBorders>
              <w:top w:val="nil"/>
              <w:left w:val="nil"/>
              <w:bottom w:val="nil"/>
              <w:right w:val="nil"/>
            </w:tcBorders>
          </w:tcPr>
          <w:p w14:paraId="46C7581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(2.36589e-02)</w:t>
            </w:r>
          </w:p>
        </w:tc>
      </w:tr>
      <w:tr w:rsidR="00CA0B89" w:rsidRPr="00CA0B89" w14:paraId="49629690" w14:textId="77777777" w:rsidTr="00B5127E">
        <w:trPr>
          <w:trHeight w:val="263"/>
        </w:trPr>
        <w:tc>
          <w:tcPr>
            <w:tcW w:w="2450" w:type="dxa"/>
            <w:tcBorders>
              <w:top w:val="nil"/>
              <w:left w:val="nil"/>
              <w:bottom w:val="nil"/>
              <w:right w:val="nil"/>
            </w:tcBorders>
          </w:tcPr>
          <w:p w14:paraId="1849A192"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Profitability</w:t>
            </w:r>
          </w:p>
        </w:tc>
        <w:tc>
          <w:tcPr>
            <w:tcW w:w="1589" w:type="dxa"/>
            <w:tcBorders>
              <w:top w:val="nil"/>
              <w:left w:val="nil"/>
              <w:bottom w:val="nil"/>
              <w:right w:val="nil"/>
            </w:tcBorders>
          </w:tcPr>
          <w:p w14:paraId="5BC80A0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0.005***</w:t>
            </w:r>
          </w:p>
        </w:tc>
        <w:tc>
          <w:tcPr>
            <w:tcW w:w="1589" w:type="dxa"/>
            <w:tcBorders>
              <w:top w:val="nil"/>
              <w:left w:val="nil"/>
              <w:bottom w:val="nil"/>
              <w:right w:val="nil"/>
            </w:tcBorders>
          </w:tcPr>
          <w:p w14:paraId="2435538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0.007***</w:t>
            </w:r>
          </w:p>
        </w:tc>
        <w:tc>
          <w:tcPr>
            <w:tcW w:w="1589" w:type="dxa"/>
            <w:tcBorders>
              <w:top w:val="nil"/>
              <w:left w:val="nil"/>
              <w:bottom w:val="nil"/>
              <w:right w:val="nil"/>
            </w:tcBorders>
          </w:tcPr>
          <w:p w14:paraId="2CD3647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0.002</w:t>
            </w:r>
          </w:p>
        </w:tc>
        <w:tc>
          <w:tcPr>
            <w:tcW w:w="1589" w:type="dxa"/>
            <w:tcBorders>
              <w:top w:val="nil"/>
              <w:left w:val="nil"/>
              <w:bottom w:val="nil"/>
              <w:right w:val="nil"/>
            </w:tcBorders>
          </w:tcPr>
          <w:p w14:paraId="44C15EE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0.003**</w:t>
            </w:r>
          </w:p>
        </w:tc>
      </w:tr>
      <w:tr w:rsidR="00CA0B89" w:rsidRPr="00CA0B89" w14:paraId="5CA4015D" w14:textId="77777777" w:rsidTr="00B5127E">
        <w:trPr>
          <w:trHeight w:val="263"/>
        </w:trPr>
        <w:tc>
          <w:tcPr>
            <w:tcW w:w="2450" w:type="dxa"/>
            <w:tcBorders>
              <w:top w:val="nil"/>
              <w:left w:val="nil"/>
              <w:bottom w:val="nil"/>
              <w:right w:val="nil"/>
            </w:tcBorders>
          </w:tcPr>
          <w:p w14:paraId="6636F990"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6610EEB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(1.38169e-03)</w:t>
            </w:r>
          </w:p>
        </w:tc>
        <w:tc>
          <w:tcPr>
            <w:tcW w:w="1589" w:type="dxa"/>
            <w:tcBorders>
              <w:top w:val="nil"/>
              <w:left w:val="nil"/>
              <w:bottom w:val="nil"/>
              <w:right w:val="nil"/>
            </w:tcBorders>
          </w:tcPr>
          <w:p w14:paraId="32A1CCE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(1.22520e-03)</w:t>
            </w:r>
          </w:p>
        </w:tc>
        <w:tc>
          <w:tcPr>
            <w:tcW w:w="1589" w:type="dxa"/>
            <w:tcBorders>
              <w:top w:val="nil"/>
              <w:left w:val="nil"/>
              <w:bottom w:val="nil"/>
              <w:right w:val="nil"/>
            </w:tcBorders>
          </w:tcPr>
          <w:p w14:paraId="043F64A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(1.41340e-03)</w:t>
            </w:r>
          </w:p>
        </w:tc>
        <w:tc>
          <w:tcPr>
            <w:tcW w:w="1589" w:type="dxa"/>
            <w:tcBorders>
              <w:top w:val="nil"/>
              <w:left w:val="nil"/>
              <w:bottom w:val="nil"/>
              <w:right w:val="nil"/>
            </w:tcBorders>
          </w:tcPr>
          <w:p w14:paraId="0F05629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(1.39931e-03)</w:t>
            </w:r>
          </w:p>
        </w:tc>
      </w:tr>
      <w:tr w:rsidR="00CA0B89" w:rsidRPr="00CA0B89" w14:paraId="72C6D98F" w14:textId="77777777" w:rsidTr="00B5127E">
        <w:trPr>
          <w:trHeight w:val="263"/>
        </w:trPr>
        <w:tc>
          <w:tcPr>
            <w:tcW w:w="2450" w:type="dxa"/>
            <w:tcBorders>
              <w:top w:val="nil"/>
              <w:left w:val="nil"/>
              <w:bottom w:val="nil"/>
              <w:right w:val="nil"/>
            </w:tcBorders>
          </w:tcPr>
          <w:p w14:paraId="1AD523B4"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Capital Structure</w:t>
            </w:r>
          </w:p>
        </w:tc>
        <w:tc>
          <w:tcPr>
            <w:tcW w:w="1589" w:type="dxa"/>
            <w:tcBorders>
              <w:top w:val="nil"/>
              <w:left w:val="nil"/>
              <w:bottom w:val="nil"/>
              <w:right w:val="nil"/>
            </w:tcBorders>
          </w:tcPr>
          <w:p w14:paraId="7DC77ED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-0.007</w:t>
            </w:r>
          </w:p>
        </w:tc>
        <w:tc>
          <w:tcPr>
            <w:tcW w:w="1589" w:type="dxa"/>
            <w:tcBorders>
              <w:top w:val="nil"/>
              <w:left w:val="nil"/>
              <w:bottom w:val="nil"/>
              <w:right w:val="nil"/>
            </w:tcBorders>
          </w:tcPr>
          <w:p w14:paraId="6959DEC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-0.004</w:t>
            </w:r>
          </w:p>
        </w:tc>
        <w:tc>
          <w:tcPr>
            <w:tcW w:w="1589" w:type="dxa"/>
            <w:tcBorders>
              <w:top w:val="nil"/>
              <w:left w:val="nil"/>
              <w:bottom w:val="nil"/>
              <w:right w:val="nil"/>
            </w:tcBorders>
          </w:tcPr>
          <w:p w14:paraId="37C3C4F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-0.011</w:t>
            </w:r>
          </w:p>
        </w:tc>
        <w:tc>
          <w:tcPr>
            <w:tcW w:w="1589" w:type="dxa"/>
            <w:tcBorders>
              <w:top w:val="nil"/>
              <w:left w:val="nil"/>
              <w:bottom w:val="nil"/>
              <w:right w:val="nil"/>
            </w:tcBorders>
          </w:tcPr>
          <w:p w14:paraId="6C6827A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-0.004</w:t>
            </w:r>
          </w:p>
        </w:tc>
      </w:tr>
      <w:tr w:rsidR="00CA0B89" w:rsidRPr="00CA0B89" w14:paraId="54FD0AF9" w14:textId="77777777" w:rsidTr="00B5127E">
        <w:trPr>
          <w:trHeight w:val="263"/>
        </w:trPr>
        <w:tc>
          <w:tcPr>
            <w:tcW w:w="2450" w:type="dxa"/>
            <w:tcBorders>
              <w:top w:val="nil"/>
              <w:left w:val="nil"/>
              <w:bottom w:val="nil"/>
              <w:right w:val="nil"/>
            </w:tcBorders>
          </w:tcPr>
          <w:p w14:paraId="51952854"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6238EF3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(4.54951e-03)</w:t>
            </w:r>
          </w:p>
        </w:tc>
        <w:tc>
          <w:tcPr>
            <w:tcW w:w="1589" w:type="dxa"/>
            <w:tcBorders>
              <w:top w:val="nil"/>
              <w:left w:val="nil"/>
              <w:bottom w:val="nil"/>
              <w:right w:val="nil"/>
            </w:tcBorders>
          </w:tcPr>
          <w:p w14:paraId="3D3DDC8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(3.99996e-03)</w:t>
            </w:r>
          </w:p>
        </w:tc>
        <w:tc>
          <w:tcPr>
            <w:tcW w:w="1589" w:type="dxa"/>
            <w:tcBorders>
              <w:top w:val="nil"/>
              <w:left w:val="nil"/>
              <w:bottom w:val="nil"/>
              <w:right w:val="nil"/>
            </w:tcBorders>
          </w:tcPr>
          <w:p w14:paraId="094144AA"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(7.09049e-03)</w:t>
            </w:r>
          </w:p>
        </w:tc>
        <w:tc>
          <w:tcPr>
            <w:tcW w:w="1589" w:type="dxa"/>
            <w:tcBorders>
              <w:top w:val="nil"/>
              <w:left w:val="nil"/>
              <w:bottom w:val="nil"/>
              <w:right w:val="nil"/>
            </w:tcBorders>
          </w:tcPr>
          <w:p w14:paraId="27F3F4A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(6.17188e-03)</w:t>
            </w:r>
          </w:p>
        </w:tc>
      </w:tr>
      <w:tr w:rsidR="00CA0B89" w:rsidRPr="00CA0B89" w14:paraId="6ADED210" w14:textId="77777777" w:rsidTr="00B5127E">
        <w:trPr>
          <w:trHeight w:val="263"/>
        </w:trPr>
        <w:tc>
          <w:tcPr>
            <w:tcW w:w="2450" w:type="dxa"/>
            <w:tcBorders>
              <w:top w:val="nil"/>
              <w:left w:val="nil"/>
              <w:bottom w:val="nil"/>
              <w:right w:val="nil"/>
            </w:tcBorders>
          </w:tcPr>
          <w:p w14:paraId="0A9AD2AB"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Growth</w:t>
            </w:r>
          </w:p>
        </w:tc>
        <w:tc>
          <w:tcPr>
            <w:tcW w:w="1589" w:type="dxa"/>
            <w:tcBorders>
              <w:top w:val="nil"/>
              <w:left w:val="nil"/>
              <w:bottom w:val="nil"/>
              <w:right w:val="nil"/>
            </w:tcBorders>
          </w:tcPr>
          <w:p w14:paraId="7090A64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0.009**</w:t>
            </w:r>
          </w:p>
        </w:tc>
        <w:tc>
          <w:tcPr>
            <w:tcW w:w="1589" w:type="dxa"/>
            <w:tcBorders>
              <w:top w:val="nil"/>
              <w:left w:val="nil"/>
              <w:bottom w:val="nil"/>
              <w:right w:val="nil"/>
            </w:tcBorders>
          </w:tcPr>
          <w:p w14:paraId="7848394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0.004</w:t>
            </w:r>
          </w:p>
        </w:tc>
        <w:tc>
          <w:tcPr>
            <w:tcW w:w="1589" w:type="dxa"/>
            <w:tcBorders>
              <w:top w:val="nil"/>
              <w:left w:val="nil"/>
              <w:bottom w:val="nil"/>
              <w:right w:val="nil"/>
            </w:tcBorders>
          </w:tcPr>
          <w:p w14:paraId="05C93A7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0.009**</w:t>
            </w:r>
          </w:p>
        </w:tc>
        <w:tc>
          <w:tcPr>
            <w:tcW w:w="1589" w:type="dxa"/>
            <w:tcBorders>
              <w:top w:val="nil"/>
              <w:left w:val="nil"/>
              <w:bottom w:val="nil"/>
              <w:right w:val="nil"/>
            </w:tcBorders>
          </w:tcPr>
          <w:p w14:paraId="13D4EEE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0.007</w:t>
            </w:r>
          </w:p>
        </w:tc>
      </w:tr>
      <w:tr w:rsidR="00CA0B89" w:rsidRPr="00CA0B89" w14:paraId="6D281776" w14:textId="77777777" w:rsidTr="00B5127E">
        <w:trPr>
          <w:trHeight w:val="263"/>
        </w:trPr>
        <w:tc>
          <w:tcPr>
            <w:tcW w:w="2450" w:type="dxa"/>
            <w:tcBorders>
              <w:top w:val="nil"/>
              <w:left w:val="nil"/>
              <w:bottom w:val="nil"/>
              <w:right w:val="nil"/>
            </w:tcBorders>
          </w:tcPr>
          <w:p w14:paraId="012D9319"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4C70CD1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(3.69792e-03)</w:t>
            </w:r>
          </w:p>
        </w:tc>
        <w:tc>
          <w:tcPr>
            <w:tcW w:w="1589" w:type="dxa"/>
            <w:tcBorders>
              <w:top w:val="nil"/>
              <w:left w:val="nil"/>
              <w:bottom w:val="nil"/>
              <w:right w:val="nil"/>
            </w:tcBorders>
          </w:tcPr>
          <w:p w14:paraId="1E79EA1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(3.26061e-03)</w:t>
            </w:r>
          </w:p>
        </w:tc>
        <w:tc>
          <w:tcPr>
            <w:tcW w:w="1589" w:type="dxa"/>
            <w:tcBorders>
              <w:top w:val="nil"/>
              <w:left w:val="nil"/>
              <w:bottom w:val="nil"/>
              <w:right w:val="nil"/>
            </w:tcBorders>
          </w:tcPr>
          <w:p w14:paraId="461652C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(4.41418e-03)</w:t>
            </w:r>
          </w:p>
        </w:tc>
        <w:tc>
          <w:tcPr>
            <w:tcW w:w="1589" w:type="dxa"/>
            <w:tcBorders>
              <w:top w:val="nil"/>
              <w:left w:val="nil"/>
              <w:bottom w:val="nil"/>
              <w:right w:val="nil"/>
            </w:tcBorders>
          </w:tcPr>
          <w:p w14:paraId="6171FDF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(4.38348e-03)</w:t>
            </w:r>
          </w:p>
        </w:tc>
      </w:tr>
      <w:tr w:rsidR="00CA0B89" w:rsidRPr="00CA0B89" w14:paraId="6631BAE7" w14:textId="77777777" w:rsidTr="00B5127E">
        <w:trPr>
          <w:trHeight w:val="263"/>
        </w:trPr>
        <w:tc>
          <w:tcPr>
            <w:tcW w:w="2450" w:type="dxa"/>
            <w:tcBorders>
              <w:top w:val="nil"/>
              <w:left w:val="nil"/>
              <w:bottom w:val="nil"/>
              <w:right w:val="nil"/>
            </w:tcBorders>
          </w:tcPr>
          <w:p w14:paraId="3618EEF2"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Liquidity</w:t>
            </w:r>
          </w:p>
        </w:tc>
        <w:tc>
          <w:tcPr>
            <w:tcW w:w="1589" w:type="dxa"/>
            <w:tcBorders>
              <w:top w:val="nil"/>
              <w:left w:val="nil"/>
              <w:bottom w:val="nil"/>
              <w:right w:val="nil"/>
            </w:tcBorders>
          </w:tcPr>
          <w:p w14:paraId="7593951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0.063***</w:t>
            </w:r>
          </w:p>
        </w:tc>
        <w:tc>
          <w:tcPr>
            <w:tcW w:w="1589" w:type="dxa"/>
            <w:tcBorders>
              <w:top w:val="nil"/>
              <w:left w:val="nil"/>
              <w:bottom w:val="nil"/>
              <w:right w:val="nil"/>
            </w:tcBorders>
          </w:tcPr>
          <w:p w14:paraId="39CBE27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0.047***</w:t>
            </w:r>
          </w:p>
        </w:tc>
        <w:tc>
          <w:tcPr>
            <w:tcW w:w="1589" w:type="dxa"/>
            <w:tcBorders>
              <w:top w:val="nil"/>
              <w:left w:val="nil"/>
              <w:bottom w:val="nil"/>
              <w:right w:val="nil"/>
            </w:tcBorders>
          </w:tcPr>
          <w:p w14:paraId="5DBB7E7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0.043**</w:t>
            </w:r>
          </w:p>
        </w:tc>
        <w:tc>
          <w:tcPr>
            <w:tcW w:w="1589" w:type="dxa"/>
            <w:tcBorders>
              <w:top w:val="nil"/>
              <w:left w:val="nil"/>
              <w:bottom w:val="nil"/>
              <w:right w:val="nil"/>
            </w:tcBorders>
          </w:tcPr>
          <w:p w14:paraId="7CEE8A0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0.035**</w:t>
            </w:r>
          </w:p>
        </w:tc>
      </w:tr>
      <w:tr w:rsidR="00CA0B89" w:rsidRPr="00CA0B89" w14:paraId="67059D03" w14:textId="77777777" w:rsidTr="00B5127E">
        <w:trPr>
          <w:trHeight w:val="263"/>
        </w:trPr>
        <w:tc>
          <w:tcPr>
            <w:tcW w:w="2450" w:type="dxa"/>
            <w:tcBorders>
              <w:top w:val="nil"/>
              <w:left w:val="nil"/>
              <w:bottom w:val="nil"/>
              <w:right w:val="nil"/>
            </w:tcBorders>
          </w:tcPr>
          <w:p w14:paraId="1CDC2F13"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4606A8B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(1.72534e-02)</w:t>
            </w:r>
          </w:p>
        </w:tc>
        <w:tc>
          <w:tcPr>
            <w:tcW w:w="1589" w:type="dxa"/>
            <w:tcBorders>
              <w:top w:val="nil"/>
              <w:left w:val="nil"/>
              <w:bottom w:val="nil"/>
              <w:right w:val="nil"/>
            </w:tcBorders>
          </w:tcPr>
          <w:p w14:paraId="08846DC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(1.53119e-02)</w:t>
            </w:r>
          </w:p>
        </w:tc>
        <w:tc>
          <w:tcPr>
            <w:tcW w:w="1589" w:type="dxa"/>
            <w:tcBorders>
              <w:top w:val="nil"/>
              <w:left w:val="nil"/>
              <w:bottom w:val="nil"/>
              <w:right w:val="nil"/>
            </w:tcBorders>
          </w:tcPr>
          <w:p w14:paraId="5B73015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(1.85345e-02)</w:t>
            </w:r>
          </w:p>
        </w:tc>
        <w:tc>
          <w:tcPr>
            <w:tcW w:w="1589" w:type="dxa"/>
            <w:tcBorders>
              <w:top w:val="nil"/>
              <w:left w:val="nil"/>
              <w:bottom w:val="nil"/>
              <w:right w:val="nil"/>
            </w:tcBorders>
          </w:tcPr>
          <w:p w14:paraId="660849D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(1.72396e-02)</w:t>
            </w:r>
          </w:p>
        </w:tc>
      </w:tr>
      <w:tr w:rsidR="00CA0B89" w:rsidRPr="00CA0B89" w14:paraId="7B4E3263" w14:textId="77777777" w:rsidTr="00B5127E">
        <w:trPr>
          <w:trHeight w:val="263"/>
        </w:trPr>
        <w:tc>
          <w:tcPr>
            <w:tcW w:w="2450" w:type="dxa"/>
            <w:tcBorders>
              <w:top w:val="nil"/>
              <w:left w:val="nil"/>
              <w:bottom w:val="nil"/>
              <w:right w:val="nil"/>
            </w:tcBorders>
          </w:tcPr>
          <w:p w14:paraId="5D65691C"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Size</w:t>
            </w:r>
          </w:p>
        </w:tc>
        <w:tc>
          <w:tcPr>
            <w:tcW w:w="1589" w:type="dxa"/>
            <w:tcBorders>
              <w:top w:val="nil"/>
              <w:left w:val="nil"/>
              <w:bottom w:val="nil"/>
              <w:right w:val="nil"/>
            </w:tcBorders>
          </w:tcPr>
          <w:p w14:paraId="167E3C0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0.006</w:t>
            </w:r>
          </w:p>
        </w:tc>
        <w:tc>
          <w:tcPr>
            <w:tcW w:w="1589" w:type="dxa"/>
            <w:tcBorders>
              <w:top w:val="nil"/>
              <w:left w:val="nil"/>
              <w:bottom w:val="nil"/>
              <w:right w:val="nil"/>
            </w:tcBorders>
          </w:tcPr>
          <w:p w14:paraId="03D19EC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0.025***</w:t>
            </w:r>
          </w:p>
        </w:tc>
        <w:tc>
          <w:tcPr>
            <w:tcW w:w="1589" w:type="dxa"/>
            <w:tcBorders>
              <w:top w:val="nil"/>
              <w:left w:val="nil"/>
              <w:bottom w:val="nil"/>
              <w:right w:val="nil"/>
            </w:tcBorders>
          </w:tcPr>
          <w:p w14:paraId="1BC40D2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-0.002</w:t>
            </w:r>
          </w:p>
        </w:tc>
        <w:tc>
          <w:tcPr>
            <w:tcW w:w="1589" w:type="dxa"/>
            <w:tcBorders>
              <w:top w:val="nil"/>
              <w:left w:val="nil"/>
              <w:bottom w:val="nil"/>
              <w:right w:val="nil"/>
            </w:tcBorders>
          </w:tcPr>
          <w:p w14:paraId="4B39967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-0.021</w:t>
            </w:r>
          </w:p>
        </w:tc>
      </w:tr>
      <w:tr w:rsidR="00CA0B89" w:rsidRPr="00CA0B89" w14:paraId="538797AA" w14:textId="77777777" w:rsidTr="00B5127E">
        <w:trPr>
          <w:trHeight w:val="263"/>
        </w:trPr>
        <w:tc>
          <w:tcPr>
            <w:tcW w:w="2450" w:type="dxa"/>
            <w:tcBorders>
              <w:top w:val="nil"/>
              <w:left w:val="nil"/>
              <w:bottom w:val="nil"/>
              <w:right w:val="nil"/>
            </w:tcBorders>
          </w:tcPr>
          <w:p w14:paraId="01EFF408"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6D71985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(9.64916e-03)</w:t>
            </w:r>
          </w:p>
        </w:tc>
        <w:tc>
          <w:tcPr>
            <w:tcW w:w="1589" w:type="dxa"/>
            <w:tcBorders>
              <w:top w:val="nil"/>
              <w:left w:val="nil"/>
              <w:bottom w:val="nil"/>
              <w:right w:val="nil"/>
            </w:tcBorders>
          </w:tcPr>
          <w:p w14:paraId="39ED4B3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(8.58276e-03)</w:t>
            </w:r>
          </w:p>
        </w:tc>
        <w:tc>
          <w:tcPr>
            <w:tcW w:w="1589" w:type="dxa"/>
            <w:tcBorders>
              <w:top w:val="nil"/>
              <w:left w:val="nil"/>
              <w:bottom w:val="nil"/>
              <w:right w:val="nil"/>
            </w:tcBorders>
          </w:tcPr>
          <w:p w14:paraId="5F6B948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(1.70610e-02)</w:t>
            </w:r>
          </w:p>
        </w:tc>
        <w:tc>
          <w:tcPr>
            <w:tcW w:w="1589" w:type="dxa"/>
            <w:tcBorders>
              <w:top w:val="nil"/>
              <w:left w:val="nil"/>
              <w:bottom w:val="nil"/>
              <w:right w:val="nil"/>
            </w:tcBorders>
          </w:tcPr>
          <w:p w14:paraId="3D2F1D6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(1.64106e-02)</w:t>
            </w:r>
          </w:p>
        </w:tc>
      </w:tr>
      <w:tr w:rsidR="00CA0B89" w:rsidRPr="00CA0B89" w14:paraId="66600BAF" w14:textId="77777777" w:rsidTr="00B5127E">
        <w:trPr>
          <w:trHeight w:val="263"/>
        </w:trPr>
        <w:tc>
          <w:tcPr>
            <w:tcW w:w="2450" w:type="dxa"/>
            <w:tcBorders>
              <w:top w:val="nil"/>
              <w:left w:val="nil"/>
              <w:bottom w:val="nil"/>
              <w:right w:val="nil"/>
            </w:tcBorders>
          </w:tcPr>
          <w:p w14:paraId="13D224C9"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1</w:t>
            </w:r>
          </w:p>
        </w:tc>
        <w:tc>
          <w:tcPr>
            <w:tcW w:w="1589" w:type="dxa"/>
            <w:tcBorders>
              <w:top w:val="nil"/>
              <w:left w:val="nil"/>
              <w:bottom w:val="nil"/>
              <w:right w:val="nil"/>
            </w:tcBorders>
          </w:tcPr>
          <w:p w14:paraId="7FD9E63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-0.268***</w:t>
            </w:r>
          </w:p>
        </w:tc>
        <w:tc>
          <w:tcPr>
            <w:tcW w:w="1589" w:type="dxa"/>
            <w:tcBorders>
              <w:top w:val="nil"/>
              <w:left w:val="nil"/>
              <w:bottom w:val="nil"/>
              <w:right w:val="nil"/>
            </w:tcBorders>
          </w:tcPr>
          <w:p w14:paraId="6560E85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-0.197**</w:t>
            </w:r>
          </w:p>
        </w:tc>
        <w:tc>
          <w:tcPr>
            <w:tcW w:w="1589" w:type="dxa"/>
            <w:tcBorders>
              <w:top w:val="nil"/>
              <w:left w:val="nil"/>
              <w:bottom w:val="nil"/>
              <w:right w:val="nil"/>
            </w:tcBorders>
          </w:tcPr>
          <w:p w14:paraId="51BDA22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7303730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238DCC26" w14:textId="77777777" w:rsidTr="00B5127E">
        <w:trPr>
          <w:trHeight w:val="263"/>
        </w:trPr>
        <w:tc>
          <w:tcPr>
            <w:tcW w:w="2450" w:type="dxa"/>
            <w:tcBorders>
              <w:top w:val="nil"/>
              <w:left w:val="nil"/>
              <w:bottom w:val="nil"/>
              <w:right w:val="nil"/>
            </w:tcBorders>
          </w:tcPr>
          <w:p w14:paraId="0DAD3170"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484E48A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(9.24068e-02)</w:t>
            </w:r>
          </w:p>
        </w:tc>
        <w:tc>
          <w:tcPr>
            <w:tcW w:w="1589" w:type="dxa"/>
            <w:tcBorders>
              <w:top w:val="nil"/>
              <w:left w:val="nil"/>
              <w:bottom w:val="nil"/>
              <w:right w:val="nil"/>
            </w:tcBorders>
          </w:tcPr>
          <w:p w14:paraId="7E4582D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(7.83639e-02)</w:t>
            </w:r>
          </w:p>
        </w:tc>
        <w:tc>
          <w:tcPr>
            <w:tcW w:w="1589" w:type="dxa"/>
            <w:tcBorders>
              <w:top w:val="nil"/>
              <w:left w:val="nil"/>
              <w:bottom w:val="nil"/>
              <w:right w:val="nil"/>
            </w:tcBorders>
          </w:tcPr>
          <w:p w14:paraId="4BB91B9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1765482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3D207FC2" w14:textId="77777777" w:rsidTr="00B5127E">
        <w:trPr>
          <w:trHeight w:val="263"/>
        </w:trPr>
        <w:tc>
          <w:tcPr>
            <w:tcW w:w="2450" w:type="dxa"/>
            <w:tcBorders>
              <w:top w:val="nil"/>
              <w:left w:val="nil"/>
              <w:bottom w:val="nil"/>
              <w:right w:val="nil"/>
            </w:tcBorders>
          </w:tcPr>
          <w:p w14:paraId="11DD8854"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2</w:t>
            </w:r>
          </w:p>
        </w:tc>
        <w:tc>
          <w:tcPr>
            <w:tcW w:w="1589" w:type="dxa"/>
            <w:tcBorders>
              <w:top w:val="nil"/>
              <w:left w:val="nil"/>
              <w:bottom w:val="nil"/>
              <w:right w:val="nil"/>
            </w:tcBorders>
          </w:tcPr>
          <w:p w14:paraId="7AC3ACA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-0.072***</w:t>
            </w:r>
          </w:p>
        </w:tc>
        <w:tc>
          <w:tcPr>
            <w:tcW w:w="1589" w:type="dxa"/>
            <w:tcBorders>
              <w:top w:val="nil"/>
              <w:left w:val="nil"/>
              <w:bottom w:val="nil"/>
              <w:right w:val="nil"/>
            </w:tcBorders>
          </w:tcPr>
          <w:p w14:paraId="3FC4182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-0.034*</w:t>
            </w:r>
          </w:p>
        </w:tc>
        <w:tc>
          <w:tcPr>
            <w:tcW w:w="1589" w:type="dxa"/>
            <w:tcBorders>
              <w:top w:val="nil"/>
              <w:left w:val="nil"/>
              <w:bottom w:val="nil"/>
              <w:right w:val="nil"/>
            </w:tcBorders>
          </w:tcPr>
          <w:p w14:paraId="60DE752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5140C70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4F5A5008" w14:textId="77777777" w:rsidTr="00B5127E">
        <w:trPr>
          <w:trHeight w:val="61"/>
        </w:trPr>
        <w:tc>
          <w:tcPr>
            <w:tcW w:w="2450" w:type="dxa"/>
            <w:tcBorders>
              <w:top w:val="nil"/>
              <w:left w:val="nil"/>
              <w:bottom w:val="nil"/>
              <w:right w:val="nil"/>
            </w:tcBorders>
          </w:tcPr>
          <w:p w14:paraId="22D20700"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6E63567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(2.02856e-02)</w:t>
            </w:r>
          </w:p>
        </w:tc>
        <w:tc>
          <w:tcPr>
            <w:tcW w:w="1589" w:type="dxa"/>
            <w:tcBorders>
              <w:top w:val="nil"/>
              <w:left w:val="nil"/>
              <w:bottom w:val="nil"/>
              <w:right w:val="nil"/>
            </w:tcBorders>
          </w:tcPr>
          <w:p w14:paraId="73F8769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(1.79185e-02)</w:t>
            </w:r>
          </w:p>
        </w:tc>
        <w:tc>
          <w:tcPr>
            <w:tcW w:w="1589" w:type="dxa"/>
            <w:tcBorders>
              <w:top w:val="nil"/>
              <w:left w:val="nil"/>
              <w:bottom w:val="nil"/>
              <w:right w:val="nil"/>
            </w:tcBorders>
          </w:tcPr>
          <w:p w14:paraId="1DEB09D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5CE4C4A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220E735D" w14:textId="77777777" w:rsidTr="00B5127E">
        <w:trPr>
          <w:trHeight w:val="263"/>
        </w:trPr>
        <w:tc>
          <w:tcPr>
            <w:tcW w:w="2450" w:type="dxa"/>
            <w:tcBorders>
              <w:top w:val="nil"/>
              <w:left w:val="nil"/>
              <w:bottom w:val="nil"/>
              <w:right w:val="nil"/>
            </w:tcBorders>
          </w:tcPr>
          <w:p w14:paraId="56BD104E"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3</w:t>
            </w:r>
          </w:p>
        </w:tc>
        <w:tc>
          <w:tcPr>
            <w:tcW w:w="1589" w:type="dxa"/>
            <w:tcBorders>
              <w:top w:val="nil"/>
              <w:left w:val="nil"/>
              <w:bottom w:val="nil"/>
              <w:right w:val="nil"/>
            </w:tcBorders>
          </w:tcPr>
          <w:p w14:paraId="2E27728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-0.028**</w:t>
            </w:r>
          </w:p>
        </w:tc>
        <w:tc>
          <w:tcPr>
            <w:tcW w:w="1589" w:type="dxa"/>
            <w:tcBorders>
              <w:top w:val="nil"/>
              <w:left w:val="nil"/>
              <w:bottom w:val="nil"/>
              <w:right w:val="nil"/>
            </w:tcBorders>
          </w:tcPr>
          <w:p w14:paraId="3A6177F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-0.015</w:t>
            </w:r>
          </w:p>
        </w:tc>
        <w:tc>
          <w:tcPr>
            <w:tcW w:w="1589" w:type="dxa"/>
            <w:tcBorders>
              <w:top w:val="nil"/>
              <w:left w:val="nil"/>
              <w:bottom w:val="nil"/>
              <w:right w:val="nil"/>
            </w:tcBorders>
          </w:tcPr>
          <w:p w14:paraId="484501A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1A5DF86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1F47FD4B" w14:textId="77777777" w:rsidTr="00B5127E">
        <w:trPr>
          <w:trHeight w:val="263"/>
        </w:trPr>
        <w:tc>
          <w:tcPr>
            <w:tcW w:w="2450" w:type="dxa"/>
            <w:tcBorders>
              <w:top w:val="nil"/>
              <w:left w:val="nil"/>
              <w:bottom w:val="nil"/>
              <w:right w:val="nil"/>
            </w:tcBorders>
          </w:tcPr>
          <w:p w14:paraId="1F6C6D43"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1DA858D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(1.32392e-02)</w:t>
            </w:r>
          </w:p>
        </w:tc>
        <w:tc>
          <w:tcPr>
            <w:tcW w:w="1589" w:type="dxa"/>
            <w:tcBorders>
              <w:top w:val="nil"/>
              <w:left w:val="nil"/>
              <w:bottom w:val="nil"/>
              <w:right w:val="nil"/>
            </w:tcBorders>
          </w:tcPr>
          <w:p w14:paraId="5E64FE1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(1.22126e-02)</w:t>
            </w:r>
          </w:p>
        </w:tc>
        <w:tc>
          <w:tcPr>
            <w:tcW w:w="1589" w:type="dxa"/>
            <w:tcBorders>
              <w:top w:val="nil"/>
              <w:left w:val="nil"/>
              <w:bottom w:val="nil"/>
              <w:right w:val="nil"/>
            </w:tcBorders>
          </w:tcPr>
          <w:p w14:paraId="63752F0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2199AB2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54E0169D" w14:textId="77777777" w:rsidTr="00B5127E">
        <w:trPr>
          <w:trHeight w:val="263"/>
        </w:trPr>
        <w:tc>
          <w:tcPr>
            <w:tcW w:w="2450" w:type="dxa"/>
            <w:tcBorders>
              <w:top w:val="nil"/>
              <w:left w:val="nil"/>
              <w:bottom w:val="nil"/>
              <w:right w:val="nil"/>
            </w:tcBorders>
          </w:tcPr>
          <w:p w14:paraId="27CCDEF8"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4</w:t>
            </w:r>
          </w:p>
        </w:tc>
        <w:tc>
          <w:tcPr>
            <w:tcW w:w="1589" w:type="dxa"/>
            <w:tcBorders>
              <w:top w:val="nil"/>
              <w:left w:val="nil"/>
              <w:bottom w:val="nil"/>
              <w:right w:val="nil"/>
            </w:tcBorders>
          </w:tcPr>
          <w:p w14:paraId="799296D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-0.040***</w:t>
            </w:r>
          </w:p>
        </w:tc>
        <w:tc>
          <w:tcPr>
            <w:tcW w:w="1589" w:type="dxa"/>
            <w:tcBorders>
              <w:top w:val="nil"/>
              <w:left w:val="nil"/>
              <w:bottom w:val="nil"/>
              <w:right w:val="nil"/>
            </w:tcBorders>
          </w:tcPr>
          <w:p w14:paraId="07B1087A"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-0.019*</w:t>
            </w:r>
          </w:p>
        </w:tc>
        <w:tc>
          <w:tcPr>
            <w:tcW w:w="1589" w:type="dxa"/>
            <w:tcBorders>
              <w:top w:val="nil"/>
              <w:left w:val="nil"/>
              <w:bottom w:val="nil"/>
              <w:right w:val="nil"/>
            </w:tcBorders>
          </w:tcPr>
          <w:p w14:paraId="2D9EF27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45C9416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3C381819" w14:textId="77777777" w:rsidTr="00B5127E">
        <w:trPr>
          <w:trHeight w:val="263"/>
        </w:trPr>
        <w:tc>
          <w:tcPr>
            <w:tcW w:w="2450" w:type="dxa"/>
            <w:tcBorders>
              <w:top w:val="nil"/>
              <w:left w:val="nil"/>
              <w:bottom w:val="nil"/>
              <w:right w:val="nil"/>
            </w:tcBorders>
          </w:tcPr>
          <w:p w14:paraId="33D07654"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5F58409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(1.05758e-02)</w:t>
            </w:r>
          </w:p>
        </w:tc>
        <w:tc>
          <w:tcPr>
            <w:tcW w:w="1589" w:type="dxa"/>
            <w:tcBorders>
              <w:top w:val="nil"/>
              <w:left w:val="nil"/>
              <w:bottom w:val="nil"/>
              <w:right w:val="nil"/>
            </w:tcBorders>
          </w:tcPr>
          <w:p w14:paraId="57B1E28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(1.01089e-02)</w:t>
            </w:r>
          </w:p>
        </w:tc>
        <w:tc>
          <w:tcPr>
            <w:tcW w:w="1589" w:type="dxa"/>
            <w:tcBorders>
              <w:top w:val="nil"/>
              <w:left w:val="nil"/>
              <w:bottom w:val="nil"/>
              <w:right w:val="nil"/>
            </w:tcBorders>
          </w:tcPr>
          <w:p w14:paraId="5E4C257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2A45361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305BD608" w14:textId="77777777" w:rsidTr="00B5127E">
        <w:trPr>
          <w:trHeight w:val="263"/>
        </w:trPr>
        <w:tc>
          <w:tcPr>
            <w:tcW w:w="2450" w:type="dxa"/>
            <w:tcBorders>
              <w:top w:val="nil"/>
              <w:left w:val="nil"/>
              <w:bottom w:val="nil"/>
              <w:right w:val="nil"/>
            </w:tcBorders>
          </w:tcPr>
          <w:p w14:paraId="4F013C77"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5</w:t>
            </w:r>
          </w:p>
        </w:tc>
        <w:tc>
          <w:tcPr>
            <w:tcW w:w="1589" w:type="dxa"/>
            <w:tcBorders>
              <w:top w:val="nil"/>
              <w:left w:val="nil"/>
              <w:bottom w:val="nil"/>
              <w:right w:val="nil"/>
            </w:tcBorders>
          </w:tcPr>
          <w:p w14:paraId="7D7982B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-0.085***</w:t>
            </w:r>
          </w:p>
        </w:tc>
        <w:tc>
          <w:tcPr>
            <w:tcW w:w="1589" w:type="dxa"/>
            <w:tcBorders>
              <w:top w:val="nil"/>
              <w:left w:val="nil"/>
              <w:bottom w:val="nil"/>
              <w:right w:val="nil"/>
            </w:tcBorders>
          </w:tcPr>
          <w:p w14:paraId="3998660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-0.067***</w:t>
            </w:r>
          </w:p>
        </w:tc>
        <w:tc>
          <w:tcPr>
            <w:tcW w:w="1589" w:type="dxa"/>
            <w:tcBorders>
              <w:top w:val="nil"/>
              <w:left w:val="nil"/>
              <w:bottom w:val="nil"/>
              <w:right w:val="nil"/>
            </w:tcBorders>
          </w:tcPr>
          <w:p w14:paraId="268EA8D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49F0A7A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0EFE0580" w14:textId="77777777" w:rsidTr="00B5127E">
        <w:trPr>
          <w:trHeight w:val="263"/>
        </w:trPr>
        <w:tc>
          <w:tcPr>
            <w:tcW w:w="2450" w:type="dxa"/>
            <w:tcBorders>
              <w:top w:val="nil"/>
              <w:left w:val="nil"/>
              <w:bottom w:val="nil"/>
              <w:right w:val="nil"/>
            </w:tcBorders>
          </w:tcPr>
          <w:p w14:paraId="4E2EC520"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734D3CC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(1.18010e-02)</w:t>
            </w:r>
          </w:p>
        </w:tc>
        <w:tc>
          <w:tcPr>
            <w:tcW w:w="1589" w:type="dxa"/>
            <w:tcBorders>
              <w:top w:val="nil"/>
              <w:left w:val="nil"/>
              <w:bottom w:val="nil"/>
              <w:right w:val="nil"/>
            </w:tcBorders>
          </w:tcPr>
          <w:p w14:paraId="7520BA0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(1.16895e-02)</w:t>
            </w:r>
          </w:p>
        </w:tc>
        <w:tc>
          <w:tcPr>
            <w:tcW w:w="1589" w:type="dxa"/>
            <w:tcBorders>
              <w:top w:val="nil"/>
              <w:left w:val="nil"/>
              <w:bottom w:val="nil"/>
              <w:right w:val="nil"/>
            </w:tcBorders>
          </w:tcPr>
          <w:p w14:paraId="038DEA4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766154C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4318E07F" w14:textId="77777777" w:rsidTr="00B5127E">
        <w:trPr>
          <w:trHeight w:val="263"/>
        </w:trPr>
        <w:tc>
          <w:tcPr>
            <w:tcW w:w="2450" w:type="dxa"/>
            <w:tcBorders>
              <w:top w:val="nil"/>
              <w:left w:val="nil"/>
              <w:bottom w:val="nil"/>
              <w:right w:val="nil"/>
            </w:tcBorders>
          </w:tcPr>
          <w:p w14:paraId="4225C3C3"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6</w:t>
            </w:r>
          </w:p>
        </w:tc>
        <w:tc>
          <w:tcPr>
            <w:tcW w:w="1589" w:type="dxa"/>
            <w:tcBorders>
              <w:top w:val="nil"/>
              <w:left w:val="nil"/>
              <w:bottom w:val="nil"/>
              <w:right w:val="nil"/>
            </w:tcBorders>
          </w:tcPr>
          <w:p w14:paraId="3DD3D58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-0.037***</w:t>
            </w:r>
          </w:p>
        </w:tc>
        <w:tc>
          <w:tcPr>
            <w:tcW w:w="1589" w:type="dxa"/>
            <w:tcBorders>
              <w:top w:val="nil"/>
              <w:left w:val="nil"/>
              <w:bottom w:val="nil"/>
              <w:right w:val="nil"/>
            </w:tcBorders>
          </w:tcPr>
          <w:p w14:paraId="02B34CA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-0.020***</w:t>
            </w:r>
          </w:p>
        </w:tc>
        <w:tc>
          <w:tcPr>
            <w:tcW w:w="1589" w:type="dxa"/>
            <w:tcBorders>
              <w:top w:val="nil"/>
              <w:left w:val="nil"/>
              <w:bottom w:val="nil"/>
              <w:right w:val="nil"/>
            </w:tcBorders>
          </w:tcPr>
          <w:p w14:paraId="339137E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651A757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699C35F8" w14:textId="77777777" w:rsidTr="00B5127E">
        <w:trPr>
          <w:trHeight w:val="263"/>
        </w:trPr>
        <w:tc>
          <w:tcPr>
            <w:tcW w:w="2450" w:type="dxa"/>
            <w:tcBorders>
              <w:top w:val="nil"/>
              <w:left w:val="nil"/>
              <w:bottom w:val="nil"/>
              <w:right w:val="nil"/>
            </w:tcBorders>
          </w:tcPr>
          <w:p w14:paraId="2C693D8E"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5C6B4D1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(6.31793e-03)</w:t>
            </w:r>
          </w:p>
        </w:tc>
        <w:tc>
          <w:tcPr>
            <w:tcW w:w="1589" w:type="dxa"/>
            <w:tcBorders>
              <w:top w:val="nil"/>
              <w:left w:val="nil"/>
              <w:bottom w:val="nil"/>
              <w:right w:val="nil"/>
            </w:tcBorders>
          </w:tcPr>
          <w:p w14:paraId="1B7A849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(5.73933e-03)</w:t>
            </w:r>
          </w:p>
        </w:tc>
        <w:tc>
          <w:tcPr>
            <w:tcW w:w="1589" w:type="dxa"/>
            <w:tcBorders>
              <w:top w:val="nil"/>
              <w:left w:val="nil"/>
              <w:bottom w:val="nil"/>
              <w:right w:val="nil"/>
            </w:tcBorders>
          </w:tcPr>
          <w:p w14:paraId="463E598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60FD1F0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3B3ACCC4" w14:textId="77777777" w:rsidTr="00B5127E">
        <w:trPr>
          <w:trHeight w:val="263"/>
        </w:trPr>
        <w:tc>
          <w:tcPr>
            <w:tcW w:w="2450" w:type="dxa"/>
            <w:tcBorders>
              <w:top w:val="nil"/>
              <w:left w:val="nil"/>
              <w:bottom w:val="nil"/>
              <w:right w:val="nil"/>
            </w:tcBorders>
          </w:tcPr>
          <w:p w14:paraId="28CF508C"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Sector 7</w:t>
            </w:r>
          </w:p>
        </w:tc>
        <w:tc>
          <w:tcPr>
            <w:tcW w:w="1589" w:type="dxa"/>
            <w:tcBorders>
              <w:top w:val="nil"/>
              <w:left w:val="nil"/>
              <w:bottom w:val="nil"/>
              <w:right w:val="nil"/>
            </w:tcBorders>
          </w:tcPr>
          <w:p w14:paraId="3451E27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-0.069***</w:t>
            </w:r>
          </w:p>
        </w:tc>
        <w:tc>
          <w:tcPr>
            <w:tcW w:w="1589" w:type="dxa"/>
            <w:tcBorders>
              <w:top w:val="nil"/>
              <w:left w:val="nil"/>
              <w:bottom w:val="nil"/>
              <w:right w:val="nil"/>
            </w:tcBorders>
          </w:tcPr>
          <w:p w14:paraId="44693C9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-0.048***</w:t>
            </w:r>
          </w:p>
        </w:tc>
        <w:tc>
          <w:tcPr>
            <w:tcW w:w="1589" w:type="dxa"/>
            <w:tcBorders>
              <w:top w:val="nil"/>
              <w:left w:val="nil"/>
              <w:bottom w:val="nil"/>
              <w:right w:val="nil"/>
            </w:tcBorders>
          </w:tcPr>
          <w:p w14:paraId="1445DBB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570A250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35939312" w14:textId="77777777" w:rsidTr="00B5127E">
        <w:trPr>
          <w:trHeight w:val="263"/>
        </w:trPr>
        <w:tc>
          <w:tcPr>
            <w:tcW w:w="2450" w:type="dxa"/>
            <w:tcBorders>
              <w:top w:val="nil"/>
              <w:left w:val="nil"/>
              <w:bottom w:val="nil"/>
              <w:right w:val="nil"/>
            </w:tcBorders>
          </w:tcPr>
          <w:p w14:paraId="59CE4B86"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5A34491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(1.30742e-02)</w:t>
            </w:r>
          </w:p>
        </w:tc>
        <w:tc>
          <w:tcPr>
            <w:tcW w:w="1589" w:type="dxa"/>
            <w:tcBorders>
              <w:top w:val="nil"/>
              <w:left w:val="nil"/>
              <w:bottom w:val="nil"/>
              <w:right w:val="nil"/>
            </w:tcBorders>
          </w:tcPr>
          <w:p w14:paraId="22E4E96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(1.16240e-02)</w:t>
            </w:r>
          </w:p>
        </w:tc>
        <w:tc>
          <w:tcPr>
            <w:tcW w:w="1589" w:type="dxa"/>
            <w:tcBorders>
              <w:top w:val="nil"/>
              <w:left w:val="nil"/>
              <w:bottom w:val="nil"/>
              <w:right w:val="nil"/>
            </w:tcBorders>
          </w:tcPr>
          <w:p w14:paraId="42DAB31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5B1451D1"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4899E1BE" w14:textId="77777777" w:rsidTr="00B5127E">
        <w:trPr>
          <w:trHeight w:val="263"/>
        </w:trPr>
        <w:tc>
          <w:tcPr>
            <w:tcW w:w="2450" w:type="dxa"/>
            <w:tcBorders>
              <w:top w:val="nil"/>
              <w:left w:val="nil"/>
              <w:bottom w:val="nil"/>
              <w:right w:val="nil"/>
            </w:tcBorders>
          </w:tcPr>
          <w:p w14:paraId="797DF2B3"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Constant</w:t>
            </w:r>
          </w:p>
        </w:tc>
        <w:tc>
          <w:tcPr>
            <w:tcW w:w="1589" w:type="dxa"/>
            <w:tcBorders>
              <w:top w:val="nil"/>
              <w:left w:val="nil"/>
              <w:bottom w:val="nil"/>
              <w:right w:val="nil"/>
            </w:tcBorders>
          </w:tcPr>
          <w:p w14:paraId="6FD4C31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0.264</w:t>
            </w:r>
          </w:p>
        </w:tc>
        <w:tc>
          <w:tcPr>
            <w:tcW w:w="1589" w:type="dxa"/>
            <w:tcBorders>
              <w:top w:val="nil"/>
              <w:left w:val="nil"/>
              <w:bottom w:val="nil"/>
              <w:right w:val="nil"/>
            </w:tcBorders>
          </w:tcPr>
          <w:p w14:paraId="504C881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-0.102</w:t>
            </w:r>
          </w:p>
        </w:tc>
        <w:tc>
          <w:tcPr>
            <w:tcW w:w="1589" w:type="dxa"/>
            <w:tcBorders>
              <w:top w:val="nil"/>
              <w:left w:val="nil"/>
              <w:bottom w:val="nil"/>
              <w:right w:val="nil"/>
            </w:tcBorders>
          </w:tcPr>
          <w:p w14:paraId="230DD29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0.318</w:t>
            </w:r>
          </w:p>
        </w:tc>
        <w:tc>
          <w:tcPr>
            <w:tcW w:w="1589" w:type="dxa"/>
            <w:tcBorders>
              <w:top w:val="nil"/>
              <w:left w:val="nil"/>
              <w:bottom w:val="nil"/>
              <w:right w:val="nil"/>
            </w:tcBorders>
          </w:tcPr>
          <w:p w14:paraId="6455BF5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0.594**</w:t>
            </w:r>
          </w:p>
        </w:tc>
      </w:tr>
      <w:tr w:rsidR="00CA0B89" w:rsidRPr="00CA0B89" w14:paraId="6069B9C9" w14:textId="77777777" w:rsidTr="00B5127E">
        <w:trPr>
          <w:trHeight w:val="263"/>
        </w:trPr>
        <w:tc>
          <w:tcPr>
            <w:tcW w:w="2450" w:type="dxa"/>
            <w:tcBorders>
              <w:top w:val="nil"/>
              <w:left w:val="nil"/>
              <w:bottom w:val="nil"/>
              <w:right w:val="nil"/>
            </w:tcBorders>
          </w:tcPr>
          <w:p w14:paraId="527602E6"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145A195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(1.65595e-01)</w:t>
            </w:r>
          </w:p>
        </w:tc>
        <w:tc>
          <w:tcPr>
            <w:tcW w:w="1589" w:type="dxa"/>
            <w:tcBorders>
              <w:top w:val="nil"/>
              <w:left w:val="nil"/>
              <w:bottom w:val="nil"/>
              <w:right w:val="nil"/>
            </w:tcBorders>
          </w:tcPr>
          <w:p w14:paraId="5F8A9B4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(1.47034e-01)</w:t>
            </w:r>
          </w:p>
        </w:tc>
        <w:tc>
          <w:tcPr>
            <w:tcW w:w="1589" w:type="dxa"/>
            <w:tcBorders>
              <w:top w:val="nil"/>
              <w:left w:val="nil"/>
              <w:bottom w:val="nil"/>
              <w:right w:val="nil"/>
            </w:tcBorders>
          </w:tcPr>
          <w:p w14:paraId="6374FFD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(2.71383e-01)</w:t>
            </w:r>
          </w:p>
        </w:tc>
        <w:tc>
          <w:tcPr>
            <w:tcW w:w="1589" w:type="dxa"/>
            <w:tcBorders>
              <w:top w:val="nil"/>
              <w:left w:val="nil"/>
              <w:bottom w:val="nil"/>
              <w:right w:val="nil"/>
            </w:tcBorders>
          </w:tcPr>
          <w:p w14:paraId="1A87A24A"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(2.59537e-01)</w:t>
            </w:r>
          </w:p>
        </w:tc>
      </w:tr>
      <w:tr w:rsidR="00CA0B89" w:rsidRPr="00CA0B89" w14:paraId="20A98168" w14:textId="77777777" w:rsidTr="00B5127E">
        <w:trPr>
          <w:trHeight w:val="263"/>
        </w:trPr>
        <w:tc>
          <w:tcPr>
            <w:tcW w:w="2450" w:type="dxa"/>
            <w:tcBorders>
              <w:top w:val="nil"/>
              <w:left w:val="nil"/>
              <w:bottom w:val="nil"/>
              <w:right w:val="nil"/>
            </w:tcBorders>
          </w:tcPr>
          <w:p w14:paraId="53094A1B"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nil"/>
              <w:right w:val="nil"/>
            </w:tcBorders>
          </w:tcPr>
          <w:p w14:paraId="266CD1D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37BAEB6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18E51D58"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nil"/>
              <w:right w:val="nil"/>
            </w:tcBorders>
          </w:tcPr>
          <w:p w14:paraId="28A36D6C"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r w:rsidR="00CA0B89" w:rsidRPr="00CA0B89" w14:paraId="689B08C1" w14:textId="77777777" w:rsidTr="00B5127E">
        <w:trPr>
          <w:trHeight w:val="263"/>
        </w:trPr>
        <w:tc>
          <w:tcPr>
            <w:tcW w:w="2450" w:type="dxa"/>
            <w:tcBorders>
              <w:top w:val="nil"/>
              <w:left w:val="nil"/>
              <w:bottom w:val="nil"/>
              <w:right w:val="nil"/>
            </w:tcBorders>
          </w:tcPr>
          <w:p w14:paraId="21D63CF6"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Observations</w:t>
            </w:r>
          </w:p>
        </w:tc>
        <w:tc>
          <w:tcPr>
            <w:tcW w:w="1589" w:type="dxa"/>
            <w:tcBorders>
              <w:top w:val="nil"/>
              <w:left w:val="nil"/>
              <w:bottom w:val="nil"/>
              <w:right w:val="nil"/>
            </w:tcBorders>
          </w:tcPr>
          <w:p w14:paraId="32ED7C7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488</w:t>
            </w:r>
          </w:p>
        </w:tc>
        <w:tc>
          <w:tcPr>
            <w:tcW w:w="1589" w:type="dxa"/>
            <w:tcBorders>
              <w:top w:val="nil"/>
              <w:left w:val="nil"/>
              <w:bottom w:val="nil"/>
              <w:right w:val="nil"/>
            </w:tcBorders>
          </w:tcPr>
          <w:p w14:paraId="5BCCA59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632</w:t>
            </w:r>
          </w:p>
        </w:tc>
        <w:tc>
          <w:tcPr>
            <w:tcW w:w="1589" w:type="dxa"/>
            <w:tcBorders>
              <w:top w:val="nil"/>
              <w:left w:val="nil"/>
              <w:bottom w:val="nil"/>
              <w:right w:val="nil"/>
            </w:tcBorders>
          </w:tcPr>
          <w:p w14:paraId="54F8785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488</w:t>
            </w:r>
          </w:p>
        </w:tc>
        <w:tc>
          <w:tcPr>
            <w:tcW w:w="1589" w:type="dxa"/>
            <w:tcBorders>
              <w:top w:val="nil"/>
              <w:left w:val="nil"/>
              <w:bottom w:val="nil"/>
              <w:right w:val="nil"/>
            </w:tcBorders>
          </w:tcPr>
          <w:p w14:paraId="5B2D016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632</w:t>
            </w:r>
          </w:p>
        </w:tc>
      </w:tr>
      <w:tr w:rsidR="00CA0B89" w:rsidRPr="00CA0B89" w14:paraId="36042006" w14:textId="77777777" w:rsidTr="00B5127E">
        <w:trPr>
          <w:trHeight w:val="263"/>
        </w:trPr>
        <w:tc>
          <w:tcPr>
            <w:tcW w:w="2450" w:type="dxa"/>
            <w:tcBorders>
              <w:top w:val="nil"/>
              <w:left w:val="nil"/>
              <w:bottom w:val="nil"/>
              <w:right w:val="nil"/>
            </w:tcBorders>
          </w:tcPr>
          <w:p w14:paraId="1EABD37E"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R-squared</w:t>
            </w:r>
          </w:p>
        </w:tc>
        <w:tc>
          <w:tcPr>
            <w:tcW w:w="1589" w:type="dxa"/>
            <w:tcBorders>
              <w:top w:val="nil"/>
              <w:left w:val="nil"/>
              <w:bottom w:val="nil"/>
              <w:right w:val="nil"/>
            </w:tcBorders>
          </w:tcPr>
          <w:p w14:paraId="40DD5A8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0.205</w:t>
            </w:r>
          </w:p>
        </w:tc>
        <w:tc>
          <w:tcPr>
            <w:tcW w:w="1589" w:type="dxa"/>
            <w:tcBorders>
              <w:top w:val="nil"/>
              <w:left w:val="nil"/>
              <w:bottom w:val="nil"/>
              <w:right w:val="nil"/>
            </w:tcBorders>
          </w:tcPr>
          <w:p w14:paraId="06E680A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0.134</w:t>
            </w:r>
          </w:p>
        </w:tc>
        <w:tc>
          <w:tcPr>
            <w:tcW w:w="1589" w:type="dxa"/>
            <w:tcBorders>
              <w:top w:val="nil"/>
              <w:left w:val="nil"/>
              <w:bottom w:val="nil"/>
              <w:right w:val="nil"/>
            </w:tcBorders>
          </w:tcPr>
          <w:p w14:paraId="53E336F3"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0.072</w:t>
            </w:r>
          </w:p>
        </w:tc>
        <w:tc>
          <w:tcPr>
            <w:tcW w:w="1589" w:type="dxa"/>
            <w:tcBorders>
              <w:top w:val="nil"/>
              <w:left w:val="nil"/>
              <w:bottom w:val="nil"/>
              <w:right w:val="nil"/>
            </w:tcBorders>
          </w:tcPr>
          <w:p w14:paraId="4EBFFAC4"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0.054</w:t>
            </w:r>
          </w:p>
        </w:tc>
      </w:tr>
      <w:tr w:rsidR="00CA0B89" w:rsidRPr="00CA0B89" w14:paraId="5A9A3791" w14:textId="77777777" w:rsidTr="00B5127E">
        <w:trPr>
          <w:trHeight w:val="263"/>
        </w:trPr>
        <w:tc>
          <w:tcPr>
            <w:tcW w:w="2450" w:type="dxa"/>
            <w:tcBorders>
              <w:top w:val="nil"/>
              <w:left w:val="nil"/>
              <w:bottom w:val="nil"/>
              <w:right w:val="nil"/>
            </w:tcBorders>
          </w:tcPr>
          <w:p w14:paraId="574D5275"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r w:rsidRPr="00CA0B89">
              <w:rPr>
                <w:rFonts w:ascii="Times New Roman" w:hAnsi="Times New Roman" w:cs="Times New Roman"/>
                <w:sz w:val="20"/>
                <w:szCs w:val="18"/>
              </w:rPr>
              <w:t>F</w:t>
            </w:r>
          </w:p>
        </w:tc>
        <w:tc>
          <w:tcPr>
            <w:tcW w:w="1589" w:type="dxa"/>
            <w:tcBorders>
              <w:top w:val="nil"/>
              <w:left w:val="nil"/>
              <w:bottom w:val="nil"/>
              <w:right w:val="nil"/>
            </w:tcBorders>
          </w:tcPr>
          <w:p w14:paraId="4C6128E5"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9.382</w:t>
            </w:r>
          </w:p>
        </w:tc>
        <w:tc>
          <w:tcPr>
            <w:tcW w:w="1589" w:type="dxa"/>
            <w:tcBorders>
              <w:top w:val="nil"/>
              <w:left w:val="nil"/>
              <w:bottom w:val="nil"/>
              <w:right w:val="nil"/>
            </w:tcBorders>
          </w:tcPr>
          <w:p w14:paraId="466AC397"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7.352</w:t>
            </w:r>
          </w:p>
        </w:tc>
        <w:tc>
          <w:tcPr>
            <w:tcW w:w="1589" w:type="dxa"/>
            <w:tcBorders>
              <w:top w:val="nil"/>
              <w:left w:val="nil"/>
              <w:bottom w:val="nil"/>
              <w:right w:val="nil"/>
            </w:tcBorders>
          </w:tcPr>
          <w:p w14:paraId="08DE4F00"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5.439</w:t>
            </w:r>
          </w:p>
        </w:tc>
        <w:tc>
          <w:tcPr>
            <w:tcW w:w="1589" w:type="dxa"/>
            <w:tcBorders>
              <w:top w:val="nil"/>
              <w:left w:val="nil"/>
              <w:bottom w:val="nil"/>
              <w:right w:val="nil"/>
            </w:tcBorders>
          </w:tcPr>
          <w:p w14:paraId="53896FF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4.657</w:t>
            </w:r>
          </w:p>
        </w:tc>
      </w:tr>
      <w:tr w:rsidR="00CA0B89" w:rsidRPr="00CA0B89" w14:paraId="1E9C04A6" w14:textId="77777777" w:rsidTr="00B5127E">
        <w:tblPrEx>
          <w:tblBorders>
            <w:bottom w:val="single" w:sz="6" w:space="0" w:color="auto"/>
          </w:tblBorders>
        </w:tblPrEx>
        <w:trPr>
          <w:trHeight w:val="263"/>
        </w:trPr>
        <w:tc>
          <w:tcPr>
            <w:tcW w:w="2450" w:type="dxa"/>
            <w:tcBorders>
              <w:top w:val="nil"/>
              <w:left w:val="nil"/>
              <w:bottom w:val="single" w:sz="6" w:space="0" w:color="auto"/>
              <w:right w:val="nil"/>
            </w:tcBorders>
          </w:tcPr>
          <w:p w14:paraId="69529CC6" w14:textId="77777777" w:rsidR="00CA0B89" w:rsidRPr="00CA0B89" w:rsidRDefault="00CA0B89" w:rsidP="00536234">
            <w:pPr>
              <w:widowControl w:val="0"/>
              <w:autoSpaceDE w:val="0"/>
              <w:autoSpaceDN w:val="0"/>
              <w:adjustRightInd w:val="0"/>
              <w:spacing w:after="0" w:line="240" w:lineRule="auto"/>
              <w:ind w:left="0"/>
              <w:jc w:val="left"/>
              <w:rPr>
                <w:rFonts w:ascii="Times New Roman" w:hAnsi="Times New Roman" w:cs="Times New Roman"/>
                <w:sz w:val="20"/>
                <w:szCs w:val="18"/>
              </w:rPr>
            </w:pPr>
            <w:r w:rsidRPr="00CA0B89">
              <w:rPr>
                <w:rFonts w:ascii="Times New Roman" w:hAnsi="Times New Roman" w:cs="Times New Roman"/>
                <w:sz w:val="20"/>
                <w:szCs w:val="18"/>
              </w:rPr>
              <w:t>Number of companynum</w:t>
            </w:r>
          </w:p>
        </w:tc>
        <w:tc>
          <w:tcPr>
            <w:tcW w:w="1589" w:type="dxa"/>
            <w:tcBorders>
              <w:top w:val="nil"/>
              <w:left w:val="nil"/>
              <w:bottom w:val="single" w:sz="6" w:space="0" w:color="auto"/>
              <w:right w:val="nil"/>
            </w:tcBorders>
          </w:tcPr>
          <w:p w14:paraId="215555BD"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single" w:sz="6" w:space="0" w:color="auto"/>
              <w:right w:val="nil"/>
            </w:tcBorders>
          </w:tcPr>
          <w:p w14:paraId="61C6E629"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single" w:sz="6" w:space="0" w:color="auto"/>
              <w:right w:val="nil"/>
            </w:tcBorders>
          </w:tcPr>
          <w:p w14:paraId="26789D12"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61</w:t>
            </w:r>
          </w:p>
        </w:tc>
        <w:tc>
          <w:tcPr>
            <w:tcW w:w="1589" w:type="dxa"/>
            <w:tcBorders>
              <w:top w:val="nil"/>
              <w:left w:val="nil"/>
              <w:bottom w:val="single" w:sz="6" w:space="0" w:color="auto"/>
              <w:right w:val="nil"/>
            </w:tcBorders>
          </w:tcPr>
          <w:p w14:paraId="7C2E7DC6"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r w:rsidRPr="00CA0B89">
              <w:rPr>
                <w:rFonts w:ascii="Times New Roman" w:hAnsi="Times New Roman" w:cs="Times New Roman"/>
                <w:sz w:val="20"/>
                <w:szCs w:val="18"/>
              </w:rPr>
              <w:t>139</w:t>
            </w:r>
          </w:p>
        </w:tc>
      </w:tr>
      <w:tr w:rsidR="00CA0B89" w:rsidRPr="00CA0B89" w14:paraId="0F77D97F" w14:textId="77777777" w:rsidTr="00B5127E">
        <w:tblPrEx>
          <w:tblBorders>
            <w:bottom w:val="single" w:sz="6" w:space="0" w:color="auto"/>
          </w:tblBorders>
        </w:tblPrEx>
        <w:trPr>
          <w:trHeight w:val="274"/>
        </w:trPr>
        <w:tc>
          <w:tcPr>
            <w:tcW w:w="2450" w:type="dxa"/>
            <w:tcBorders>
              <w:top w:val="nil"/>
              <w:left w:val="nil"/>
              <w:bottom w:val="single" w:sz="6" w:space="0" w:color="auto"/>
              <w:right w:val="nil"/>
            </w:tcBorders>
          </w:tcPr>
          <w:p w14:paraId="626B278C" w14:textId="77777777" w:rsidR="00CA0B89" w:rsidRPr="00CA0B89" w:rsidRDefault="00CA0B89" w:rsidP="00536234">
            <w:pPr>
              <w:widowControl w:val="0"/>
              <w:autoSpaceDE w:val="0"/>
              <w:autoSpaceDN w:val="0"/>
              <w:adjustRightInd w:val="0"/>
              <w:spacing w:after="0" w:line="240" w:lineRule="auto"/>
              <w:ind w:left="0"/>
              <w:rPr>
                <w:rFonts w:ascii="Times New Roman" w:hAnsi="Times New Roman" w:cs="Times New Roman"/>
                <w:sz w:val="20"/>
                <w:szCs w:val="18"/>
              </w:rPr>
            </w:pPr>
          </w:p>
        </w:tc>
        <w:tc>
          <w:tcPr>
            <w:tcW w:w="1589" w:type="dxa"/>
            <w:tcBorders>
              <w:top w:val="nil"/>
              <w:left w:val="nil"/>
              <w:bottom w:val="single" w:sz="6" w:space="0" w:color="auto"/>
              <w:right w:val="nil"/>
            </w:tcBorders>
          </w:tcPr>
          <w:p w14:paraId="43D91E7E"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single" w:sz="6" w:space="0" w:color="auto"/>
              <w:right w:val="nil"/>
            </w:tcBorders>
          </w:tcPr>
          <w:p w14:paraId="7B73B28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single" w:sz="6" w:space="0" w:color="auto"/>
              <w:right w:val="nil"/>
            </w:tcBorders>
          </w:tcPr>
          <w:p w14:paraId="2095787B"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c>
          <w:tcPr>
            <w:tcW w:w="1589" w:type="dxa"/>
            <w:tcBorders>
              <w:top w:val="nil"/>
              <w:left w:val="nil"/>
              <w:bottom w:val="single" w:sz="6" w:space="0" w:color="auto"/>
              <w:right w:val="nil"/>
            </w:tcBorders>
          </w:tcPr>
          <w:p w14:paraId="213BD56F" w14:textId="77777777" w:rsidR="00CA0B89" w:rsidRPr="00CA0B89" w:rsidRDefault="00CA0B89" w:rsidP="00536234">
            <w:pPr>
              <w:widowControl w:val="0"/>
              <w:autoSpaceDE w:val="0"/>
              <w:autoSpaceDN w:val="0"/>
              <w:adjustRightInd w:val="0"/>
              <w:spacing w:after="0" w:line="240" w:lineRule="auto"/>
              <w:ind w:left="0"/>
              <w:jc w:val="center"/>
              <w:rPr>
                <w:rFonts w:ascii="Times New Roman" w:hAnsi="Times New Roman" w:cs="Times New Roman"/>
                <w:sz w:val="20"/>
                <w:szCs w:val="18"/>
              </w:rPr>
            </w:pPr>
          </w:p>
        </w:tc>
      </w:tr>
    </w:tbl>
    <w:p w14:paraId="03DF8C45"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3214F036" w14:textId="77777777" w:rsidR="00CA0B89" w:rsidRDefault="00CA0B89" w:rsidP="00536234">
      <w:pPr>
        <w:spacing w:line="480" w:lineRule="auto"/>
        <w:ind w:left="0"/>
        <w:rPr>
          <w:rFonts w:ascii="Times New Roman" w:hAnsi="Times New Roman" w:cs="Times New Roman"/>
          <w:sz w:val="22"/>
          <w:szCs w:val="26"/>
        </w:rPr>
      </w:pPr>
    </w:p>
    <w:p w14:paraId="6850037C" w14:textId="77777777" w:rsidR="00CA0B89" w:rsidRDefault="00CA0B89" w:rsidP="00536234">
      <w:pPr>
        <w:spacing w:line="480" w:lineRule="auto"/>
        <w:ind w:left="0"/>
        <w:rPr>
          <w:rFonts w:ascii="Times New Roman" w:hAnsi="Times New Roman" w:cs="Times New Roman"/>
          <w:sz w:val="22"/>
          <w:szCs w:val="26"/>
        </w:rPr>
      </w:pPr>
    </w:p>
    <w:p w14:paraId="60A28AE8" w14:textId="77777777" w:rsidR="00CA0B89" w:rsidRPr="00C94878" w:rsidRDefault="00CA0B89" w:rsidP="00536234">
      <w:pPr>
        <w:spacing w:line="480" w:lineRule="auto"/>
        <w:ind w:left="0"/>
        <w:rPr>
          <w:rFonts w:ascii="Times New Roman" w:hAnsi="Times New Roman" w:cs="Times New Roman"/>
          <w:sz w:val="22"/>
          <w:szCs w:val="26"/>
        </w:rPr>
      </w:pPr>
    </w:p>
    <w:p w14:paraId="56B7BE79" w14:textId="45014498" w:rsidR="001A14E5" w:rsidRDefault="00A04D1A" w:rsidP="00536234">
      <w:pPr>
        <w:spacing w:line="480" w:lineRule="auto"/>
        <w:ind w:left="0" w:firstLine="0"/>
        <w:rPr>
          <w:rFonts w:ascii="Times New Roman" w:hAnsi="Times New Roman" w:cs="Times New Roman"/>
          <w:szCs w:val="26"/>
        </w:rPr>
      </w:pPr>
      <w:r>
        <w:rPr>
          <w:rFonts w:ascii="Times New Roman" w:hAnsi="Times New Roman" w:cs="Times New Roman"/>
          <w:b/>
          <w:sz w:val="22"/>
          <w:szCs w:val="26"/>
          <w:u w:val="single"/>
        </w:rPr>
        <w:t>Figure</w:t>
      </w:r>
      <w:r w:rsidR="00CA0B89">
        <w:rPr>
          <w:rFonts w:ascii="Times New Roman" w:hAnsi="Times New Roman" w:cs="Times New Roman"/>
          <w:b/>
          <w:sz w:val="22"/>
          <w:szCs w:val="26"/>
          <w:u w:val="single"/>
        </w:rPr>
        <w:t xml:space="preserve"> </w:t>
      </w:r>
      <w:r w:rsidR="00A53BD2">
        <w:rPr>
          <w:rFonts w:ascii="Times New Roman" w:hAnsi="Times New Roman" w:cs="Times New Roman"/>
          <w:b/>
          <w:sz w:val="22"/>
          <w:szCs w:val="26"/>
          <w:u w:val="single"/>
        </w:rPr>
        <w:t>K</w:t>
      </w:r>
      <w:r w:rsidR="00CA0B89">
        <w:rPr>
          <w:rFonts w:ascii="Times New Roman" w:hAnsi="Times New Roman" w:cs="Times New Roman"/>
          <w:b/>
          <w:sz w:val="22"/>
          <w:szCs w:val="26"/>
          <w:u w:val="single"/>
        </w:rPr>
        <w:t>: Table Showing Fixed Effects Weighted Least Squares Model Prepared using a Shorter Time Period</w:t>
      </w:r>
    </w:p>
    <w:tbl>
      <w:tblPr>
        <w:tblW w:w="0" w:type="auto"/>
        <w:tblLayout w:type="fixed"/>
        <w:tblCellMar>
          <w:left w:w="75" w:type="dxa"/>
          <w:right w:w="75" w:type="dxa"/>
        </w:tblCellMar>
        <w:tblLook w:val="0000" w:firstRow="0" w:lastRow="0" w:firstColumn="0" w:lastColumn="0" w:noHBand="0" w:noVBand="0"/>
      </w:tblPr>
      <w:tblGrid>
        <w:gridCol w:w="5465"/>
        <w:gridCol w:w="3554"/>
      </w:tblGrid>
      <w:tr w:rsidR="001A14E5" w:rsidRPr="00CA0B89" w14:paraId="1ADA4FBF" w14:textId="77777777" w:rsidTr="00B5127E">
        <w:trPr>
          <w:trHeight w:val="263"/>
        </w:trPr>
        <w:tc>
          <w:tcPr>
            <w:tcW w:w="5465" w:type="dxa"/>
            <w:tcBorders>
              <w:top w:val="single" w:sz="6" w:space="0" w:color="auto"/>
              <w:left w:val="nil"/>
              <w:bottom w:val="nil"/>
              <w:right w:val="nil"/>
            </w:tcBorders>
          </w:tcPr>
          <w:p w14:paraId="6212F9C7"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single" w:sz="6" w:space="0" w:color="auto"/>
              <w:left w:val="nil"/>
              <w:bottom w:val="nil"/>
              <w:right w:val="nil"/>
            </w:tcBorders>
          </w:tcPr>
          <w:p w14:paraId="0D052E9F"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(6)</w:t>
            </w:r>
          </w:p>
        </w:tc>
      </w:tr>
      <w:tr w:rsidR="001A14E5" w:rsidRPr="00CA0B89" w14:paraId="603077E0" w14:textId="77777777" w:rsidTr="00B5127E">
        <w:trPr>
          <w:trHeight w:val="263"/>
        </w:trPr>
        <w:tc>
          <w:tcPr>
            <w:tcW w:w="5465" w:type="dxa"/>
            <w:tcBorders>
              <w:top w:val="nil"/>
              <w:left w:val="nil"/>
              <w:bottom w:val="single" w:sz="6" w:space="0" w:color="auto"/>
              <w:right w:val="nil"/>
            </w:tcBorders>
          </w:tcPr>
          <w:p w14:paraId="44321EE3"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VARIABLES</w:t>
            </w:r>
          </w:p>
        </w:tc>
        <w:tc>
          <w:tcPr>
            <w:tcW w:w="3554" w:type="dxa"/>
            <w:tcBorders>
              <w:top w:val="nil"/>
              <w:left w:val="nil"/>
              <w:bottom w:val="single" w:sz="6" w:space="0" w:color="auto"/>
              <w:right w:val="nil"/>
            </w:tcBorders>
          </w:tcPr>
          <w:p w14:paraId="51D7D5C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RXTGLS_D</w:t>
            </w:r>
          </w:p>
        </w:tc>
      </w:tr>
      <w:tr w:rsidR="001A14E5" w:rsidRPr="00CA0B89" w14:paraId="4A9AF95A" w14:textId="77777777" w:rsidTr="00B5127E">
        <w:trPr>
          <w:trHeight w:val="277"/>
        </w:trPr>
        <w:tc>
          <w:tcPr>
            <w:tcW w:w="5465" w:type="dxa"/>
            <w:tcBorders>
              <w:top w:val="nil"/>
              <w:left w:val="nil"/>
              <w:bottom w:val="nil"/>
              <w:right w:val="nil"/>
            </w:tcBorders>
          </w:tcPr>
          <w:p w14:paraId="3E73A4A4"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7580005D"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p>
        </w:tc>
      </w:tr>
      <w:tr w:rsidR="001A14E5" w:rsidRPr="00CA0B89" w14:paraId="1C7BBCE4" w14:textId="77777777" w:rsidTr="00B5127E">
        <w:trPr>
          <w:trHeight w:val="263"/>
        </w:trPr>
        <w:tc>
          <w:tcPr>
            <w:tcW w:w="5465" w:type="dxa"/>
            <w:tcBorders>
              <w:top w:val="nil"/>
              <w:left w:val="nil"/>
              <w:bottom w:val="nil"/>
              <w:right w:val="nil"/>
            </w:tcBorders>
          </w:tcPr>
          <w:p w14:paraId="365CDE6B"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Deal</w:t>
            </w:r>
          </w:p>
        </w:tc>
        <w:tc>
          <w:tcPr>
            <w:tcW w:w="3554" w:type="dxa"/>
            <w:tcBorders>
              <w:top w:val="nil"/>
              <w:left w:val="nil"/>
              <w:bottom w:val="nil"/>
              <w:right w:val="nil"/>
            </w:tcBorders>
          </w:tcPr>
          <w:p w14:paraId="23CD77DA"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0.019**</w:t>
            </w:r>
          </w:p>
        </w:tc>
      </w:tr>
      <w:tr w:rsidR="001A14E5" w:rsidRPr="00CA0B89" w14:paraId="3B84DB43" w14:textId="77777777" w:rsidTr="00B5127E">
        <w:trPr>
          <w:trHeight w:val="263"/>
        </w:trPr>
        <w:tc>
          <w:tcPr>
            <w:tcW w:w="5465" w:type="dxa"/>
            <w:tcBorders>
              <w:top w:val="nil"/>
              <w:left w:val="nil"/>
              <w:bottom w:val="nil"/>
              <w:right w:val="nil"/>
            </w:tcBorders>
          </w:tcPr>
          <w:p w14:paraId="520A305F"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6BEE9988"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(9.29660e-03)</w:t>
            </w:r>
          </w:p>
        </w:tc>
      </w:tr>
      <w:tr w:rsidR="001A14E5" w:rsidRPr="00CA0B89" w14:paraId="1BC26692" w14:textId="77777777" w:rsidTr="00B5127E">
        <w:trPr>
          <w:trHeight w:val="263"/>
        </w:trPr>
        <w:tc>
          <w:tcPr>
            <w:tcW w:w="5465" w:type="dxa"/>
            <w:tcBorders>
              <w:top w:val="nil"/>
              <w:left w:val="nil"/>
              <w:bottom w:val="nil"/>
              <w:right w:val="nil"/>
            </w:tcBorders>
          </w:tcPr>
          <w:p w14:paraId="72DC5FB2"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Profitability</w:t>
            </w:r>
          </w:p>
        </w:tc>
        <w:tc>
          <w:tcPr>
            <w:tcW w:w="3554" w:type="dxa"/>
            <w:tcBorders>
              <w:top w:val="nil"/>
              <w:left w:val="nil"/>
              <w:bottom w:val="nil"/>
              <w:right w:val="nil"/>
            </w:tcBorders>
          </w:tcPr>
          <w:p w14:paraId="0B501F0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0.001*</w:t>
            </w:r>
          </w:p>
        </w:tc>
      </w:tr>
      <w:tr w:rsidR="001A14E5" w:rsidRPr="00CA0B89" w14:paraId="0E090B53" w14:textId="77777777" w:rsidTr="00B5127E">
        <w:trPr>
          <w:trHeight w:val="263"/>
        </w:trPr>
        <w:tc>
          <w:tcPr>
            <w:tcW w:w="5465" w:type="dxa"/>
            <w:tcBorders>
              <w:top w:val="nil"/>
              <w:left w:val="nil"/>
              <w:bottom w:val="nil"/>
              <w:right w:val="nil"/>
            </w:tcBorders>
          </w:tcPr>
          <w:p w14:paraId="0BE5B686"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0697F119"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(5.39143e-04)</w:t>
            </w:r>
          </w:p>
        </w:tc>
      </w:tr>
      <w:tr w:rsidR="001A14E5" w:rsidRPr="00CA0B89" w14:paraId="00AC213B" w14:textId="77777777" w:rsidTr="00B5127E">
        <w:trPr>
          <w:trHeight w:val="263"/>
        </w:trPr>
        <w:tc>
          <w:tcPr>
            <w:tcW w:w="5465" w:type="dxa"/>
            <w:tcBorders>
              <w:top w:val="nil"/>
              <w:left w:val="nil"/>
              <w:bottom w:val="nil"/>
              <w:right w:val="nil"/>
            </w:tcBorders>
          </w:tcPr>
          <w:p w14:paraId="0C042E52"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Capital Structure</w:t>
            </w:r>
          </w:p>
        </w:tc>
        <w:tc>
          <w:tcPr>
            <w:tcW w:w="3554" w:type="dxa"/>
            <w:tcBorders>
              <w:top w:val="nil"/>
              <w:left w:val="nil"/>
              <w:bottom w:val="nil"/>
              <w:right w:val="nil"/>
            </w:tcBorders>
          </w:tcPr>
          <w:p w14:paraId="1771B7FD"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-0.011***</w:t>
            </w:r>
          </w:p>
        </w:tc>
      </w:tr>
      <w:tr w:rsidR="001A14E5" w:rsidRPr="00CA0B89" w14:paraId="0F5D10ED" w14:textId="77777777" w:rsidTr="00B5127E">
        <w:trPr>
          <w:trHeight w:val="263"/>
        </w:trPr>
        <w:tc>
          <w:tcPr>
            <w:tcW w:w="5465" w:type="dxa"/>
            <w:tcBorders>
              <w:top w:val="nil"/>
              <w:left w:val="nil"/>
              <w:bottom w:val="nil"/>
              <w:right w:val="nil"/>
            </w:tcBorders>
          </w:tcPr>
          <w:p w14:paraId="66839060"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604698B4"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(1.70203e-03)</w:t>
            </w:r>
          </w:p>
        </w:tc>
      </w:tr>
      <w:tr w:rsidR="001A14E5" w:rsidRPr="00CA0B89" w14:paraId="540D5B2A" w14:textId="77777777" w:rsidTr="00B5127E">
        <w:trPr>
          <w:trHeight w:val="263"/>
        </w:trPr>
        <w:tc>
          <w:tcPr>
            <w:tcW w:w="5465" w:type="dxa"/>
            <w:tcBorders>
              <w:top w:val="nil"/>
              <w:left w:val="nil"/>
              <w:bottom w:val="nil"/>
              <w:right w:val="nil"/>
            </w:tcBorders>
          </w:tcPr>
          <w:p w14:paraId="005F1E48"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Growth</w:t>
            </w:r>
          </w:p>
        </w:tc>
        <w:tc>
          <w:tcPr>
            <w:tcW w:w="3554" w:type="dxa"/>
            <w:tcBorders>
              <w:top w:val="nil"/>
              <w:left w:val="nil"/>
              <w:bottom w:val="nil"/>
              <w:right w:val="nil"/>
            </w:tcBorders>
          </w:tcPr>
          <w:p w14:paraId="5C195CE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0.028***</w:t>
            </w:r>
          </w:p>
        </w:tc>
      </w:tr>
      <w:tr w:rsidR="001A14E5" w:rsidRPr="00CA0B89" w14:paraId="5DA887C0" w14:textId="77777777" w:rsidTr="00B5127E">
        <w:trPr>
          <w:trHeight w:val="263"/>
        </w:trPr>
        <w:tc>
          <w:tcPr>
            <w:tcW w:w="5465" w:type="dxa"/>
            <w:tcBorders>
              <w:top w:val="nil"/>
              <w:left w:val="nil"/>
              <w:bottom w:val="nil"/>
              <w:right w:val="nil"/>
            </w:tcBorders>
          </w:tcPr>
          <w:p w14:paraId="1F6F354C"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085C72B0"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(2.81000e-03)</w:t>
            </w:r>
          </w:p>
        </w:tc>
      </w:tr>
      <w:tr w:rsidR="001A14E5" w:rsidRPr="00CA0B89" w14:paraId="69F3BAA6" w14:textId="77777777" w:rsidTr="00B5127E">
        <w:trPr>
          <w:trHeight w:val="263"/>
        </w:trPr>
        <w:tc>
          <w:tcPr>
            <w:tcW w:w="5465" w:type="dxa"/>
            <w:tcBorders>
              <w:top w:val="nil"/>
              <w:left w:val="nil"/>
              <w:bottom w:val="nil"/>
              <w:right w:val="nil"/>
            </w:tcBorders>
          </w:tcPr>
          <w:p w14:paraId="256CCB56"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Liquidity</w:t>
            </w:r>
          </w:p>
        </w:tc>
        <w:tc>
          <w:tcPr>
            <w:tcW w:w="3554" w:type="dxa"/>
            <w:tcBorders>
              <w:top w:val="nil"/>
              <w:left w:val="nil"/>
              <w:bottom w:val="nil"/>
              <w:right w:val="nil"/>
            </w:tcBorders>
          </w:tcPr>
          <w:p w14:paraId="59C15C0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-0.005</w:t>
            </w:r>
          </w:p>
        </w:tc>
      </w:tr>
      <w:tr w:rsidR="001A14E5" w:rsidRPr="00CA0B89" w14:paraId="306EFCEA" w14:textId="77777777" w:rsidTr="00B5127E">
        <w:trPr>
          <w:trHeight w:val="263"/>
        </w:trPr>
        <w:tc>
          <w:tcPr>
            <w:tcW w:w="5465" w:type="dxa"/>
            <w:tcBorders>
              <w:top w:val="nil"/>
              <w:left w:val="nil"/>
              <w:bottom w:val="nil"/>
              <w:right w:val="nil"/>
            </w:tcBorders>
          </w:tcPr>
          <w:p w14:paraId="464C7129"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7D9DF939"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(6.60145e-03)</w:t>
            </w:r>
          </w:p>
        </w:tc>
      </w:tr>
      <w:tr w:rsidR="001A14E5" w:rsidRPr="00CA0B89" w14:paraId="43AB24EE" w14:textId="77777777" w:rsidTr="00B5127E">
        <w:trPr>
          <w:trHeight w:val="277"/>
        </w:trPr>
        <w:tc>
          <w:tcPr>
            <w:tcW w:w="5465" w:type="dxa"/>
            <w:tcBorders>
              <w:top w:val="nil"/>
              <w:left w:val="nil"/>
              <w:bottom w:val="nil"/>
              <w:right w:val="nil"/>
            </w:tcBorders>
          </w:tcPr>
          <w:p w14:paraId="2CE96491"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Size</w:t>
            </w:r>
          </w:p>
        </w:tc>
        <w:tc>
          <w:tcPr>
            <w:tcW w:w="3554" w:type="dxa"/>
            <w:tcBorders>
              <w:top w:val="nil"/>
              <w:left w:val="nil"/>
              <w:bottom w:val="nil"/>
              <w:right w:val="nil"/>
            </w:tcBorders>
          </w:tcPr>
          <w:p w14:paraId="10C3D410"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0.031***</w:t>
            </w:r>
          </w:p>
        </w:tc>
      </w:tr>
      <w:tr w:rsidR="001A14E5" w:rsidRPr="00CA0B89" w14:paraId="43CC92BA" w14:textId="77777777" w:rsidTr="00B5127E">
        <w:trPr>
          <w:trHeight w:val="263"/>
        </w:trPr>
        <w:tc>
          <w:tcPr>
            <w:tcW w:w="5465" w:type="dxa"/>
            <w:tcBorders>
              <w:top w:val="nil"/>
              <w:left w:val="nil"/>
              <w:bottom w:val="nil"/>
              <w:right w:val="nil"/>
            </w:tcBorders>
          </w:tcPr>
          <w:p w14:paraId="17B4A45E"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08125ED4"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(4.21275e-03)</w:t>
            </w:r>
          </w:p>
        </w:tc>
      </w:tr>
      <w:tr w:rsidR="001A14E5" w:rsidRPr="00CA0B89" w14:paraId="090B943B" w14:textId="77777777" w:rsidTr="00B5127E">
        <w:trPr>
          <w:trHeight w:val="263"/>
        </w:trPr>
        <w:tc>
          <w:tcPr>
            <w:tcW w:w="5465" w:type="dxa"/>
            <w:tcBorders>
              <w:top w:val="nil"/>
              <w:left w:val="nil"/>
              <w:bottom w:val="nil"/>
              <w:right w:val="nil"/>
            </w:tcBorders>
          </w:tcPr>
          <w:p w14:paraId="1A25CDC1"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1</w:t>
            </w:r>
          </w:p>
        </w:tc>
        <w:tc>
          <w:tcPr>
            <w:tcW w:w="3554" w:type="dxa"/>
            <w:tcBorders>
              <w:top w:val="nil"/>
              <w:left w:val="nil"/>
              <w:bottom w:val="nil"/>
              <w:right w:val="nil"/>
            </w:tcBorders>
          </w:tcPr>
          <w:p w14:paraId="375312F8"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-0.136***</w:t>
            </w:r>
          </w:p>
        </w:tc>
      </w:tr>
      <w:tr w:rsidR="001A14E5" w:rsidRPr="00CA0B89" w14:paraId="4F510A4D" w14:textId="77777777" w:rsidTr="00B5127E">
        <w:trPr>
          <w:trHeight w:val="263"/>
        </w:trPr>
        <w:tc>
          <w:tcPr>
            <w:tcW w:w="5465" w:type="dxa"/>
            <w:tcBorders>
              <w:top w:val="nil"/>
              <w:left w:val="nil"/>
              <w:bottom w:val="nil"/>
              <w:right w:val="nil"/>
            </w:tcBorders>
          </w:tcPr>
          <w:p w14:paraId="1C4250A3"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371C2F58"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(4.79448e-02)</w:t>
            </w:r>
          </w:p>
        </w:tc>
      </w:tr>
      <w:tr w:rsidR="001A14E5" w:rsidRPr="00CA0B89" w14:paraId="054021B7" w14:textId="77777777" w:rsidTr="00B5127E">
        <w:trPr>
          <w:trHeight w:val="263"/>
        </w:trPr>
        <w:tc>
          <w:tcPr>
            <w:tcW w:w="5465" w:type="dxa"/>
            <w:tcBorders>
              <w:top w:val="nil"/>
              <w:left w:val="nil"/>
              <w:bottom w:val="nil"/>
              <w:right w:val="nil"/>
            </w:tcBorders>
          </w:tcPr>
          <w:p w14:paraId="730502D0"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2</w:t>
            </w:r>
          </w:p>
        </w:tc>
        <w:tc>
          <w:tcPr>
            <w:tcW w:w="3554" w:type="dxa"/>
            <w:tcBorders>
              <w:top w:val="nil"/>
              <w:left w:val="nil"/>
              <w:bottom w:val="nil"/>
              <w:right w:val="nil"/>
            </w:tcBorders>
          </w:tcPr>
          <w:p w14:paraId="2249D369"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-0.045***</w:t>
            </w:r>
          </w:p>
        </w:tc>
      </w:tr>
      <w:tr w:rsidR="001A14E5" w:rsidRPr="00CA0B89" w14:paraId="034542B8" w14:textId="77777777" w:rsidTr="00B5127E">
        <w:trPr>
          <w:trHeight w:val="263"/>
        </w:trPr>
        <w:tc>
          <w:tcPr>
            <w:tcW w:w="5465" w:type="dxa"/>
            <w:tcBorders>
              <w:top w:val="nil"/>
              <w:left w:val="nil"/>
              <w:bottom w:val="nil"/>
              <w:right w:val="nil"/>
            </w:tcBorders>
          </w:tcPr>
          <w:p w14:paraId="085A104C" w14:textId="77777777" w:rsidR="001A14E5" w:rsidRPr="00CA0B89" w:rsidRDefault="001A14E5" w:rsidP="00536234">
            <w:pPr>
              <w:widowControl w:val="0"/>
              <w:autoSpaceDE w:val="0"/>
              <w:autoSpaceDN w:val="0"/>
              <w:adjustRightInd w:val="0"/>
              <w:spacing w:after="0" w:line="240" w:lineRule="auto"/>
              <w:ind w:left="10"/>
              <w:rPr>
                <w:rFonts w:ascii="Times New Roman" w:hAnsi="Times New Roman"/>
                <w:sz w:val="20"/>
                <w:szCs w:val="18"/>
              </w:rPr>
            </w:pPr>
          </w:p>
        </w:tc>
        <w:tc>
          <w:tcPr>
            <w:tcW w:w="3554" w:type="dxa"/>
            <w:tcBorders>
              <w:top w:val="nil"/>
              <w:left w:val="nil"/>
              <w:bottom w:val="nil"/>
              <w:right w:val="nil"/>
            </w:tcBorders>
          </w:tcPr>
          <w:p w14:paraId="022FEA89" w14:textId="77777777" w:rsidR="001A14E5" w:rsidRPr="00CA0B89" w:rsidRDefault="001A14E5" w:rsidP="00536234">
            <w:pPr>
              <w:widowControl w:val="0"/>
              <w:autoSpaceDE w:val="0"/>
              <w:autoSpaceDN w:val="0"/>
              <w:adjustRightInd w:val="0"/>
              <w:spacing w:after="0" w:line="240" w:lineRule="auto"/>
              <w:ind w:left="10"/>
              <w:jc w:val="center"/>
              <w:rPr>
                <w:rFonts w:ascii="Times New Roman" w:hAnsi="Times New Roman"/>
                <w:sz w:val="20"/>
                <w:szCs w:val="18"/>
              </w:rPr>
            </w:pPr>
            <w:r w:rsidRPr="00CA0B89">
              <w:rPr>
                <w:rFonts w:ascii="Times New Roman" w:hAnsi="Times New Roman"/>
                <w:sz w:val="20"/>
                <w:szCs w:val="18"/>
              </w:rPr>
              <w:t>(1.08215e-02)</w:t>
            </w:r>
          </w:p>
        </w:tc>
      </w:tr>
      <w:tr w:rsidR="001A14E5" w:rsidRPr="00CA0B89" w14:paraId="6182CEF1" w14:textId="77777777" w:rsidTr="00B5127E">
        <w:trPr>
          <w:trHeight w:val="263"/>
        </w:trPr>
        <w:tc>
          <w:tcPr>
            <w:tcW w:w="5465" w:type="dxa"/>
            <w:tcBorders>
              <w:top w:val="nil"/>
              <w:left w:val="nil"/>
              <w:bottom w:val="nil"/>
              <w:right w:val="nil"/>
            </w:tcBorders>
          </w:tcPr>
          <w:p w14:paraId="131D4220"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3</w:t>
            </w:r>
          </w:p>
        </w:tc>
        <w:tc>
          <w:tcPr>
            <w:tcW w:w="3554" w:type="dxa"/>
            <w:tcBorders>
              <w:top w:val="nil"/>
              <w:left w:val="nil"/>
              <w:bottom w:val="nil"/>
              <w:right w:val="nil"/>
            </w:tcBorders>
          </w:tcPr>
          <w:p w14:paraId="647E6F5A"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0.020***</w:t>
            </w:r>
          </w:p>
        </w:tc>
      </w:tr>
      <w:tr w:rsidR="001A14E5" w:rsidRPr="00CA0B89" w14:paraId="6D1A621B" w14:textId="77777777" w:rsidTr="00B5127E">
        <w:trPr>
          <w:trHeight w:val="263"/>
        </w:trPr>
        <w:tc>
          <w:tcPr>
            <w:tcW w:w="5465" w:type="dxa"/>
            <w:tcBorders>
              <w:top w:val="nil"/>
              <w:left w:val="nil"/>
              <w:bottom w:val="nil"/>
              <w:right w:val="nil"/>
            </w:tcBorders>
          </w:tcPr>
          <w:p w14:paraId="7249D5DB"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159E1864"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(6.14576e-03)</w:t>
            </w:r>
          </w:p>
        </w:tc>
      </w:tr>
      <w:tr w:rsidR="001A14E5" w:rsidRPr="00CA0B89" w14:paraId="54F222F4" w14:textId="77777777" w:rsidTr="00B5127E">
        <w:trPr>
          <w:trHeight w:val="263"/>
        </w:trPr>
        <w:tc>
          <w:tcPr>
            <w:tcW w:w="5465" w:type="dxa"/>
            <w:tcBorders>
              <w:top w:val="nil"/>
              <w:left w:val="nil"/>
              <w:bottom w:val="nil"/>
              <w:right w:val="nil"/>
            </w:tcBorders>
          </w:tcPr>
          <w:p w14:paraId="2832A557"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4</w:t>
            </w:r>
          </w:p>
        </w:tc>
        <w:tc>
          <w:tcPr>
            <w:tcW w:w="3554" w:type="dxa"/>
            <w:tcBorders>
              <w:top w:val="nil"/>
              <w:left w:val="nil"/>
              <w:bottom w:val="nil"/>
              <w:right w:val="nil"/>
            </w:tcBorders>
          </w:tcPr>
          <w:p w14:paraId="39FDB41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0.003</w:t>
            </w:r>
          </w:p>
        </w:tc>
      </w:tr>
      <w:tr w:rsidR="001A14E5" w:rsidRPr="00CA0B89" w14:paraId="60DD2E5C" w14:textId="77777777" w:rsidTr="00B5127E">
        <w:trPr>
          <w:trHeight w:val="263"/>
        </w:trPr>
        <w:tc>
          <w:tcPr>
            <w:tcW w:w="5465" w:type="dxa"/>
            <w:tcBorders>
              <w:top w:val="nil"/>
              <w:left w:val="nil"/>
              <w:bottom w:val="nil"/>
              <w:right w:val="nil"/>
            </w:tcBorders>
          </w:tcPr>
          <w:p w14:paraId="6833D39D"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274A1A3C"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(6.16341e-03)</w:t>
            </w:r>
          </w:p>
        </w:tc>
      </w:tr>
      <w:tr w:rsidR="001A14E5" w:rsidRPr="00CA0B89" w14:paraId="40DDF9FA" w14:textId="77777777" w:rsidTr="00B5127E">
        <w:trPr>
          <w:trHeight w:val="263"/>
        </w:trPr>
        <w:tc>
          <w:tcPr>
            <w:tcW w:w="5465" w:type="dxa"/>
            <w:tcBorders>
              <w:top w:val="nil"/>
              <w:left w:val="nil"/>
              <w:bottom w:val="nil"/>
              <w:right w:val="nil"/>
            </w:tcBorders>
          </w:tcPr>
          <w:p w14:paraId="204872F7"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5</w:t>
            </w:r>
          </w:p>
        </w:tc>
        <w:tc>
          <w:tcPr>
            <w:tcW w:w="3554" w:type="dxa"/>
            <w:tcBorders>
              <w:top w:val="nil"/>
              <w:left w:val="nil"/>
              <w:bottom w:val="nil"/>
              <w:right w:val="nil"/>
            </w:tcBorders>
          </w:tcPr>
          <w:p w14:paraId="166F24A8"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-0.061***</w:t>
            </w:r>
          </w:p>
        </w:tc>
      </w:tr>
      <w:tr w:rsidR="001A14E5" w:rsidRPr="00CA0B89" w14:paraId="117170F2" w14:textId="77777777" w:rsidTr="00B5127E">
        <w:trPr>
          <w:trHeight w:val="263"/>
        </w:trPr>
        <w:tc>
          <w:tcPr>
            <w:tcW w:w="5465" w:type="dxa"/>
            <w:tcBorders>
              <w:top w:val="nil"/>
              <w:left w:val="nil"/>
              <w:bottom w:val="nil"/>
              <w:right w:val="nil"/>
            </w:tcBorders>
          </w:tcPr>
          <w:p w14:paraId="1ECBC776"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0AAFB2F7"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(1.15157e-02)</w:t>
            </w:r>
          </w:p>
        </w:tc>
      </w:tr>
      <w:tr w:rsidR="001A14E5" w:rsidRPr="00CA0B89" w14:paraId="109E5438" w14:textId="77777777" w:rsidTr="00B5127E">
        <w:trPr>
          <w:trHeight w:val="277"/>
        </w:trPr>
        <w:tc>
          <w:tcPr>
            <w:tcW w:w="5465" w:type="dxa"/>
            <w:tcBorders>
              <w:top w:val="nil"/>
              <w:left w:val="nil"/>
              <w:bottom w:val="nil"/>
              <w:right w:val="nil"/>
            </w:tcBorders>
          </w:tcPr>
          <w:p w14:paraId="4806A4C4"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6</w:t>
            </w:r>
          </w:p>
        </w:tc>
        <w:tc>
          <w:tcPr>
            <w:tcW w:w="3554" w:type="dxa"/>
            <w:tcBorders>
              <w:top w:val="nil"/>
              <w:left w:val="nil"/>
              <w:bottom w:val="nil"/>
              <w:right w:val="nil"/>
            </w:tcBorders>
          </w:tcPr>
          <w:p w14:paraId="41EBDD87"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0.005*</w:t>
            </w:r>
          </w:p>
        </w:tc>
      </w:tr>
      <w:tr w:rsidR="001A14E5" w:rsidRPr="00CA0B89" w14:paraId="326F36DC" w14:textId="77777777" w:rsidTr="00B5127E">
        <w:trPr>
          <w:trHeight w:val="263"/>
        </w:trPr>
        <w:tc>
          <w:tcPr>
            <w:tcW w:w="5465" w:type="dxa"/>
            <w:tcBorders>
              <w:top w:val="nil"/>
              <w:left w:val="nil"/>
              <w:bottom w:val="nil"/>
              <w:right w:val="nil"/>
            </w:tcBorders>
          </w:tcPr>
          <w:p w14:paraId="2511A975"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319EC16D"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(2.72301e-03)</w:t>
            </w:r>
          </w:p>
        </w:tc>
      </w:tr>
      <w:tr w:rsidR="001A14E5" w:rsidRPr="00CA0B89" w14:paraId="5086FF77" w14:textId="77777777" w:rsidTr="00B5127E">
        <w:trPr>
          <w:trHeight w:val="263"/>
        </w:trPr>
        <w:tc>
          <w:tcPr>
            <w:tcW w:w="5465" w:type="dxa"/>
            <w:tcBorders>
              <w:top w:val="nil"/>
              <w:left w:val="nil"/>
              <w:bottom w:val="nil"/>
              <w:right w:val="nil"/>
            </w:tcBorders>
          </w:tcPr>
          <w:p w14:paraId="6F985B9A"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Sector 7</w:t>
            </w:r>
          </w:p>
        </w:tc>
        <w:tc>
          <w:tcPr>
            <w:tcW w:w="3554" w:type="dxa"/>
            <w:tcBorders>
              <w:top w:val="nil"/>
              <w:left w:val="nil"/>
              <w:bottom w:val="nil"/>
              <w:right w:val="nil"/>
            </w:tcBorders>
          </w:tcPr>
          <w:p w14:paraId="42FF204D"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-0.062***</w:t>
            </w:r>
          </w:p>
        </w:tc>
      </w:tr>
      <w:tr w:rsidR="001A14E5" w:rsidRPr="00CA0B89" w14:paraId="08F0A2E8" w14:textId="77777777" w:rsidTr="00B5127E">
        <w:trPr>
          <w:trHeight w:val="263"/>
        </w:trPr>
        <w:tc>
          <w:tcPr>
            <w:tcW w:w="5465" w:type="dxa"/>
            <w:tcBorders>
              <w:top w:val="nil"/>
              <w:left w:val="nil"/>
              <w:bottom w:val="nil"/>
              <w:right w:val="nil"/>
            </w:tcBorders>
          </w:tcPr>
          <w:p w14:paraId="66035BBC"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29E31D88"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(3.73740e-03)</w:t>
            </w:r>
          </w:p>
        </w:tc>
      </w:tr>
      <w:tr w:rsidR="001A14E5" w:rsidRPr="00CA0B89" w14:paraId="1477DE9A" w14:textId="77777777" w:rsidTr="00B5127E">
        <w:trPr>
          <w:trHeight w:val="263"/>
        </w:trPr>
        <w:tc>
          <w:tcPr>
            <w:tcW w:w="5465" w:type="dxa"/>
            <w:tcBorders>
              <w:top w:val="nil"/>
              <w:left w:val="nil"/>
              <w:bottom w:val="nil"/>
              <w:right w:val="nil"/>
            </w:tcBorders>
          </w:tcPr>
          <w:p w14:paraId="12A6501D"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Constant</w:t>
            </w:r>
          </w:p>
        </w:tc>
        <w:tc>
          <w:tcPr>
            <w:tcW w:w="3554" w:type="dxa"/>
            <w:tcBorders>
              <w:top w:val="nil"/>
              <w:left w:val="nil"/>
              <w:bottom w:val="nil"/>
              <w:right w:val="nil"/>
            </w:tcBorders>
          </w:tcPr>
          <w:p w14:paraId="115C13FF"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-0.141*</w:t>
            </w:r>
          </w:p>
        </w:tc>
      </w:tr>
      <w:tr w:rsidR="001A14E5" w:rsidRPr="00CA0B89" w14:paraId="60725DAA" w14:textId="77777777" w:rsidTr="00B5127E">
        <w:trPr>
          <w:trHeight w:val="263"/>
        </w:trPr>
        <w:tc>
          <w:tcPr>
            <w:tcW w:w="5465" w:type="dxa"/>
            <w:tcBorders>
              <w:top w:val="nil"/>
              <w:left w:val="nil"/>
              <w:bottom w:val="nil"/>
              <w:right w:val="nil"/>
            </w:tcBorders>
          </w:tcPr>
          <w:p w14:paraId="55A37FED"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7C6F99F6"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(7.30441e-02)</w:t>
            </w:r>
          </w:p>
        </w:tc>
      </w:tr>
      <w:tr w:rsidR="001A14E5" w:rsidRPr="00CA0B89" w14:paraId="50161FE1" w14:textId="77777777" w:rsidTr="00B5127E">
        <w:trPr>
          <w:trHeight w:val="263"/>
        </w:trPr>
        <w:tc>
          <w:tcPr>
            <w:tcW w:w="5465" w:type="dxa"/>
            <w:tcBorders>
              <w:top w:val="nil"/>
              <w:left w:val="nil"/>
              <w:bottom w:val="nil"/>
              <w:right w:val="nil"/>
            </w:tcBorders>
          </w:tcPr>
          <w:p w14:paraId="1E8020CC"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p>
        </w:tc>
        <w:tc>
          <w:tcPr>
            <w:tcW w:w="3554" w:type="dxa"/>
            <w:tcBorders>
              <w:top w:val="nil"/>
              <w:left w:val="nil"/>
              <w:bottom w:val="nil"/>
              <w:right w:val="nil"/>
            </w:tcBorders>
          </w:tcPr>
          <w:p w14:paraId="3476E403"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p>
        </w:tc>
      </w:tr>
      <w:tr w:rsidR="001A14E5" w:rsidRPr="00CA0B89" w14:paraId="4E536D7C" w14:textId="77777777" w:rsidTr="00B5127E">
        <w:trPr>
          <w:trHeight w:val="263"/>
        </w:trPr>
        <w:tc>
          <w:tcPr>
            <w:tcW w:w="5465" w:type="dxa"/>
            <w:tcBorders>
              <w:top w:val="nil"/>
              <w:left w:val="nil"/>
              <w:bottom w:val="nil"/>
              <w:right w:val="nil"/>
            </w:tcBorders>
          </w:tcPr>
          <w:p w14:paraId="7BD1DDF1"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Observations</w:t>
            </w:r>
          </w:p>
        </w:tc>
        <w:tc>
          <w:tcPr>
            <w:tcW w:w="3554" w:type="dxa"/>
            <w:tcBorders>
              <w:top w:val="nil"/>
              <w:left w:val="nil"/>
              <w:bottom w:val="nil"/>
              <w:right w:val="nil"/>
            </w:tcBorders>
          </w:tcPr>
          <w:p w14:paraId="3D3C5346"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292</w:t>
            </w:r>
          </w:p>
        </w:tc>
      </w:tr>
      <w:tr w:rsidR="001A14E5" w:rsidRPr="00CA0B89" w14:paraId="048D6D9B" w14:textId="77777777" w:rsidTr="00B5127E">
        <w:trPr>
          <w:trHeight w:val="263"/>
        </w:trPr>
        <w:tc>
          <w:tcPr>
            <w:tcW w:w="5465" w:type="dxa"/>
            <w:tcBorders>
              <w:top w:val="nil"/>
              <w:left w:val="nil"/>
              <w:bottom w:val="nil"/>
              <w:right w:val="nil"/>
            </w:tcBorders>
          </w:tcPr>
          <w:p w14:paraId="719C0BB4"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Number of companynum</w:t>
            </w:r>
          </w:p>
        </w:tc>
        <w:tc>
          <w:tcPr>
            <w:tcW w:w="3554" w:type="dxa"/>
            <w:tcBorders>
              <w:top w:val="nil"/>
              <w:left w:val="nil"/>
              <w:bottom w:val="nil"/>
              <w:right w:val="nil"/>
            </w:tcBorders>
          </w:tcPr>
          <w:p w14:paraId="0A79FA8B"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73</w:t>
            </w:r>
          </w:p>
        </w:tc>
      </w:tr>
      <w:tr w:rsidR="001A14E5" w:rsidRPr="00CA0B89" w14:paraId="0F8F9A97" w14:textId="77777777" w:rsidTr="00B5127E">
        <w:tblPrEx>
          <w:tblBorders>
            <w:bottom w:val="single" w:sz="6" w:space="0" w:color="auto"/>
          </w:tblBorders>
        </w:tblPrEx>
        <w:trPr>
          <w:trHeight w:val="277"/>
        </w:trPr>
        <w:tc>
          <w:tcPr>
            <w:tcW w:w="5465" w:type="dxa"/>
            <w:tcBorders>
              <w:top w:val="nil"/>
              <w:left w:val="nil"/>
              <w:bottom w:val="single" w:sz="6" w:space="0" w:color="auto"/>
              <w:right w:val="nil"/>
            </w:tcBorders>
          </w:tcPr>
          <w:p w14:paraId="40B2953F" w14:textId="77777777" w:rsidR="001A14E5" w:rsidRPr="00CA0B89" w:rsidRDefault="001A14E5" w:rsidP="00536234">
            <w:pPr>
              <w:widowControl w:val="0"/>
              <w:autoSpaceDE w:val="0"/>
              <w:autoSpaceDN w:val="0"/>
              <w:adjustRightInd w:val="0"/>
              <w:spacing w:after="0" w:line="240" w:lineRule="auto"/>
              <w:ind w:left="0"/>
              <w:rPr>
                <w:rFonts w:ascii="Times New Roman" w:hAnsi="Times New Roman"/>
                <w:sz w:val="20"/>
                <w:szCs w:val="18"/>
              </w:rPr>
            </w:pPr>
            <w:r w:rsidRPr="00CA0B89">
              <w:rPr>
                <w:rFonts w:ascii="Times New Roman" w:hAnsi="Times New Roman"/>
                <w:sz w:val="20"/>
                <w:szCs w:val="18"/>
              </w:rPr>
              <w:t>Wald-chi2</w:t>
            </w:r>
          </w:p>
        </w:tc>
        <w:tc>
          <w:tcPr>
            <w:tcW w:w="3554" w:type="dxa"/>
            <w:tcBorders>
              <w:top w:val="nil"/>
              <w:left w:val="nil"/>
              <w:bottom w:val="single" w:sz="6" w:space="0" w:color="auto"/>
              <w:right w:val="nil"/>
            </w:tcBorders>
          </w:tcPr>
          <w:p w14:paraId="1E1465BC" w14:textId="77777777" w:rsidR="001A14E5" w:rsidRPr="00CA0B89" w:rsidRDefault="001A14E5" w:rsidP="00536234">
            <w:pPr>
              <w:widowControl w:val="0"/>
              <w:autoSpaceDE w:val="0"/>
              <w:autoSpaceDN w:val="0"/>
              <w:adjustRightInd w:val="0"/>
              <w:spacing w:after="0" w:line="240" w:lineRule="auto"/>
              <w:ind w:left="0"/>
              <w:jc w:val="center"/>
              <w:rPr>
                <w:rFonts w:ascii="Times New Roman" w:hAnsi="Times New Roman"/>
                <w:sz w:val="20"/>
                <w:szCs w:val="18"/>
              </w:rPr>
            </w:pPr>
            <w:r w:rsidRPr="00CA0B89">
              <w:rPr>
                <w:rFonts w:ascii="Times New Roman" w:hAnsi="Times New Roman"/>
                <w:sz w:val="20"/>
                <w:szCs w:val="18"/>
              </w:rPr>
              <w:t>1369</w:t>
            </w:r>
          </w:p>
        </w:tc>
      </w:tr>
    </w:tbl>
    <w:p w14:paraId="132A5CAA" w14:textId="77777777" w:rsidR="00CA0B89" w:rsidRDefault="00B5127E" w:rsidP="00536234">
      <w:pPr>
        <w:spacing w:line="480" w:lineRule="auto"/>
        <w:ind w:left="0"/>
        <w:jc w:val="right"/>
        <w:rPr>
          <w:rFonts w:ascii="Times New Roman" w:hAnsi="Times New Roman" w:cs="Times New Roman"/>
          <w:sz w:val="22"/>
          <w:szCs w:val="26"/>
        </w:rPr>
      </w:pPr>
      <w:r w:rsidRPr="00B5127E">
        <w:rPr>
          <w:rFonts w:ascii="Times New Roman" w:hAnsi="Times New Roman" w:cs="Times New Roman"/>
          <w:sz w:val="22"/>
          <w:szCs w:val="26"/>
        </w:rPr>
        <w:t>(Source: Stata)</w:t>
      </w:r>
    </w:p>
    <w:p w14:paraId="5B319603" w14:textId="77777777" w:rsidR="001A14E5" w:rsidRPr="009E508C" w:rsidRDefault="001A14E5" w:rsidP="00536234">
      <w:pPr>
        <w:spacing w:line="480" w:lineRule="auto"/>
        <w:ind w:left="0" w:firstLine="0"/>
        <w:rPr>
          <w:rFonts w:ascii="Times New Roman" w:hAnsi="Times New Roman" w:cs="Times New Roman"/>
          <w:szCs w:val="26"/>
        </w:rPr>
      </w:pPr>
    </w:p>
    <w:sectPr w:rsidR="001A14E5" w:rsidRPr="009E508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762E72" w14:textId="77777777" w:rsidR="004A65CA" w:rsidRDefault="004A65CA">
      <w:pPr>
        <w:spacing w:after="0" w:line="240" w:lineRule="auto"/>
      </w:pPr>
      <w:r>
        <w:separator/>
      </w:r>
    </w:p>
  </w:endnote>
  <w:endnote w:type="continuationSeparator" w:id="0">
    <w:p w14:paraId="7FCF4735" w14:textId="77777777" w:rsidR="004A65CA" w:rsidRDefault="004A65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g-3fff0">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318DE" w14:textId="77777777" w:rsidR="008E5542" w:rsidRDefault="008E5542">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20362"/>
      <w:docPartObj>
        <w:docPartGallery w:val="Page Numbers (Bottom of Page)"/>
        <w:docPartUnique/>
      </w:docPartObj>
    </w:sdtPr>
    <w:sdtEndPr>
      <w:rPr>
        <w:color w:val="7F7F7F" w:themeColor="background1" w:themeShade="7F"/>
        <w:spacing w:val="60"/>
      </w:rPr>
    </w:sdtEndPr>
    <w:sdtContent>
      <w:p w14:paraId="60FDFA19" w14:textId="77777777" w:rsidR="008E5542" w:rsidRDefault="008E5542">
        <w:pPr>
          <w:pStyle w:val="Footer"/>
          <w:pBdr>
            <w:top w:val="single" w:sz="4" w:space="1" w:color="D9D9D9" w:themeColor="background1" w:themeShade="D9"/>
          </w:pBdr>
          <w:jc w:val="right"/>
        </w:pPr>
        <w:r>
          <w:fldChar w:fldCharType="begin"/>
        </w:r>
        <w:r>
          <w:instrText xml:space="preserve"> PAGE   \* MERGEFORMAT </w:instrText>
        </w:r>
        <w:r>
          <w:fldChar w:fldCharType="separate"/>
        </w:r>
        <w:r w:rsidR="00B83FE0">
          <w:rPr>
            <w:noProof/>
          </w:rPr>
          <w:t>20</w:t>
        </w:r>
        <w:r>
          <w:rPr>
            <w:noProof/>
          </w:rPr>
          <w:fldChar w:fldCharType="end"/>
        </w:r>
        <w:r>
          <w:t xml:space="preserve"> | </w:t>
        </w:r>
        <w:r>
          <w:rPr>
            <w:color w:val="7F7F7F" w:themeColor="background1" w:themeShade="7F"/>
            <w:spacing w:val="60"/>
          </w:rPr>
          <w:t>Page</w:t>
        </w:r>
      </w:p>
    </w:sdtContent>
  </w:sdt>
  <w:p w14:paraId="0A7082D4" w14:textId="77777777" w:rsidR="008E5542" w:rsidRDefault="008E5542">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DAAF4B" w14:textId="77777777" w:rsidR="008E5542" w:rsidRDefault="008E554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49822A" w14:textId="77777777" w:rsidR="004A65CA" w:rsidRDefault="004A65CA">
      <w:pPr>
        <w:spacing w:after="0" w:line="240" w:lineRule="auto"/>
      </w:pPr>
      <w:r>
        <w:separator/>
      </w:r>
    </w:p>
  </w:footnote>
  <w:footnote w:type="continuationSeparator" w:id="0">
    <w:p w14:paraId="73654893" w14:textId="77777777" w:rsidR="004A65CA" w:rsidRDefault="004A65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5F1656"/>
    <w:multiLevelType w:val="multilevel"/>
    <w:tmpl w:val="173E183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C810B69"/>
    <w:multiLevelType w:val="hybridMultilevel"/>
    <w:tmpl w:val="E5C8C8F8"/>
    <w:lvl w:ilvl="0" w:tplc="1C090001">
      <w:start w:val="1"/>
      <w:numFmt w:val="bullet"/>
      <w:lvlText w:val=""/>
      <w:lvlJc w:val="left"/>
      <w:pPr>
        <w:ind w:left="5400" w:hanging="360"/>
      </w:pPr>
      <w:rPr>
        <w:rFonts w:ascii="Symbol" w:hAnsi="Symbol" w:hint="default"/>
      </w:rPr>
    </w:lvl>
    <w:lvl w:ilvl="1" w:tplc="1C090003" w:tentative="1">
      <w:start w:val="1"/>
      <w:numFmt w:val="bullet"/>
      <w:lvlText w:val="o"/>
      <w:lvlJc w:val="left"/>
      <w:pPr>
        <w:ind w:left="6120" w:hanging="360"/>
      </w:pPr>
      <w:rPr>
        <w:rFonts w:ascii="Courier New" w:hAnsi="Courier New" w:cs="Courier New" w:hint="default"/>
      </w:rPr>
    </w:lvl>
    <w:lvl w:ilvl="2" w:tplc="1C090005" w:tentative="1">
      <w:start w:val="1"/>
      <w:numFmt w:val="bullet"/>
      <w:lvlText w:val=""/>
      <w:lvlJc w:val="left"/>
      <w:pPr>
        <w:ind w:left="6840" w:hanging="360"/>
      </w:pPr>
      <w:rPr>
        <w:rFonts w:ascii="Wingdings" w:hAnsi="Wingdings" w:hint="default"/>
      </w:rPr>
    </w:lvl>
    <w:lvl w:ilvl="3" w:tplc="1C090001" w:tentative="1">
      <w:start w:val="1"/>
      <w:numFmt w:val="bullet"/>
      <w:lvlText w:val=""/>
      <w:lvlJc w:val="left"/>
      <w:pPr>
        <w:ind w:left="7560" w:hanging="360"/>
      </w:pPr>
      <w:rPr>
        <w:rFonts w:ascii="Symbol" w:hAnsi="Symbol" w:hint="default"/>
      </w:rPr>
    </w:lvl>
    <w:lvl w:ilvl="4" w:tplc="1C090003" w:tentative="1">
      <w:start w:val="1"/>
      <w:numFmt w:val="bullet"/>
      <w:lvlText w:val="o"/>
      <w:lvlJc w:val="left"/>
      <w:pPr>
        <w:ind w:left="8280" w:hanging="360"/>
      </w:pPr>
      <w:rPr>
        <w:rFonts w:ascii="Courier New" w:hAnsi="Courier New" w:cs="Courier New" w:hint="default"/>
      </w:rPr>
    </w:lvl>
    <w:lvl w:ilvl="5" w:tplc="1C090005" w:tentative="1">
      <w:start w:val="1"/>
      <w:numFmt w:val="bullet"/>
      <w:lvlText w:val=""/>
      <w:lvlJc w:val="left"/>
      <w:pPr>
        <w:ind w:left="9000" w:hanging="360"/>
      </w:pPr>
      <w:rPr>
        <w:rFonts w:ascii="Wingdings" w:hAnsi="Wingdings" w:hint="default"/>
      </w:rPr>
    </w:lvl>
    <w:lvl w:ilvl="6" w:tplc="1C090001" w:tentative="1">
      <w:start w:val="1"/>
      <w:numFmt w:val="bullet"/>
      <w:lvlText w:val=""/>
      <w:lvlJc w:val="left"/>
      <w:pPr>
        <w:ind w:left="9720" w:hanging="360"/>
      </w:pPr>
      <w:rPr>
        <w:rFonts w:ascii="Symbol" w:hAnsi="Symbol" w:hint="default"/>
      </w:rPr>
    </w:lvl>
    <w:lvl w:ilvl="7" w:tplc="1C090003" w:tentative="1">
      <w:start w:val="1"/>
      <w:numFmt w:val="bullet"/>
      <w:lvlText w:val="o"/>
      <w:lvlJc w:val="left"/>
      <w:pPr>
        <w:ind w:left="10440" w:hanging="360"/>
      </w:pPr>
      <w:rPr>
        <w:rFonts w:ascii="Courier New" w:hAnsi="Courier New" w:cs="Courier New" w:hint="default"/>
      </w:rPr>
    </w:lvl>
    <w:lvl w:ilvl="8" w:tplc="1C090005" w:tentative="1">
      <w:start w:val="1"/>
      <w:numFmt w:val="bullet"/>
      <w:lvlText w:val=""/>
      <w:lvlJc w:val="left"/>
      <w:pPr>
        <w:ind w:left="11160" w:hanging="360"/>
      </w:pPr>
      <w:rPr>
        <w:rFonts w:ascii="Wingdings" w:hAnsi="Wingdings" w:hint="default"/>
      </w:rPr>
    </w:lvl>
  </w:abstractNum>
  <w:abstractNum w:abstractNumId="2" w15:restartNumberingAfterBreak="0">
    <w:nsid w:val="30F30F10"/>
    <w:multiLevelType w:val="hybridMultilevel"/>
    <w:tmpl w:val="2E62D866"/>
    <w:lvl w:ilvl="0" w:tplc="4B3819D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CAEDFD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9B0FAA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4A2B63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E34F8B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41E6E9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C09A0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B07EE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000715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2993BA0"/>
    <w:multiLevelType w:val="hybridMultilevel"/>
    <w:tmpl w:val="4086CA42"/>
    <w:lvl w:ilvl="0" w:tplc="1C09000F">
      <w:start w:val="1"/>
      <w:numFmt w:val="decimal"/>
      <w:lvlText w:val="%1."/>
      <w:lvlJc w:val="left"/>
      <w:pPr>
        <w:ind w:left="894" w:hanging="360"/>
      </w:pPr>
    </w:lvl>
    <w:lvl w:ilvl="1" w:tplc="1C090019" w:tentative="1">
      <w:start w:val="1"/>
      <w:numFmt w:val="lowerLetter"/>
      <w:lvlText w:val="%2."/>
      <w:lvlJc w:val="left"/>
      <w:pPr>
        <w:ind w:left="1614" w:hanging="360"/>
      </w:pPr>
    </w:lvl>
    <w:lvl w:ilvl="2" w:tplc="1C09001B" w:tentative="1">
      <w:start w:val="1"/>
      <w:numFmt w:val="lowerRoman"/>
      <w:lvlText w:val="%3."/>
      <w:lvlJc w:val="right"/>
      <w:pPr>
        <w:ind w:left="2334" w:hanging="180"/>
      </w:pPr>
    </w:lvl>
    <w:lvl w:ilvl="3" w:tplc="1C09000F" w:tentative="1">
      <w:start w:val="1"/>
      <w:numFmt w:val="decimal"/>
      <w:lvlText w:val="%4."/>
      <w:lvlJc w:val="left"/>
      <w:pPr>
        <w:ind w:left="3054" w:hanging="360"/>
      </w:pPr>
    </w:lvl>
    <w:lvl w:ilvl="4" w:tplc="1C090019" w:tentative="1">
      <w:start w:val="1"/>
      <w:numFmt w:val="lowerLetter"/>
      <w:lvlText w:val="%5."/>
      <w:lvlJc w:val="left"/>
      <w:pPr>
        <w:ind w:left="3774" w:hanging="360"/>
      </w:pPr>
    </w:lvl>
    <w:lvl w:ilvl="5" w:tplc="1C09001B" w:tentative="1">
      <w:start w:val="1"/>
      <w:numFmt w:val="lowerRoman"/>
      <w:lvlText w:val="%6."/>
      <w:lvlJc w:val="right"/>
      <w:pPr>
        <w:ind w:left="4494" w:hanging="180"/>
      </w:pPr>
    </w:lvl>
    <w:lvl w:ilvl="6" w:tplc="1C09000F" w:tentative="1">
      <w:start w:val="1"/>
      <w:numFmt w:val="decimal"/>
      <w:lvlText w:val="%7."/>
      <w:lvlJc w:val="left"/>
      <w:pPr>
        <w:ind w:left="5214" w:hanging="360"/>
      </w:pPr>
    </w:lvl>
    <w:lvl w:ilvl="7" w:tplc="1C090019" w:tentative="1">
      <w:start w:val="1"/>
      <w:numFmt w:val="lowerLetter"/>
      <w:lvlText w:val="%8."/>
      <w:lvlJc w:val="left"/>
      <w:pPr>
        <w:ind w:left="5934" w:hanging="360"/>
      </w:pPr>
    </w:lvl>
    <w:lvl w:ilvl="8" w:tplc="1C09001B" w:tentative="1">
      <w:start w:val="1"/>
      <w:numFmt w:val="lowerRoman"/>
      <w:lvlText w:val="%9."/>
      <w:lvlJc w:val="right"/>
      <w:pPr>
        <w:ind w:left="6654" w:hanging="180"/>
      </w:pPr>
    </w:lvl>
  </w:abstractNum>
  <w:abstractNum w:abstractNumId="4" w15:restartNumberingAfterBreak="0">
    <w:nsid w:val="5436632D"/>
    <w:multiLevelType w:val="hybridMultilevel"/>
    <w:tmpl w:val="142EAD90"/>
    <w:lvl w:ilvl="0" w:tplc="1C090001">
      <w:start w:val="1"/>
      <w:numFmt w:val="bullet"/>
      <w:lvlText w:val=""/>
      <w:lvlJc w:val="left"/>
      <w:pPr>
        <w:ind w:left="544" w:hanging="360"/>
      </w:pPr>
      <w:rPr>
        <w:rFonts w:ascii="Symbol" w:hAnsi="Symbol" w:hint="default"/>
      </w:rPr>
    </w:lvl>
    <w:lvl w:ilvl="1" w:tplc="1C090003" w:tentative="1">
      <w:start w:val="1"/>
      <w:numFmt w:val="bullet"/>
      <w:lvlText w:val="o"/>
      <w:lvlJc w:val="left"/>
      <w:pPr>
        <w:ind w:left="1264" w:hanging="360"/>
      </w:pPr>
      <w:rPr>
        <w:rFonts w:ascii="Courier New" w:hAnsi="Courier New" w:cs="Courier New" w:hint="default"/>
      </w:rPr>
    </w:lvl>
    <w:lvl w:ilvl="2" w:tplc="1C090005" w:tentative="1">
      <w:start w:val="1"/>
      <w:numFmt w:val="bullet"/>
      <w:lvlText w:val=""/>
      <w:lvlJc w:val="left"/>
      <w:pPr>
        <w:ind w:left="1984" w:hanging="360"/>
      </w:pPr>
      <w:rPr>
        <w:rFonts w:ascii="Wingdings" w:hAnsi="Wingdings" w:hint="default"/>
      </w:rPr>
    </w:lvl>
    <w:lvl w:ilvl="3" w:tplc="1C090001" w:tentative="1">
      <w:start w:val="1"/>
      <w:numFmt w:val="bullet"/>
      <w:lvlText w:val=""/>
      <w:lvlJc w:val="left"/>
      <w:pPr>
        <w:ind w:left="2704" w:hanging="360"/>
      </w:pPr>
      <w:rPr>
        <w:rFonts w:ascii="Symbol" w:hAnsi="Symbol" w:hint="default"/>
      </w:rPr>
    </w:lvl>
    <w:lvl w:ilvl="4" w:tplc="1C090003" w:tentative="1">
      <w:start w:val="1"/>
      <w:numFmt w:val="bullet"/>
      <w:lvlText w:val="o"/>
      <w:lvlJc w:val="left"/>
      <w:pPr>
        <w:ind w:left="3424" w:hanging="360"/>
      </w:pPr>
      <w:rPr>
        <w:rFonts w:ascii="Courier New" w:hAnsi="Courier New" w:cs="Courier New" w:hint="default"/>
      </w:rPr>
    </w:lvl>
    <w:lvl w:ilvl="5" w:tplc="1C090005" w:tentative="1">
      <w:start w:val="1"/>
      <w:numFmt w:val="bullet"/>
      <w:lvlText w:val=""/>
      <w:lvlJc w:val="left"/>
      <w:pPr>
        <w:ind w:left="4144" w:hanging="360"/>
      </w:pPr>
      <w:rPr>
        <w:rFonts w:ascii="Wingdings" w:hAnsi="Wingdings" w:hint="default"/>
      </w:rPr>
    </w:lvl>
    <w:lvl w:ilvl="6" w:tplc="1C090001" w:tentative="1">
      <w:start w:val="1"/>
      <w:numFmt w:val="bullet"/>
      <w:lvlText w:val=""/>
      <w:lvlJc w:val="left"/>
      <w:pPr>
        <w:ind w:left="4864" w:hanging="360"/>
      </w:pPr>
      <w:rPr>
        <w:rFonts w:ascii="Symbol" w:hAnsi="Symbol" w:hint="default"/>
      </w:rPr>
    </w:lvl>
    <w:lvl w:ilvl="7" w:tplc="1C090003" w:tentative="1">
      <w:start w:val="1"/>
      <w:numFmt w:val="bullet"/>
      <w:lvlText w:val="o"/>
      <w:lvlJc w:val="left"/>
      <w:pPr>
        <w:ind w:left="5584" w:hanging="360"/>
      </w:pPr>
      <w:rPr>
        <w:rFonts w:ascii="Courier New" w:hAnsi="Courier New" w:cs="Courier New" w:hint="default"/>
      </w:rPr>
    </w:lvl>
    <w:lvl w:ilvl="8" w:tplc="1C090005" w:tentative="1">
      <w:start w:val="1"/>
      <w:numFmt w:val="bullet"/>
      <w:lvlText w:val=""/>
      <w:lvlJc w:val="left"/>
      <w:pPr>
        <w:ind w:left="6304" w:hanging="360"/>
      </w:pPr>
      <w:rPr>
        <w:rFonts w:ascii="Wingdings" w:hAnsi="Wingdings" w:hint="default"/>
      </w:rPr>
    </w:lvl>
  </w:abstractNum>
  <w:abstractNum w:abstractNumId="5" w15:restartNumberingAfterBreak="0">
    <w:nsid w:val="7D766E45"/>
    <w:multiLevelType w:val="multilevel"/>
    <w:tmpl w:val="5AE6AA24"/>
    <w:lvl w:ilvl="0">
      <w:start w:val="1"/>
      <w:numFmt w:val="decimal"/>
      <w:lvlText w:val="%1"/>
      <w:lvlJc w:val="left"/>
      <w:pPr>
        <w:ind w:left="552" w:hanging="552"/>
      </w:pPr>
      <w:rPr>
        <w:rFonts w:hint="default"/>
      </w:rPr>
    </w:lvl>
    <w:lvl w:ilvl="1">
      <w:start w:val="1"/>
      <w:numFmt w:val="decimal"/>
      <w:lvlText w:val="%1.%2"/>
      <w:lvlJc w:val="left"/>
      <w:pPr>
        <w:ind w:left="726" w:hanging="552"/>
      </w:pPr>
      <w:rPr>
        <w:rFonts w:hint="default"/>
      </w:rPr>
    </w:lvl>
    <w:lvl w:ilvl="2">
      <w:start w:val="1"/>
      <w:numFmt w:val="decimal"/>
      <w:lvlText w:val="%1.%2.%3"/>
      <w:lvlJc w:val="left"/>
      <w:pPr>
        <w:ind w:left="1068" w:hanging="720"/>
      </w:pPr>
      <w:rPr>
        <w:rFonts w:hint="default"/>
      </w:rPr>
    </w:lvl>
    <w:lvl w:ilvl="3">
      <w:start w:val="1"/>
      <w:numFmt w:val="decimal"/>
      <w:lvlText w:val="%1.%2.%3.%4"/>
      <w:lvlJc w:val="left"/>
      <w:pPr>
        <w:ind w:left="1242" w:hanging="720"/>
      </w:pPr>
      <w:rPr>
        <w:rFonts w:hint="default"/>
      </w:rPr>
    </w:lvl>
    <w:lvl w:ilvl="4">
      <w:start w:val="1"/>
      <w:numFmt w:val="decimal"/>
      <w:lvlText w:val="%1.%2.%3.%4.%5"/>
      <w:lvlJc w:val="left"/>
      <w:pPr>
        <w:ind w:left="1776" w:hanging="1080"/>
      </w:pPr>
      <w:rPr>
        <w:rFonts w:hint="default"/>
      </w:rPr>
    </w:lvl>
    <w:lvl w:ilvl="5">
      <w:start w:val="1"/>
      <w:numFmt w:val="decimal"/>
      <w:lvlText w:val="%1.%2.%3.%4.%5.%6"/>
      <w:lvlJc w:val="left"/>
      <w:pPr>
        <w:ind w:left="2310" w:hanging="1440"/>
      </w:pPr>
      <w:rPr>
        <w:rFonts w:hint="default"/>
      </w:rPr>
    </w:lvl>
    <w:lvl w:ilvl="6">
      <w:start w:val="1"/>
      <w:numFmt w:val="decimal"/>
      <w:lvlText w:val="%1.%2.%3.%4.%5.%6.%7"/>
      <w:lvlJc w:val="left"/>
      <w:pPr>
        <w:ind w:left="2484" w:hanging="1440"/>
      </w:pPr>
      <w:rPr>
        <w:rFonts w:hint="default"/>
      </w:rPr>
    </w:lvl>
    <w:lvl w:ilvl="7">
      <w:start w:val="1"/>
      <w:numFmt w:val="decimal"/>
      <w:lvlText w:val="%1.%2.%3.%4.%5.%6.%7.%8"/>
      <w:lvlJc w:val="left"/>
      <w:pPr>
        <w:ind w:left="3018" w:hanging="1800"/>
      </w:pPr>
      <w:rPr>
        <w:rFonts w:hint="default"/>
      </w:rPr>
    </w:lvl>
    <w:lvl w:ilvl="8">
      <w:start w:val="1"/>
      <w:numFmt w:val="decimal"/>
      <w:lvlText w:val="%1.%2.%3.%4.%5.%6.%7.%8.%9"/>
      <w:lvlJc w:val="left"/>
      <w:pPr>
        <w:ind w:left="3192" w:hanging="1800"/>
      </w:pPr>
      <w:rPr>
        <w:rFonts w:hint="default"/>
      </w:rPr>
    </w:lvl>
  </w:abstractNum>
  <w:num w:numId="1">
    <w:abstractNumId w:val="2"/>
  </w:num>
  <w:num w:numId="2">
    <w:abstractNumId w:val="0"/>
  </w:num>
  <w:num w:numId="3">
    <w:abstractNumId w:val="1"/>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32E8"/>
    <w:rsid w:val="00002C0E"/>
    <w:rsid w:val="00004840"/>
    <w:rsid w:val="00011690"/>
    <w:rsid w:val="00012FB2"/>
    <w:rsid w:val="0001379A"/>
    <w:rsid w:val="000155C8"/>
    <w:rsid w:val="0001776A"/>
    <w:rsid w:val="00017AEB"/>
    <w:rsid w:val="00017C68"/>
    <w:rsid w:val="00020DA0"/>
    <w:rsid w:val="000278FE"/>
    <w:rsid w:val="00032991"/>
    <w:rsid w:val="0004256D"/>
    <w:rsid w:val="000577E8"/>
    <w:rsid w:val="00066566"/>
    <w:rsid w:val="00066BE9"/>
    <w:rsid w:val="000712D9"/>
    <w:rsid w:val="00074F54"/>
    <w:rsid w:val="00077A69"/>
    <w:rsid w:val="000845E5"/>
    <w:rsid w:val="000861CA"/>
    <w:rsid w:val="00090535"/>
    <w:rsid w:val="00093553"/>
    <w:rsid w:val="00095351"/>
    <w:rsid w:val="0009746C"/>
    <w:rsid w:val="00097CA6"/>
    <w:rsid w:val="000B29BC"/>
    <w:rsid w:val="000B5388"/>
    <w:rsid w:val="000B5678"/>
    <w:rsid w:val="000C1C16"/>
    <w:rsid w:val="000C3B1B"/>
    <w:rsid w:val="000C615A"/>
    <w:rsid w:val="000D0DD4"/>
    <w:rsid w:val="000D40DE"/>
    <w:rsid w:val="000D7611"/>
    <w:rsid w:val="000F2D34"/>
    <w:rsid w:val="000F5F47"/>
    <w:rsid w:val="000F6441"/>
    <w:rsid w:val="00106421"/>
    <w:rsid w:val="001070D3"/>
    <w:rsid w:val="00110640"/>
    <w:rsid w:val="001145A5"/>
    <w:rsid w:val="00115C08"/>
    <w:rsid w:val="001210D9"/>
    <w:rsid w:val="001239B7"/>
    <w:rsid w:val="0013279B"/>
    <w:rsid w:val="00132EF9"/>
    <w:rsid w:val="0013487F"/>
    <w:rsid w:val="0013559A"/>
    <w:rsid w:val="0014074A"/>
    <w:rsid w:val="00140B2E"/>
    <w:rsid w:val="00143FE6"/>
    <w:rsid w:val="00146ABA"/>
    <w:rsid w:val="00150437"/>
    <w:rsid w:val="00152B80"/>
    <w:rsid w:val="0016568F"/>
    <w:rsid w:val="0016760B"/>
    <w:rsid w:val="001864F5"/>
    <w:rsid w:val="001949F5"/>
    <w:rsid w:val="001A14E5"/>
    <w:rsid w:val="001A6F16"/>
    <w:rsid w:val="001B1737"/>
    <w:rsid w:val="001C30A6"/>
    <w:rsid w:val="001C38FA"/>
    <w:rsid w:val="001C43D1"/>
    <w:rsid w:val="001C51B5"/>
    <w:rsid w:val="001C64A7"/>
    <w:rsid w:val="001C67FF"/>
    <w:rsid w:val="001D10F5"/>
    <w:rsid w:val="001D7F37"/>
    <w:rsid w:val="001E5B09"/>
    <w:rsid w:val="001E76EE"/>
    <w:rsid w:val="001F678C"/>
    <w:rsid w:val="002004D7"/>
    <w:rsid w:val="00207987"/>
    <w:rsid w:val="00211EA2"/>
    <w:rsid w:val="0021321A"/>
    <w:rsid w:val="0021625D"/>
    <w:rsid w:val="0022029A"/>
    <w:rsid w:val="00223582"/>
    <w:rsid w:val="00231226"/>
    <w:rsid w:val="00234D1F"/>
    <w:rsid w:val="00236A2B"/>
    <w:rsid w:val="00237247"/>
    <w:rsid w:val="00247C2F"/>
    <w:rsid w:val="00250006"/>
    <w:rsid w:val="002524BB"/>
    <w:rsid w:val="00263455"/>
    <w:rsid w:val="00274F2E"/>
    <w:rsid w:val="0027569B"/>
    <w:rsid w:val="002759EA"/>
    <w:rsid w:val="00280F02"/>
    <w:rsid w:val="00285A14"/>
    <w:rsid w:val="002871F2"/>
    <w:rsid w:val="00287848"/>
    <w:rsid w:val="00293132"/>
    <w:rsid w:val="00296794"/>
    <w:rsid w:val="002A199A"/>
    <w:rsid w:val="002A2F4F"/>
    <w:rsid w:val="002A46C7"/>
    <w:rsid w:val="002C6FC2"/>
    <w:rsid w:val="002C728B"/>
    <w:rsid w:val="002D07EC"/>
    <w:rsid w:val="002D315A"/>
    <w:rsid w:val="002D61C9"/>
    <w:rsid w:val="002E523D"/>
    <w:rsid w:val="002E5CEC"/>
    <w:rsid w:val="002F24E7"/>
    <w:rsid w:val="002F2582"/>
    <w:rsid w:val="002F4880"/>
    <w:rsid w:val="002F75AC"/>
    <w:rsid w:val="00317BB4"/>
    <w:rsid w:val="00321BE5"/>
    <w:rsid w:val="003221A3"/>
    <w:rsid w:val="00325CF7"/>
    <w:rsid w:val="00327506"/>
    <w:rsid w:val="00334E6F"/>
    <w:rsid w:val="00335CBB"/>
    <w:rsid w:val="00350BFE"/>
    <w:rsid w:val="00355780"/>
    <w:rsid w:val="0035602E"/>
    <w:rsid w:val="00357BE8"/>
    <w:rsid w:val="00363591"/>
    <w:rsid w:val="0036388A"/>
    <w:rsid w:val="00364D8C"/>
    <w:rsid w:val="00367856"/>
    <w:rsid w:val="003758A2"/>
    <w:rsid w:val="00381B66"/>
    <w:rsid w:val="0038226C"/>
    <w:rsid w:val="003825AF"/>
    <w:rsid w:val="00383362"/>
    <w:rsid w:val="003841F8"/>
    <w:rsid w:val="00384C54"/>
    <w:rsid w:val="003871B0"/>
    <w:rsid w:val="0039593E"/>
    <w:rsid w:val="003970FC"/>
    <w:rsid w:val="003A1203"/>
    <w:rsid w:val="003A4E08"/>
    <w:rsid w:val="003A5F86"/>
    <w:rsid w:val="003B2ABD"/>
    <w:rsid w:val="003B4DA5"/>
    <w:rsid w:val="003B5832"/>
    <w:rsid w:val="003B6C90"/>
    <w:rsid w:val="003E04E9"/>
    <w:rsid w:val="003E1512"/>
    <w:rsid w:val="003F4933"/>
    <w:rsid w:val="00410344"/>
    <w:rsid w:val="0041265A"/>
    <w:rsid w:val="0041328D"/>
    <w:rsid w:val="00414FC4"/>
    <w:rsid w:val="00416D57"/>
    <w:rsid w:val="004227A5"/>
    <w:rsid w:val="004246CE"/>
    <w:rsid w:val="00425FC1"/>
    <w:rsid w:val="00431999"/>
    <w:rsid w:val="004349B4"/>
    <w:rsid w:val="00437D50"/>
    <w:rsid w:val="0044220A"/>
    <w:rsid w:val="00445D84"/>
    <w:rsid w:val="0045074B"/>
    <w:rsid w:val="00451545"/>
    <w:rsid w:val="00460FB9"/>
    <w:rsid w:val="00474FC5"/>
    <w:rsid w:val="00476790"/>
    <w:rsid w:val="00477558"/>
    <w:rsid w:val="00477CD6"/>
    <w:rsid w:val="004859FE"/>
    <w:rsid w:val="00490BCC"/>
    <w:rsid w:val="004949C3"/>
    <w:rsid w:val="0049704D"/>
    <w:rsid w:val="004A5478"/>
    <w:rsid w:val="004A6299"/>
    <w:rsid w:val="004A65CA"/>
    <w:rsid w:val="004B01DF"/>
    <w:rsid w:val="004B0C16"/>
    <w:rsid w:val="004B3C6E"/>
    <w:rsid w:val="004B4581"/>
    <w:rsid w:val="004B4E3C"/>
    <w:rsid w:val="004B7B41"/>
    <w:rsid w:val="004C0D4F"/>
    <w:rsid w:val="004C25AD"/>
    <w:rsid w:val="004C2737"/>
    <w:rsid w:val="004C3EB6"/>
    <w:rsid w:val="004C7BB0"/>
    <w:rsid w:val="004C7C28"/>
    <w:rsid w:val="004C7F2E"/>
    <w:rsid w:val="004D1864"/>
    <w:rsid w:val="004E3F08"/>
    <w:rsid w:val="004E7118"/>
    <w:rsid w:val="004F131C"/>
    <w:rsid w:val="004F56AB"/>
    <w:rsid w:val="004F79F8"/>
    <w:rsid w:val="00501E65"/>
    <w:rsid w:val="005057AF"/>
    <w:rsid w:val="00507D0D"/>
    <w:rsid w:val="0051174B"/>
    <w:rsid w:val="00516483"/>
    <w:rsid w:val="005170A8"/>
    <w:rsid w:val="00521325"/>
    <w:rsid w:val="00523A35"/>
    <w:rsid w:val="005244BA"/>
    <w:rsid w:val="00525647"/>
    <w:rsid w:val="0053216A"/>
    <w:rsid w:val="005330B4"/>
    <w:rsid w:val="005332A1"/>
    <w:rsid w:val="00536234"/>
    <w:rsid w:val="0054102C"/>
    <w:rsid w:val="0054424C"/>
    <w:rsid w:val="00544530"/>
    <w:rsid w:val="00545045"/>
    <w:rsid w:val="005572B1"/>
    <w:rsid w:val="005575C3"/>
    <w:rsid w:val="00557A94"/>
    <w:rsid w:val="0056278E"/>
    <w:rsid w:val="005654E3"/>
    <w:rsid w:val="0057433A"/>
    <w:rsid w:val="00575639"/>
    <w:rsid w:val="00583A8A"/>
    <w:rsid w:val="00584000"/>
    <w:rsid w:val="00587A6F"/>
    <w:rsid w:val="00592B5E"/>
    <w:rsid w:val="00594EFB"/>
    <w:rsid w:val="005961C9"/>
    <w:rsid w:val="005A034F"/>
    <w:rsid w:val="005A407B"/>
    <w:rsid w:val="005A4BD4"/>
    <w:rsid w:val="005C3082"/>
    <w:rsid w:val="005C7036"/>
    <w:rsid w:val="005D0186"/>
    <w:rsid w:val="005D2A2D"/>
    <w:rsid w:val="005E1A8B"/>
    <w:rsid w:val="005E2054"/>
    <w:rsid w:val="005E63B3"/>
    <w:rsid w:val="005F03A4"/>
    <w:rsid w:val="005F093A"/>
    <w:rsid w:val="005F30CC"/>
    <w:rsid w:val="00601204"/>
    <w:rsid w:val="006057A6"/>
    <w:rsid w:val="006113B7"/>
    <w:rsid w:val="006121C3"/>
    <w:rsid w:val="006132CF"/>
    <w:rsid w:val="006203A0"/>
    <w:rsid w:val="006218F1"/>
    <w:rsid w:val="006258B4"/>
    <w:rsid w:val="00626275"/>
    <w:rsid w:val="006332E8"/>
    <w:rsid w:val="006333FA"/>
    <w:rsid w:val="00642C32"/>
    <w:rsid w:val="00642C7F"/>
    <w:rsid w:val="00644948"/>
    <w:rsid w:val="00652A46"/>
    <w:rsid w:val="006549A7"/>
    <w:rsid w:val="00667747"/>
    <w:rsid w:val="00667B06"/>
    <w:rsid w:val="00671D74"/>
    <w:rsid w:val="006758C9"/>
    <w:rsid w:val="00675F64"/>
    <w:rsid w:val="0067651A"/>
    <w:rsid w:val="00676BB7"/>
    <w:rsid w:val="00684ABC"/>
    <w:rsid w:val="00684DF0"/>
    <w:rsid w:val="006860E7"/>
    <w:rsid w:val="00687E29"/>
    <w:rsid w:val="0069016A"/>
    <w:rsid w:val="006940C1"/>
    <w:rsid w:val="0069559F"/>
    <w:rsid w:val="00696D15"/>
    <w:rsid w:val="00696E06"/>
    <w:rsid w:val="006A4EE6"/>
    <w:rsid w:val="006B4CE4"/>
    <w:rsid w:val="006B6C92"/>
    <w:rsid w:val="006B72BE"/>
    <w:rsid w:val="006B7584"/>
    <w:rsid w:val="006B76A9"/>
    <w:rsid w:val="006C7247"/>
    <w:rsid w:val="006D2F0F"/>
    <w:rsid w:val="006D7063"/>
    <w:rsid w:val="006E1FC1"/>
    <w:rsid w:val="006E4339"/>
    <w:rsid w:val="006F44AB"/>
    <w:rsid w:val="00702A65"/>
    <w:rsid w:val="007067BB"/>
    <w:rsid w:val="007111F1"/>
    <w:rsid w:val="00713790"/>
    <w:rsid w:val="00713AAE"/>
    <w:rsid w:val="007154C4"/>
    <w:rsid w:val="0071561C"/>
    <w:rsid w:val="007168DF"/>
    <w:rsid w:val="00721AB8"/>
    <w:rsid w:val="007244FC"/>
    <w:rsid w:val="007262DD"/>
    <w:rsid w:val="00727340"/>
    <w:rsid w:val="00730A96"/>
    <w:rsid w:val="0073699E"/>
    <w:rsid w:val="00736CBE"/>
    <w:rsid w:val="00754828"/>
    <w:rsid w:val="007560FD"/>
    <w:rsid w:val="00760448"/>
    <w:rsid w:val="00766427"/>
    <w:rsid w:val="00770E35"/>
    <w:rsid w:val="00773401"/>
    <w:rsid w:val="007865F7"/>
    <w:rsid w:val="007A0383"/>
    <w:rsid w:val="007A09F3"/>
    <w:rsid w:val="007A3708"/>
    <w:rsid w:val="007A6B98"/>
    <w:rsid w:val="007B01A2"/>
    <w:rsid w:val="007B0BDB"/>
    <w:rsid w:val="007B4AF4"/>
    <w:rsid w:val="007C02A8"/>
    <w:rsid w:val="007D060D"/>
    <w:rsid w:val="007D0AA3"/>
    <w:rsid w:val="007D5694"/>
    <w:rsid w:val="007D6445"/>
    <w:rsid w:val="007E103C"/>
    <w:rsid w:val="007E5BB2"/>
    <w:rsid w:val="007E686D"/>
    <w:rsid w:val="007E70F5"/>
    <w:rsid w:val="007F168D"/>
    <w:rsid w:val="007F1E60"/>
    <w:rsid w:val="007F3189"/>
    <w:rsid w:val="007F6469"/>
    <w:rsid w:val="00814846"/>
    <w:rsid w:val="00816535"/>
    <w:rsid w:val="00821412"/>
    <w:rsid w:val="008219AB"/>
    <w:rsid w:val="00822905"/>
    <w:rsid w:val="00826A65"/>
    <w:rsid w:val="00833CC0"/>
    <w:rsid w:val="008463F8"/>
    <w:rsid w:val="00852B96"/>
    <w:rsid w:val="00853C53"/>
    <w:rsid w:val="00853C5C"/>
    <w:rsid w:val="00861ABB"/>
    <w:rsid w:val="008643FF"/>
    <w:rsid w:val="00865228"/>
    <w:rsid w:val="00866489"/>
    <w:rsid w:val="00871F54"/>
    <w:rsid w:val="00871F94"/>
    <w:rsid w:val="0087349D"/>
    <w:rsid w:val="00876C4B"/>
    <w:rsid w:val="00877791"/>
    <w:rsid w:val="00883733"/>
    <w:rsid w:val="008838F2"/>
    <w:rsid w:val="00891C3C"/>
    <w:rsid w:val="0089234E"/>
    <w:rsid w:val="008951DB"/>
    <w:rsid w:val="00897077"/>
    <w:rsid w:val="008A0FCE"/>
    <w:rsid w:val="008A3513"/>
    <w:rsid w:val="008A5121"/>
    <w:rsid w:val="008A535E"/>
    <w:rsid w:val="008A63EE"/>
    <w:rsid w:val="008B02D1"/>
    <w:rsid w:val="008B5812"/>
    <w:rsid w:val="008C2F0C"/>
    <w:rsid w:val="008D09EB"/>
    <w:rsid w:val="008D1A1E"/>
    <w:rsid w:val="008D39D1"/>
    <w:rsid w:val="008E0B01"/>
    <w:rsid w:val="008E1209"/>
    <w:rsid w:val="008E5542"/>
    <w:rsid w:val="008F2EC9"/>
    <w:rsid w:val="008F583D"/>
    <w:rsid w:val="00901638"/>
    <w:rsid w:val="009036E6"/>
    <w:rsid w:val="0090451A"/>
    <w:rsid w:val="009047CD"/>
    <w:rsid w:val="00904AD2"/>
    <w:rsid w:val="009203DC"/>
    <w:rsid w:val="009228CF"/>
    <w:rsid w:val="0093270B"/>
    <w:rsid w:val="0093623D"/>
    <w:rsid w:val="00942D0A"/>
    <w:rsid w:val="009440A2"/>
    <w:rsid w:val="009520D9"/>
    <w:rsid w:val="009621A7"/>
    <w:rsid w:val="00963497"/>
    <w:rsid w:val="00965EDA"/>
    <w:rsid w:val="00967FB4"/>
    <w:rsid w:val="00972879"/>
    <w:rsid w:val="00980664"/>
    <w:rsid w:val="009812E4"/>
    <w:rsid w:val="00984694"/>
    <w:rsid w:val="00992526"/>
    <w:rsid w:val="00994225"/>
    <w:rsid w:val="009950DC"/>
    <w:rsid w:val="009976B0"/>
    <w:rsid w:val="009A04FC"/>
    <w:rsid w:val="009A65B4"/>
    <w:rsid w:val="009A663E"/>
    <w:rsid w:val="009A6DBF"/>
    <w:rsid w:val="009B02B5"/>
    <w:rsid w:val="009B1C31"/>
    <w:rsid w:val="009B1D8E"/>
    <w:rsid w:val="009B2003"/>
    <w:rsid w:val="009B2BD2"/>
    <w:rsid w:val="009B459F"/>
    <w:rsid w:val="009C3678"/>
    <w:rsid w:val="009C3D4B"/>
    <w:rsid w:val="009C7006"/>
    <w:rsid w:val="009C746D"/>
    <w:rsid w:val="009D48C6"/>
    <w:rsid w:val="009D5140"/>
    <w:rsid w:val="009E2CC7"/>
    <w:rsid w:val="009E508C"/>
    <w:rsid w:val="009F0E57"/>
    <w:rsid w:val="009F14D0"/>
    <w:rsid w:val="009F5055"/>
    <w:rsid w:val="009F72E4"/>
    <w:rsid w:val="00A04D1A"/>
    <w:rsid w:val="00A12781"/>
    <w:rsid w:val="00A14BA6"/>
    <w:rsid w:val="00A41C96"/>
    <w:rsid w:val="00A42D84"/>
    <w:rsid w:val="00A509B1"/>
    <w:rsid w:val="00A522D4"/>
    <w:rsid w:val="00A53B61"/>
    <w:rsid w:val="00A53BD2"/>
    <w:rsid w:val="00A552BB"/>
    <w:rsid w:val="00A56950"/>
    <w:rsid w:val="00A57CC6"/>
    <w:rsid w:val="00A60490"/>
    <w:rsid w:val="00A66B71"/>
    <w:rsid w:val="00A71347"/>
    <w:rsid w:val="00A71948"/>
    <w:rsid w:val="00A75B31"/>
    <w:rsid w:val="00A77CCE"/>
    <w:rsid w:val="00A94442"/>
    <w:rsid w:val="00AA0FA2"/>
    <w:rsid w:val="00AA259C"/>
    <w:rsid w:val="00AA603F"/>
    <w:rsid w:val="00AB6321"/>
    <w:rsid w:val="00AC040D"/>
    <w:rsid w:val="00AC5384"/>
    <w:rsid w:val="00AC57D0"/>
    <w:rsid w:val="00AC5A6F"/>
    <w:rsid w:val="00AC6C2E"/>
    <w:rsid w:val="00AC77C3"/>
    <w:rsid w:val="00AD7E28"/>
    <w:rsid w:val="00AE66B6"/>
    <w:rsid w:val="00B026C5"/>
    <w:rsid w:val="00B173A9"/>
    <w:rsid w:val="00B17F28"/>
    <w:rsid w:val="00B207A4"/>
    <w:rsid w:val="00B20C36"/>
    <w:rsid w:val="00B273BF"/>
    <w:rsid w:val="00B303FA"/>
    <w:rsid w:val="00B30F6D"/>
    <w:rsid w:val="00B328BC"/>
    <w:rsid w:val="00B41E8D"/>
    <w:rsid w:val="00B42CE5"/>
    <w:rsid w:val="00B44548"/>
    <w:rsid w:val="00B46E5C"/>
    <w:rsid w:val="00B5127E"/>
    <w:rsid w:val="00B56DC0"/>
    <w:rsid w:val="00B67F31"/>
    <w:rsid w:val="00B70501"/>
    <w:rsid w:val="00B765D8"/>
    <w:rsid w:val="00B77232"/>
    <w:rsid w:val="00B82C2A"/>
    <w:rsid w:val="00B83FE0"/>
    <w:rsid w:val="00B9033E"/>
    <w:rsid w:val="00BA23B7"/>
    <w:rsid w:val="00BA3789"/>
    <w:rsid w:val="00BB0ACD"/>
    <w:rsid w:val="00BB16B2"/>
    <w:rsid w:val="00BB32B0"/>
    <w:rsid w:val="00BB336D"/>
    <w:rsid w:val="00BB4887"/>
    <w:rsid w:val="00BC15EF"/>
    <w:rsid w:val="00BC5700"/>
    <w:rsid w:val="00BD16E9"/>
    <w:rsid w:val="00BD3157"/>
    <w:rsid w:val="00BD39A6"/>
    <w:rsid w:val="00BD41B1"/>
    <w:rsid w:val="00BD48BC"/>
    <w:rsid w:val="00BD6FCF"/>
    <w:rsid w:val="00BE229E"/>
    <w:rsid w:val="00BE41EA"/>
    <w:rsid w:val="00BE5A70"/>
    <w:rsid w:val="00BF2707"/>
    <w:rsid w:val="00BF336C"/>
    <w:rsid w:val="00C00BE2"/>
    <w:rsid w:val="00C035C6"/>
    <w:rsid w:val="00C06E47"/>
    <w:rsid w:val="00C11B45"/>
    <w:rsid w:val="00C13A2E"/>
    <w:rsid w:val="00C153AB"/>
    <w:rsid w:val="00C22699"/>
    <w:rsid w:val="00C234AE"/>
    <w:rsid w:val="00C26E53"/>
    <w:rsid w:val="00C33190"/>
    <w:rsid w:val="00C36CBE"/>
    <w:rsid w:val="00C410BE"/>
    <w:rsid w:val="00C42E22"/>
    <w:rsid w:val="00C437A3"/>
    <w:rsid w:val="00C44A1D"/>
    <w:rsid w:val="00C47409"/>
    <w:rsid w:val="00C4773B"/>
    <w:rsid w:val="00C5539D"/>
    <w:rsid w:val="00C619E7"/>
    <w:rsid w:val="00C655AD"/>
    <w:rsid w:val="00C702B1"/>
    <w:rsid w:val="00C71B3F"/>
    <w:rsid w:val="00C81E31"/>
    <w:rsid w:val="00C8407E"/>
    <w:rsid w:val="00C856EB"/>
    <w:rsid w:val="00C86F9F"/>
    <w:rsid w:val="00C8769B"/>
    <w:rsid w:val="00C94878"/>
    <w:rsid w:val="00C97CFD"/>
    <w:rsid w:val="00CA0B89"/>
    <w:rsid w:val="00CA1E77"/>
    <w:rsid w:val="00CA249A"/>
    <w:rsid w:val="00CA6074"/>
    <w:rsid w:val="00CA63C2"/>
    <w:rsid w:val="00CA6E24"/>
    <w:rsid w:val="00CB7026"/>
    <w:rsid w:val="00CC04C3"/>
    <w:rsid w:val="00CC1B53"/>
    <w:rsid w:val="00CC286A"/>
    <w:rsid w:val="00CD2736"/>
    <w:rsid w:val="00CD3783"/>
    <w:rsid w:val="00CD3B83"/>
    <w:rsid w:val="00CE0046"/>
    <w:rsid w:val="00CE3E70"/>
    <w:rsid w:val="00CF1087"/>
    <w:rsid w:val="00CF12DC"/>
    <w:rsid w:val="00CF2241"/>
    <w:rsid w:val="00CF3108"/>
    <w:rsid w:val="00CF6535"/>
    <w:rsid w:val="00CF75DF"/>
    <w:rsid w:val="00D04AEB"/>
    <w:rsid w:val="00D12743"/>
    <w:rsid w:val="00D141D7"/>
    <w:rsid w:val="00D27B8F"/>
    <w:rsid w:val="00D30D4F"/>
    <w:rsid w:val="00D37AB0"/>
    <w:rsid w:val="00D37CC2"/>
    <w:rsid w:val="00D400FD"/>
    <w:rsid w:val="00D426B5"/>
    <w:rsid w:val="00D431C5"/>
    <w:rsid w:val="00D5048C"/>
    <w:rsid w:val="00D50816"/>
    <w:rsid w:val="00D514EC"/>
    <w:rsid w:val="00D52254"/>
    <w:rsid w:val="00D62DF2"/>
    <w:rsid w:val="00D714C2"/>
    <w:rsid w:val="00D74C3B"/>
    <w:rsid w:val="00D771E8"/>
    <w:rsid w:val="00D80BB9"/>
    <w:rsid w:val="00D81217"/>
    <w:rsid w:val="00D85C4D"/>
    <w:rsid w:val="00D85CF8"/>
    <w:rsid w:val="00DA2045"/>
    <w:rsid w:val="00DA24C0"/>
    <w:rsid w:val="00DA2A65"/>
    <w:rsid w:val="00DA2E1C"/>
    <w:rsid w:val="00DA5381"/>
    <w:rsid w:val="00DA6515"/>
    <w:rsid w:val="00DB4215"/>
    <w:rsid w:val="00DB66B6"/>
    <w:rsid w:val="00DC6A6A"/>
    <w:rsid w:val="00DD0D9D"/>
    <w:rsid w:val="00DD3FE3"/>
    <w:rsid w:val="00DE0B0D"/>
    <w:rsid w:val="00DE52DA"/>
    <w:rsid w:val="00DF22E4"/>
    <w:rsid w:val="00DF45C0"/>
    <w:rsid w:val="00DF4A42"/>
    <w:rsid w:val="00DF6862"/>
    <w:rsid w:val="00E0626A"/>
    <w:rsid w:val="00E1097B"/>
    <w:rsid w:val="00E13D87"/>
    <w:rsid w:val="00E13DDF"/>
    <w:rsid w:val="00E14564"/>
    <w:rsid w:val="00E20BCE"/>
    <w:rsid w:val="00E22D82"/>
    <w:rsid w:val="00E25FBD"/>
    <w:rsid w:val="00E2648D"/>
    <w:rsid w:val="00E33412"/>
    <w:rsid w:val="00E36F05"/>
    <w:rsid w:val="00E4154F"/>
    <w:rsid w:val="00E42C56"/>
    <w:rsid w:val="00E437D5"/>
    <w:rsid w:val="00E44257"/>
    <w:rsid w:val="00E514A0"/>
    <w:rsid w:val="00E5448A"/>
    <w:rsid w:val="00E63195"/>
    <w:rsid w:val="00E63617"/>
    <w:rsid w:val="00E63A0E"/>
    <w:rsid w:val="00E64C5C"/>
    <w:rsid w:val="00E65E73"/>
    <w:rsid w:val="00E76C0B"/>
    <w:rsid w:val="00E76D86"/>
    <w:rsid w:val="00E800E2"/>
    <w:rsid w:val="00E8018B"/>
    <w:rsid w:val="00E8246F"/>
    <w:rsid w:val="00E82A27"/>
    <w:rsid w:val="00E84E85"/>
    <w:rsid w:val="00E8635B"/>
    <w:rsid w:val="00E8679C"/>
    <w:rsid w:val="00E907C0"/>
    <w:rsid w:val="00E91386"/>
    <w:rsid w:val="00E92D66"/>
    <w:rsid w:val="00E9324D"/>
    <w:rsid w:val="00E966CB"/>
    <w:rsid w:val="00EA229D"/>
    <w:rsid w:val="00EB0989"/>
    <w:rsid w:val="00EB346B"/>
    <w:rsid w:val="00EB5336"/>
    <w:rsid w:val="00EB59BD"/>
    <w:rsid w:val="00EC02E6"/>
    <w:rsid w:val="00EC12BD"/>
    <w:rsid w:val="00ED33E6"/>
    <w:rsid w:val="00EE038A"/>
    <w:rsid w:val="00EE299D"/>
    <w:rsid w:val="00EF50ED"/>
    <w:rsid w:val="00F00943"/>
    <w:rsid w:val="00F0300C"/>
    <w:rsid w:val="00F04E8C"/>
    <w:rsid w:val="00F055FF"/>
    <w:rsid w:val="00F16588"/>
    <w:rsid w:val="00F167D0"/>
    <w:rsid w:val="00F17A77"/>
    <w:rsid w:val="00F20036"/>
    <w:rsid w:val="00F25222"/>
    <w:rsid w:val="00F34E33"/>
    <w:rsid w:val="00F3591F"/>
    <w:rsid w:val="00F37650"/>
    <w:rsid w:val="00F5113A"/>
    <w:rsid w:val="00F57D76"/>
    <w:rsid w:val="00F6221F"/>
    <w:rsid w:val="00F62EA1"/>
    <w:rsid w:val="00F67AE7"/>
    <w:rsid w:val="00F74167"/>
    <w:rsid w:val="00F770F2"/>
    <w:rsid w:val="00F80930"/>
    <w:rsid w:val="00F81353"/>
    <w:rsid w:val="00F836B9"/>
    <w:rsid w:val="00F849FE"/>
    <w:rsid w:val="00F84DD2"/>
    <w:rsid w:val="00F862EB"/>
    <w:rsid w:val="00F8793D"/>
    <w:rsid w:val="00F94EED"/>
    <w:rsid w:val="00F96CF4"/>
    <w:rsid w:val="00FA26C0"/>
    <w:rsid w:val="00FA33DF"/>
    <w:rsid w:val="00FA37D0"/>
    <w:rsid w:val="00FB1E9C"/>
    <w:rsid w:val="00FB3DD7"/>
    <w:rsid w:val="00FD34EB"/>
    <w:rsid w:val="00FD653F"/>
    <w:rsid w:val="00FE07C1"/>
    <w:rsid w:val="00FE107A"/>
    <w:rsid w:val="00FE23F6"/>
    <w:rsid w:val="00FE24BA"/>
    <w:rsid w:val="00FF20EE"/>
    <w:rsid w:val="00FF5F90"/>
    <w:rsid w:val="00FF70F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4D9AD"/>
  <w15:docId w15:val="{C5750A79-E496-4406-8FE3-98681EBD7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0B89"/>
    <w:pPr>
      <w:spacing w:after="194" w:line="365" w:lineRule="auto"/>
      <w:ind w:left="184" w:hanging="10"/>
      <w:jc w:val="both"/>
    </w:pPr>
    <w:rPr>
      <w:rFonts w:ascii="Arial" w:eastAsia="Arial" w:hAnsi="Arial" w:cs="Arial"/>
      <w:color w:val="000000"/>
      <w:sz w:val="24"/>
      <w:lang w:eastAsia="en-ZA"/>
    </w:rPr>
  </w:style>
  <w:style w:type="paragraph" w:styleId="Heading1">
    <w:name w:val="heading 1"/>
    <w:basedOn w:val="Normal"/>
    <w:next w:val="Normal"/>
    <w:link w:val="Heading1Char"/>
    <w:uiPriority w:val="9"/>
    <w:qFormat/>
    <w:rsid w:val="00A75B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B758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95351"/>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5B31"/>
    <w:rPr>
      <w:rFonts w:asciiTheme="majorHAnsi" w:eastAsiaTheme="majorEastAsia" w:hAnsiTheme="majorHAnsi" w:cstheme="majorBidi"/>
      <w:color w:val="2E74B5" w:themeColor="accent1" w:themeShade="BF"/>
      <w:sz w:val="32"/>
      <w:szCs w:val="32"/>
      <w:lang w:eastAsia="en-ZA"/>
    </w:rPr>
  </w:style>
  <w:style w:type="character" w:customStyle="1" w:styleId="Heading2Char">
    <w:name w:val="Heading 2 Char"/>
    <w:basedOn w:val="DefaultParagraphFont"/>
    <w:link w:val="Heading2"/>
    <w:uiPriority w:val="9"/>
    <w:rsid w:val="006B7584"/>
    <w:rPr>
      <w:rFonts w:asciiTheme="majorHAnsi" w:eastAsiaTheme="majorEastAsia" w:hAnsiTheme="majorHAnsi" w:cstheme="majorBidi"/>
      <w:color w:val="2E74B5" w:themeColor="accent1" w:themeShade="BF"/>
      <w:sz w:val="26"/>
      <w:szCs w:val="26"/>
      <w:lang w:eastAsia="en-ZA"/>
    </w:rPr>
  </w:style>
  <w:style w:type="paragraph" w:styleId="NoSpacing">
    <w:name w:val="No Spacing"/>
    <w:link w:val="NoSpacingChar"/>
    <w:uiPriority w:val="1"/>
    <w:qFormat/>
    <w:rsid w:val="00A75B3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75B31"/>
    <w:rPr>
      <w:rFonts w:eastAsiaTheme="minorEastAsia"/>
      <w:lang w:val="en-US"/>
    </w:rPr>
  </w:style>
  <w:style w:type="paragraph" w:styleId="TOCHeading">
    <w:name w:val="TOC Heading"/>
    <w:basedOn w:val="Heading1"/>
    <w:next w:val="Normal"/>
    <w:uiPriority w:val="39"/>
    <w:unhideWhenUsed/>
    <w:qFormat/>
    <w:rsid w:val="00A75B31"/>
    <w:pPr>
      <w:spacing w:line="259" w:lineRule="auto"/>
      <w:ind w:left="0" w:firstLine="0"/>
      <w:jc w:val="left"/>
      <w:outlineLvl w:val="9"/>
    </w:pPr>
    <w:rPr>
      <w:lang w:val="en-US" w:eastAsia="en-US"/>
    </w:rPr>
  </w:style>
  <w:style w:type="paragraph" w:styleId="TOC2">
    <w:name w:val="toc 2"/>
    <w:basedOn w:val="Normal"/>
    <w:next w:val="Normal"/>
    <w:autoRedefine/>
    <w:uiPriority w:val="39"/>
    <w:unhideWhenUsed/>
    <w:rsid w:val="00A75B31"/>
    <w:pPr>
      <w:spacing w:after="100" w:line="259" w:lineRule="auto"/>
      <w:ind w:left="220" w:firstLine="0"/>
      <w:jc w:val="left"/>
    </w:pPr>
    <w:rPr>
      <w:rFonts w:asciiTheme="minorHAnsi" w:eastAsiaTheme="minorHAnsi" w:hAnsiTheme="minorHAnsi" w:cstheme="minorBidi"/>
      <w:color w:val="auto"/>
      <w:sz w:val="22"/>
      <w:lang w:eastAsia="en-US"/>
    </w:rPr>
  </w:style>
  <w:style w:type="paragraph" w:styleId="TOC1">
    <w:name w:val="toc 1"/>
    <w:basedOn w:val="Normal"/>
    <w:next w:val="Normal"/>
    <w:autoRedefine/>
    <w:uiPriority w:val="39"/>
    <w:unhideWhenUsed/>
    <w:rsid w:val="00A75B31"/>
    <w:pPr>
      <w:spacing w:after="100" w:line="259" w:lineRule="auto"/>
      <w:ind w:left="0" w:firstLine="0"/>
      <w:jc w:val="left"/>
    </w:pPr>
    <w:rPr>
      <w:rFonts w:asciiTheme="minorHAnsi" w:eastAsiaTheme="minorHAnsi" w:hAnsiTheme="minorHAnsi" w:cstheme="minorBidi"/>
      <w:color w:val="auto"/>
      <w:sz w:val="22"/>
      <w:lang w:eastAsia="en-US"/>
    </w:rPr>
  </w:style>
  <w:style w:type="paragraph" w:styleId="TOC3">
    <w:name w:val="toc 3"/>
    <w:basedOn w:val="Normal"/>
    <w:next w:val="Normal"/>
    <w:autoRedefine/>
    <w:uiPriority w:val="39"/>
    <w:unhideWhenUsed/>
    <w:rsid w:val="00A75B31"/>
    <w:pPr>
      <w:spacing w:after="100" w:line="259" w:lineRule="auto"/>
      <w:ind w:left="440" w:firstLine="0"/>
      <w:jc w:val="left"/>
    </w:pPr>
    <w:rPr>
      <w:rFonts w:asciiTheme="minorHAnsi" w:eastAsiaTheme="minorEastAsia" w:hAnsiTheme="minorHAnsi" w:cs="Times New Roman"/>
      <w:color w:val="auto"/>
      <w:sz w:val="22"/>
      <w:lang w:val="en-US" w:eastAsia="en-US"/>
    </w:rPr>
  </w:style>
  <w:style w:type="table" w:customStyle="1" w:styleId="TableGrid">
    <w:name w:val="TableGrid"/>
    <w:rsid w:val="006B7584"/>
    <w:pPr>
      <w:spacing w:after="0" w:line="240" w:lineRule="auto"/>
    </w:pPr>
    <w:rPr>
      <w:rFonts w:eastAsiaTheme="minorEastAsia"/>
      <w:lang w:eastAsia="en-ZA"/>
    </w:rPr>
    <w:tblPr>
      <w:tblCellMar>
        <w:top w:w="0" w:type="dxa"/>
        <w:left w:w="0" w:type="dxa"/>
        <w:bottom w:w="0" w:type="dxa"/>
        <w:right w:w="0" w:type="dxa"/>
      </w:tblCellMar>
    </w:tblPr>
  </w:style>
  <w:style w:type="paragraph" w:styleId="ListParagraph">
    <w:name w:val="List Paragraph"/>
    <w:basedOn w:val="Normal"/>
    <w:uiPriority w:val="34"/>
    <w:qFormat/>
    <w:rsid w:val="006B7584"/>
    <w:pPr>
      <w:ind w:left="720"/>
      <w:contextualSpacing/>
    </w:pPr>
  </w:style>
  <w:style w:type="paragraph" w:styleId="Header">
    <w:name w:val="header"/>
    <w:basedOn w:val="Normal"/>
    <w:link w:val="HeaderChar"/>
    <w:uiPriority w:val="99"/>
    <w:unhideWhenUsed/>
    <w:rsid w:val="001070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70D3"/>
    <w:rPr>
      <w:rFonts w:ascii="Arial" w:eastAsia="Arial" w:hAnsi="Arial" w:cs="Arial"/>
      <w:color w:val="000000"/>
      <w:sz w:val="24"/>
      <w:lang w:eastAsia="en-ZA"/>
    </w:rPr>
  </w:style>
  <w:style w:type="paragraph" w:styleId="Footer">
    <w:name w:val="footer"/>
    <w:basedOn w:val="Normal"/>
    <w:link w:val="FooterChar"/>
    <w:uiPriority w:val="99"/>
    <w:unhideWhenUsed/>
    <w:rsid w:val="001070D3"/>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1070D3"/>
    <w:rPr>
      <w:rFonts w:eastAsiaTheme="minorEastAsia" w:cs="Times New Roman"/>
      <w:lang w:val="en-US"/>
    </w:rPr>
  </w:style>
  <w:style w:type="table" w:styleId="TableGrid0">
    <w:name w:val="Table Grid"/>
    <w:basedOn w:val="TableNormal"/>
    <w:uiPriority w:val="39"/>
    <w:rsid w:val="007B0B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A4BD4"/>
    <w:rPr>
      <w:color w:val="0563C1" w:themeColor="hyperlink"/>
      <w:u w:val="single"/>
    </w:rPr>
  </w:style>
  <w:style w:type="character" w:styleId="FollowedHyperlink">
    <w:name w:val="FollowedHyperlink"/>
    <w:basedOn w:val="DefaultParagraphFont"/>
    <w:uiPriority w:val="99"/>
    <w:semiHidden/>
    <w:unhideWhenUsed/>
    <w:rsid w:val="00BF2707"/>
    <w:rPr>
      <w:color w:val="954F72" w:themeColor="followedHyperlink"/>
      <w:u w:val="single"/>
    </w:rPr>
  </w:style>
  <w:style w:type="character" w:styleId="CommentReference">
    <w:name w:val="annotation reference"/>
    <w:basedOn w:val="DefaultParagraphFont"/>
    <w:uiPriority w:val="99"/>
    <w:semiHidden/>
    <w:unhideWhenUsed/>
    <w:rsid w:val="006258B4"/>
    <w:rPr>
      <w:sz w:val="16"/>
      <w:szCs w:val="16"/>
    </w:rPr>
  </w:style>
  <w:style w:type="paragraph" w:styleId="CommentText">
    <w:name w:val="annotation text"/>
    <w:basedOn w:val="Normal"/>
    <w:link w:val="CommentTextChar"/>
    <w:uiPriority w:val="99"/>
    <w:semiHidden/>
    <w:unhideWhenUsed/>
    <w:rsid w:val="006258B4"/>
    <w:pPr>
      <w:spacing w:line="240" w:lineRule="auto"/>
    </w:pPr>
    <w:rPr>
      <w:sz w:val="20"/>
      <w:szCs w:val="20"/>
    </w:rPr>
  </w:style>
  <w:style w:type="character" w:customStyle="1" w:styleId="CommentTextChar">
    <w:name w:val="Comment Text Char"/>
    <w:basedOn w:val="DefaultParagraphFont"/>
    <w:link w:val="CommentText"/>
    <w:uiPriority w:val="99"/>
    <w:semiHidden/>
    <w:rsid w:val="006258B4"/>
    <w:rPr>
      <w:rFonts w:ascii="Arial" w:eastAsia="Arial" w:hAnsi="Arial" w:cs="Arial"/>
      <w:color w:val="000000"/>
      <w:sz w:val="20"/>
      <w:szCs w:val="20"/>
      <w:lang w:eastAsia="en-ZA"/>
    </w:rPr>
  </w:style>
  <w:style w:type="paragraph" w:styleId="BalloonText">
    <w:name w:val="Balloon Text"/>
    <w:basedOn w:val="Normal"/>
    <w:link w:val="BalloonTextChar"/>
    <w:uiPriority w:val="99"/>
    <w:semiHidden/>
    <w:unhideWhenUsed/>
    <w:rsid w:val="006258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58B4"/>
    <w:rPr>
      <w:rFonts w:ascii="Segoe UI" w:eastAsia="Arial" w:hAnsi="Segoe UI" w:cs="Segoe UI"/>
      <w:color w:val="000000"/>
      <w:sz w:val="18"/>
      <w:szCs w:val="18"/>
      <w:lang w:eastAsia="en-ZA"/>
    </w:rPr>
  </w:style>
  <w:style w:type="character" w:customStyle="1" w:styleId="Heading3Char">
    <w:name w:val="Heading 3 Char"/>
    <w:basedOn w:val="DefaultParagraphFont"/>
    <w:link w:val="Heading3"/>
    <w:uiPriority w:val="9"/>
    <w:rsid w:val="00095351"/>
    <w:rPr>
      <w:rFonts w:asciiTheme="majorHAnsi" w:eastAsiaTheme="majorEastAsia" w:hAnsiTheme="majorHAnsi" w:cstheme="majorBidi"/>
      <w:color w:val="1F4D78" w:themeColor="accent1" w:themeShade="7F"/>
      <w:sz w:val="24"/>
      <w:szCs w:val="24"/>
      <w:lang w:eastAsia="en-ZA"/>
    </w:rPr>
  </w:style>
  <w:style w:type="paragraph" w:styleId="CommentSubject">
    <w:name w:val="annotation subject"/>
    <w:basedOn w:val="CommentText"/>
    <w:next w:val="CommentText"/>
    <w:link w:val="CommentSubjectChar"/>
    <w:uiPriority w:val="99"/>
    <w:semiHidden/>
    <w:unhideWhenUsed/>
    <w:rsid w:val="001210D9"/>
    <w:rPr>
      <w:b/>
      <w:bCs/>
    </w:rPr>
  </w:style>
  <w:style w:type="character" w:customStyle="1" w:styleId="CommentSubjectChar">
    <w:name w:val="Comment Subject Char"/>
    <w:basedOn w:val="CommentTextChar"/>
    <w:link w:val="CommentSubject"/>
    <w:uiPriority w:val="99"/>
    <w:semiHidden/>
    <w:rsid w:val="001210D9"/>
    <w:rPr>
      <w:rFonts w:ascii="Arial" w:eastAsia="Arial" w:hAnsi="Arial" w:cs="Arial"/>
      <w:b/>
      <w:bCs/>
      <w:color w:val="000000"/>
      <w:sz w:val="20"/>
      <w:szCs w:val="20"/>
      <w:lang w:eastAsia="en-ZA"/>
    </w:rPr>
  </w:style>
  <w:style w:type="paragraph" w:styleId="Revision">
    <w:name w:val="Revision"/>
    <w:hidden/>
    <w:uiPriority w:val="99"/>
    <w:semiHidden/>
    <w:rsid w:val="001210D9"/>
    <w:pPr>
      <w:spacing w:after="0" w:line="240" w:lineRule="auto"/>
    </w:pPr>
    <w:rPr>
      <w:rFonts w:ascii="Arial" w:eastAsia="Arial" w:hAnsi="Arial" w:cs="Arial"/>
      <w:color w:val="000000"/>
      <w:sz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7263">
      <w:bodyDiv w:val="1"/>
      <w:marLeft w:val="0"/>
      <w:marRight w:val="0"/>
      <w:marTop w:val="0"/>
      <w:marBottom w:val="0"/>
      <w:divBdr>
        <w:top w:val="none" w:sz="0" w:space="0" w:color="auto"/>
        <w:left w:val="none" w:sz="0" w:space="0" w:color="auto"/>
        <w:bottom w:val="none" w:sz="0" w:space="0" w:color="auto"/>
        <w:right w:val="none" w:sz="0" w:space="0" w:color="auto"/>
      </w:divBdr>
    </w:div>
    <w:div w:id="1860279">
      <w:bodyDiv w:val="1"/>
      <w:marLeft w:val="0"/>
      <w:marRight w:val="0"/>
      <w:marTop w:val="0"/>
      <w:marBottom w:val="0"/>
      <w:divBdr>
        <w:top w:val="none" w:sz="0" w:space="0" w:color="auto"/>
        <w:left w:val="none" w:sz="0" w:space="0" w:color="auto"/>
        <w:bottom w:val="none" w:sz="0" w:space="0" w:color="auto"/>
        <w:right w:val="none" w:sz="0" w:space="0" w:color="auto"/>
      </w:divBdr>
    </w:div>
    <w:div w:id="87240428">
      <w:bodyDiv w:val="1"/>
      <w:marLeft w:val="0"/>
      <w:marRight w:val="0"/>
      <w:marTop w:val="0"/>
      <w:marBottom w:val="0"/>
      <w:divBdr>
        <w:top w:val="none" w:sz="0" w:space="0" w:color="auto"/>
        <w:left w:val="none" w:sz="0" w:space="0" w:color="auto"/>
        <w:bottom w:val="none" w:sz="0" w:space="0" w:color="auto"/>
        <w:right w:val="none" w:sz="0" w:space="0" w:color="auto"/>
      </w:divBdr>
    </w:div>
    <w:div w:id="233054100">
      <w:bodyDiv w:val="1"/>
      <w:marLeft w:val="0"/>
      <w:marRight w:val="0"/>
      <w:marTop w:val="0"/>
      <w:marBottom w:val="0"/>
      <w:divBdr>
        <w:top w:val="none" w:sz="0" w:space="0" w:color="auto"/>
        <w:left w:val="none" w:sz="0" w:space="0" w:color="auto"/>
        <w:bottom w:val="none" w:sz="0" w:space="0" w:color="auto"/>
        <w:right w:val="none" w:sz="0" w:space="0" w:color="auto"/>
      </w:divBdr>
    </w:div>
    <w:div w:id="334261321">
      <w:bodyDiv w:val="1"/>
      <w:marLeft w:val="0"/>
      <w:marRight w:val="0"/>
      <w:marTop w:val="0"/>
      <w:marBottom w:val="0"/>
      <w:divBdr>
        <w:top w:val="none" w:sz="0" w:space="0" w:color="auto"/>
        <w:left w:val="none" w:sz="0" w:space="0" w:color="auto"/>
        <w:bottom w:val="none" w:sz="0" w:space="0" w:color="auto"/>
        <w:right w:val="none" w:sz="0" w:space="0" w:color="auto"/>
      </w:divBdr>
    </w:div>
    <w:div w:id="340662238">
      <w:bodyDiv w:val="1"/>
      <w:marLeft w:val="0"/>
      <w:marRight w:val="0"/>
      <w:marTop w:val="0"/>
      <w:marBottom w:val="0"/>
      <w:divBdr>
        <w:top w:val="none" w:sz="0" w:space="0" w:color="auto"/>
        <w:left w:val="none" w:sz="0" w:space="0" w:color="auto"/>
        <w:bottom w:val="none" w:sz="0" w:space="0" w:color="auto"/>
        <w:right w:val="none" w:sz="0" w:space="0" w:color="auto"/>
      </w:divBdr>
    </w:div>
    <w:div w:id="424960852">
      <w:bodyDiv w:val="1"/>
      <w:marLeft w:val="0"/>
      <w:marRight w:val="0"/>
      <w:marTop w:val="0"/>
      <w:marBottom w:val="0"/>
      <w:divBdr>
        <w:top w:val="none" w:sz="0" w:space="0" w:color="auto"/>
        <w:left w:val="none" w:sz="0" w:space="0" w:color="auto"/>
        <w:bottom w:val="none" w:sz="0" w:space="0" w:color="auto"/>
        <w:right w:val="none" w:sz="0" w:space="0" w:color="auto"/>
      </w:divBdr>
    </w:div>
    <w:div w:id="432095991">
      <w:bodyDiv w:val="1"/>
      <w:marLeft w:val="0"/>
      <w:marRight w:val="0"/>
      <w:marTop w:val="0"/>
      <w:marBottom w:val="0"/>
      <w:divBdr>
        <w:top w:val="none" w:sz="0" w:space="0" w:color="auto"/>
        <w:left w:val="none" w:sz="0" w:space="0" w:color="auto"/>
        <w:bottom w:val="none" w:sz="0" w:space="0" w:color="auto"/>
        <w:right w:val="none" w:sz="0" w:space="0" w:color="auto"/>
      </w:divBdr>
    </w:div>
    <w:div w:id="540630366">
      <w:bodyDiv w:val="1"/>
      <w:marLeft w:val="0"/>
      <w:marRight w:val="0"/>
      <w:marTop w:val="0"/>
      <w:marBottom w:val="0"/>
      <w:divBdr>
        <w:top w:val="none" w:sz="0" w:space="0" w:color="auto"/>
        <w:left w:val="none" w:sz="0" w:space="0" w:color="auto"/>
        <w:bottom w:val="none" w:sz="0" w:space="0" w:color="auto"/>
        <w:right w:val="none" w:sz="0" w:space="0" w:color="auto"/>
      </w:divBdr>
    </w:div>
    <w:div w:id="575827667">
      <w:bodyDiv w:val="1"/>
      <w:marLeft w:val="0"/>
      <w:marRight w:val="0"/>
      <w:marTop w:val="0"/>
      <w:marBottom w:val="0"/>
      <w:divBdr>
        <w:top w:val="none" w:sz="0" w:space="0" w:color="auto"/>
        <w:left w:val="none" w:sz="0" w:space="0" w:color="auto"/>
        <w:bottom w:val="none" w:sz="0" w:space="0" w:color="auto"/>
        <w:right w:val="none" w:sz="0" w:space="0" w:color="auto"/>
      </w:divBdr>
    </w:div>
    <w:div w:id="647980100">
      <w:bodyDiv w:val="1"/>
      <w:marLeft w:val="0"/>
      <w:marRight w:val="0"/>
      <w:marTop w:val="0"/>
      <w:marBottom w:val="0"/>
      <w:divBdr>
        <w:top w:val="none" w:sz="0" w:space="0" w:color="auto"/>
        <w:left w:val="none" w:sz="0" w:space="0" w:color="auto"/>
        <w:bottom w:val="none" w:sz="0" w:space="0" w:color="auto"/>
        <w:right w:val="none" w:sz="0" w:space="0" w:color="auto"/>
      </w:divBdr>
    </w:div>
    <w:div w:id="663434798">
      <w:bodyDiv w:val="1"/>
      <w:marLeft w:val="0"/>
      <w:marRight w:val="0"/>
      <w:marTop w:val="0"/>
      <w:marBottom w:val="0"/>
      <w:divBdr>
        <w:top w:val="none" w:sz="0" w:space="0" w:color="auto"/>
        <w:left w:val="none" w:sz="0" w:space="0" w:color="auto"/>
        <w:bottom w:val="none" w:sz="0" w:space="0" w:color="auto"/>
        <w:right w:val="none" w:sz="0" w:space="0" w:color="auto"/>
      </w:divBdr>
    </w:div>
    <w:div w:id="669865629">
      <w:bodyDiv w:val="1"/>
      <w:marLeft w:val="0"/>
      <w:marRight w:val="0"/>
      <w:marTop w:val="0"/>
      <w:marBottom w:val="0"/>
      <w:divBdr>
        <w:top w:val="none" w:sz="0" w:space="0" w:color="auto"/>
        <w:left w:val="none" w:sz="0" w:space="0" w:color="auto"/>
        <w:bottom w:val="none" w:sz="0" w:space="0" w:color="auto"/>
        <w:right w:val="none" w:sz="0" w:space="0" w:color="auto"/>
      </w:divBdr>
    </w:div>
    <w:div w:id="681473724">
      <w:bodyDiv w:val="1"/>
      <w:marLeft w:val="0"/>
      <w:marRight w:val="0"/>
      <w:marTop w:val="0"/>
      <w:marBottom w:val="0"/>
      <w:divBdr>
        <w:top w:val="none" w:sz="0" w:space="0" w:color="auto"/>
        <w:left w:val="none" w:sz="0" w:space="0" w:color="auto"/>
        <w:bottom w:val="none" w:sz="0" w:space="0" w:color="auto"/>
        <w:right w:val="none" w:sz="0" w:space="0" w:color="auto"/>
      </w:divBdr>
    </w:div>
    <w:div w:id="695623801">
      <w:bodyDiv w:val="1"/>
      <w:marLeft w:val="0"/>
      <w:marRight w:val="0"/>
      <w:marTop w:val="0"/>
      <w:marBottom w:val="0"/>
      <w:divBdr>
        <w:top w:val="none" w:sz="0" w:space="0" w:color="auto"/>
        <w:left w:val="none" w:sz="0" w:space="0" w:color="auto"/>
        <w:bottom w:val="none" w:sz="0" w:space="0" w:color="auto"/>
        <w:right w:val="none" w:sz="0" w:space="0" w:color="auto"/>
      </w:divBdr>
    </w:div>
    <w:div w:id="739330710">
      <w:bodyDiv w:val="1"/>
      <w:marLeft w:val="0"/>
      <w:marRight w:val="0"/>
      <w:marTop w:val="0"/>
      <w:marBottom w:val="0"/>
      <w:divBdr>
        <w:top w:val="none" w:sz="0" w:space="0" w:color="auto"/>
        <w:left w:val="none" w:sz="0" w:space="0" w:color="auto"/>
        <w:bottom w:val="none" w:sz="0" w:space="0" w:color="auto"/>
        <w:right w:val="none" w:sz="0" w:space="0" w:color="auto"/>
      </w:divBdr>
    </w:div>
    <w:div w:id="912398955">
      <w:bodyDiv w:val="1"/>
      <w:marLeft w:val="0"/>
      <w:marRight w:val="0"/>
      <w:marTop w:val="0"/>
      <w:marBottom w:val="0"/>
      <w:divBdr>
        <w:top w:val="none" w:sz="0" w:space="0" w:color="auto"/>
        <w:left w:val="none" w:sz="0" w:space="0" w:color="auto"/>
        <w:bottom w:val="none" w:sz="0" w:space="0" w:color="auto"/>
        <w:right w:val="none" w:sz="0" w:space="0" w:color="auto"/>
      </w:divBdr>
    </w:div>
    <w:div w:id="958756234">
      <w:bodyDiv w:val="1"/>
      <w:marLeft w:val="0"/>
      <w:marRight w:val="0"/>
      <w:marTop w:val="0"/>
      <w:marBottom w:val="0"/>
      <w:divBdr>
        <w:top w:val="none" w:sz="0" w:space="0" w:color="auto"/>
        <w:left w:val="none" w:sz="0" w:space="0" w:color="auto"/>
        <w:bottom w:val="none" w:sz="0" w:space="0" w:color="auto"/>
        <w:right w:val="none" w:sz="0" w:space="0" w:color="auto"/>
      </w:divBdr>
    </w:div>
    <w:div w:id="1018040548">
      <w:bodyDiv w:val="1"/>
      <w:marLeft w:val="0"/>
      <w:marRight w:val="0"/>
      <w:marTop w:val="0"/>
      <w:marBottom w:val="0"/>
      <w:divBdr>
        <w:top w:val="none" w:sz="0" w:space="0" w:color="auto"/>
        <w:left w:val="none" w:sz="0" w:space="0" w:color="auto"/>
        <w:bottom w:val="none" w:sz="0" w:space="0" w:color="auto"/>
        <w:right w:val="none" w:sz="0" w:space="0" w:color="auto"/>
      </w:divBdr>
    </w:div>
    <w:div w:id="1022971918">
      <w:bodyDiv w:val="1"/>
      <w:marLeft w:val="0"/>
      <w:marRight w:val="0"/>
      <w:marTop w:val="0"/>
      <w:marBottom w:val="0"/>
      <w:divBdr>
        <w:top w:val="none" w:sz="0" w:space="0" w:color="auto"/>
        <w:left w:val="none" w:sz="0" w:space="0" w:color="auto"/>
        <w:bottom w:val="none" w:sz="0" w:space="0" w:color="auto"/>
        <w:right w:val="none" w:sz="0" w:space="0" w:color="auto"/>
      </w:divBdr>
    </w:div>
    <w:div w:id="1081099558">
      <w:bodyDiv w:val="1"/>
      <w:marLeft w:val="0"/>
      <w:marRight w:val="0"/>
      <w:marTop w:val="0"/>
      <w:marBottom w:val="0"/>
      <w:divBdr>
        <w:top w:val="none" w:sz="0" w:space="0" w:color="auto"/>
        <w:left w:val="none" w:sz="0" w:space="0" w:color="auto"/>
        <w:bottom w:val="none" w:sz="0" w:space="0" w:color="auto"/>
        <w:right w:val="none" w:sz="0" w:space="0" w:color="auto"/>
      </w:divBdr>
    </w:div>
    <w:div w:id="1117680006">
      <w:bodyDiv w:val="1"/>
      <w:marLeft w:val="0"/>
      <w:marRight w:val="0"/>
      <w:marTop w:val="0"/>
      <w:marBottom w:val="0"/>
      <w:divBdr>
        <w:top w:val="none" w:sz="0" w:space="0" w:color="auto"/>
        <w:left w:val="none" w:sz="0" w:space="0" w:color="auto"/>
        <w:bottom w:val="none" w:sz="0" w:space="0" w:color="auto"/>
        <w:right w:val="none" w:sz="0" w:space="0" w:color="auto"/>
      </w:divBdr>
    </w:div>
    <w:div w:id="1167597652">
      <w:bodyDiv w:val="1"/>
      <w:marLeft w:val="0"/>
      <w:marRight w:val="0"/>
      <w:marTop w:val="0"/>
      <w:marBottom w:val="0"/>
      <w:divBdr>
        <w:top w:val="none" w:sz="0" w:space="0" w:color="auto"/>
        <w:left w:val="none" w:sz="0" w:space="0" w:color="auto"/>
        <w:bottom w:val="none" w:sz="0" w:space="0" w:color="auto"/>
        <w:right w:val="none" w:sz="0" w:space="0" w:color="auto"/>
      </w:divBdr>
    </w:div>
    <w:div w:id="1298339646">
      <w:bodyDiv w:val="1"/>
      <w:marLeft w:val="0"/>
      <w:marRight w:val="0"/>
      <w:marTop w:val="0"/>
      <w:marBottom w:val="0"/>
      <w:divBdr>
        <w:top w:val="none" w:sz="0" w:space="0" w:color="auto"/>
        <w:left w:val="none" w:sz="0" w:space="0" w:color="auto"/>
        <w:bottom w:val="none" w:sz="0" w:space="0" w:color="auto"/>
        <w:right w:val="none" w:sz="0" w:space="0" w:color="auto"/>
      </w:divBdr>
    </w:div>
    <w:div w:id="1325622193">
      <w:bodyDiv w:val="1"/>
      <w:marLeft w:val="0"/>
      <w:marRight w:val="0"/>
      <w:marTop w:val="0"/>
      <w:marBottom w:val="0"/>
      <w:divBdr>
        <w:top w:val="none" w:sz="0" w:space="0" w:color="auto"/>
        <w:left w:val="none" w:sz="0" w:space="0" w:color="auto"/>
        <w:bottom w:val="none" w:sz="0" w:space="0" w:color="auto"/>
        <w:right w:val="none" w:sz="0" w:space="0" w:color="auto"/>
      </w:divBdr>
    </w:div>
    <w:div w:id="1445418924">
      <w:bodyDiv w:val="1"/>
      <w:marLeft w:val="0"/>
      <w:marRight w:val="0"/>
      <w:marTop w:val="0"/>
      <w:marBottom w:val="0"/>
      <w:divBdr>
        <w:top w:val="none" w:sz="0" w:space="0" w:color="auto"/>
        <w:left w:val="none" w:sz="0" w:space="0" w:color="auto"/>
        <w:bottom w:val="none" w:sz="0" w:space="0" w:color="auto"/>
        <w:right w:val="none" w:sz="0" w:space="0" w:color="auto"/>
      </w:divBdr>
    </w:div>
    <w:div w:id="1540974182">
      <w:bodyDiv w:val="1"/>
      <w:marLeft w:val="0"/>
      <w:marRight w:val="0"/>
      <w:marTop w:val="0"/>
      <w:marBottom w:val="0"/>
      <w:divBdr>
        <w:top w:val="none" w:sz="0" w:space="0" w:color="auto"/>
        <w:left w:val="none" w:sz="0" w:space="0" w:color="auto"/>
        <w:bottom w:val="none" w:sz="0" w:space="0" w:color="auto"/>
        <w:right w:val="none" w:sz="0" w:space="0" w:color="auto"/>
      </w:divBdr>
    </w:div>
    <w:div w:id="1596087213">
      <w:bodyDiv w:val="1"/>
      <w:marLeft w:val="0"/>
      <w:marRight w:val="0"/>
      <w:marTop w:val="0"/>
      <w:marBottom w:val="0"/>
      <w:divBdr>
        <w:top w:val="none" w:sz="0" w:space="0" w:color="auto"/>
        <w:left w:val="none" w:sz="0" w:space="0" w:color="auto"/>
        <w:bottom w:val="none" w:sz="0" w:space="0" w:color="auto"/>
        <w:right w:val="none" w:sz="0" w:space="0" w:color="auto"/>
      </w:divBdr>
    </w:div>
    <w:div w:id="1618760512">
      <w:bodyDiv w:val="1"/>
      <w:marLeft w:val="0"/>
      <w:marRight w:val="0"/>
      <w:marTop w:val="0"/>
      <w:marBottom w:val="0"/>
      <w:divBdr>
        <w:top w:val="none" w:sz="0" w:space="0" w:color="auto"/>
        <w:left w:val="none" w:sz="0" w:space="0" w:color="auto"/>
        <w:bottom w:val="none" w:sz="0" w:space="0" w:color="auto"/>
        <w:right w:val="none" w:sz="0" w:space="0" w:color="auto"/>
      </w:divBdr>
    </w:div>
    <w:div w:id="1659457682">
      <w:bodyDiv w:val="1"/>
      <w:marLeft w:val="0"/>
      <w:marRight w:val="0"/>
      <w:marTop w:val="0"/>
      <w:marBottom w:val="0"/>
      <w:divBdr>
        <w:top w:val="none" w:sz="0" w:space="0" w:color="auto"/>
        <w:left w:val="none" w:sz="0" w:space="0" w:color="auto"/>
        <w:bottom w:val="none" w:sz="0" w:space="0" w:color="auto"/>
        <w:right w:val="none" w:sz="0" w:space="0" w:color="auto"/>
      </w:divBdr>
    </w:div>
    <w:div w:id="1708094721">
      <w:bodyDiv w:val="1"/>
      <w:marLeft w:val="0"/>
      <w:marRight w:val="0"/>
      <w:marTop w:val="0"/>
      <w:marBottom w:val="0"/>
      <w:divBdr>
        <w:top w:val="none" w:sz="0" w:space="0" w:color="auto"/>
        <w:left w:val="none" w:sz="0" w:space="0" w:color="auto"/>
        <w:bottom w:val="none" w:sz="0" w:space="0" w:color="auto"/>
        <w:right w:val="none" w:sz="0" w:space="0" w:color="auto"/>
      </w:divBdr>
    </w:div>
    <w:div w:id="1779253805">
      <w:bodyDiv w:val="1"/>
      <w:marLeft w:val="0"/>
      <w:marRight w:val="0"/>
      <w:marTop w:val="0"/>
      <w:marBottom w:val="0"/>
      <w:divBdr>
        <w:top w:val="none" w:sz="0" w:space="0" w:color="auto"/>
        <w:left w:val="none" w:sz="0" w:space="0" w:color="auto"/>
        <w:bottom w:val="none" w:sz="0" w:space="0" w:color="auto"/>
        <w:right w:val="none" w:sz="0" w:space="0" w:color="auto"/>
      </w:divBdr>
    </w:div>
    <w:div w:id="1804421328">
      <w:bodyDiv w:val="1"/>
      <w:marLeft w:val="0"/>
      <w:marRight w:val="0"/>
      <w:marTop w:val="0"/>
      <w:marBottom w:val="0"/>
      <w:divBdr>
        <w:top w:val="none" w:sz="0" w:space="0" w:color="auto"/>
        <w:left w:val="none" w:sz="0" w:space="0" w:color="auto"/>
        <w:bottom w:val="none" w:sz="0" w:space="0" w:color="auto"/>
        <w:right w:val="none" w:sz="0" w:space="0" w:color="auto"/>
      </w:divBdr>
    </w:div>
    <w:div w:id="1948923087">
      <w:bodyDiv w:val="1"/>
      <w:marLeft w:val="0"/>
      <w:marRight w:val="0"/>
      <w:marTop w:val="0"/>
      <w:marBottom w:val="0"/>
      <w:divBdr>
        <w:top w:val="none" w:sz="0" w:space="0" w:color="auto"/>
        <w:left w:val="none" w:sz="0" w:space="0" w:color="auto"/>
        <w:bottom w:val="none" w:sz="0" w:space="0" w:color="auto"/>
        <w:right w:val="none" w:sz="0" w:space="0" w:color="auto"/>
      </w:divBdr>
    </w:div>
    <w:div w:id="1962497950">
      <w:bodyDiv w:val="1"/>
      <w:marLeft w:val="0"/>
      <w:marRight w:val="0"/>
      <w:marTop w:val="0"/>
      <w:marBottom w:val="0"/>
      <w:divBdr>
        <w:top w:val="none" w:sz="0" w:space="0" w:color="auto"/>
        <w:left w:val="none" w:sz="0" w:space="0" w:color="auto"/>
        <w:bottom w:val="none" w:sz="0" w:space="0" w:color="auto"/>
        <w:right w:val="none" w:sz="0" w:space="0" w:color="auto"/>
      </w:divBdr>
    </w:div>
    <w:div w:id="2086409911">
      <w:bodyDiv w:val="1"/>
      <w:marLeft w:val="0"/>
      <w:marRight w:val="0"/>
      <w:marTop w:val="0"/>
      <w:marBottom w:val="0"/>
      <w:divBdr>
        <w:top w:val="none" w:sz="0" w:space="0" w:color="auto"/>
        <w:left w:val="none" w:sz="0" w:space="0" w:color="auto"/>
        <w:bottom w:val="none" w:sz="0" w:space="0" w:color="auto"/>
        <w:right w:val="none" w:sz="0" w:space="0" w:color="auto"/>
      </w:divBdr>
    </w:div>
    <w:div w:id="209239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ronation.com/za/personal/politics-and-economics-april-2016" TargetMode="External"/><Relationship Id="rId18" Type="http://schemas.openxmlformats.org/officeDocument/2006/relationships/hyperlink" Target="http://www.iodsa.co.za/?kingIII" TargetMode="External"/><Relationship Id="rId26" Type="http://schemas.openxmlformats.org/officeDocument/2006/relationships/hyperlink" Target="http://www.werksmans.com/wp-content/uploads/2015/04/042870-WERKSMANS-bbbee-bookletsp.pdf" TargetMode="External"/><Relationship Id="rId3" Type="http://schemas.openxmlformats.org/officeDocument/2006/relationships/styles" Target="styles.xml"/><Relationship Id="rId21" Type="http://schemas.openxmlformats.org/officeDocument/2006/relationships/hyperlink" Target="http://www.destinyconnect.com/2015/06/29/black-south-africans-have-netted-r317bn-in-bee-deals"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intellidex.co.za/bee" TargetMode="External"/><Relationship Id="rId25" Type="http://schemas.openxmlformats.org/officeDocument/2006/relationships/hyperlink" Target="http://www.statssa.gov.za/?p=6126" TargetMode="External"/><Relationship Id="rId2" Type="http://schemas.openxmlformats.org/officeDocument/2006/relationships/numbering" Target="numbering.xml"/><Relationship Id="rId16" Type="http://schemas.openxmlformats.org/officeDocument/2006/relationships/hyperlink" Target="http://www.realbusinness.co.za/Article.aspx?articleID=3474" TargetMode="External"/><Relationship Id="rId20" Type="http://schemas.openxmlformats.org/officeDocument/2006/relationships/hyperlink" Target="https://repository.up.ac.za/bitstream/handle/2263/52279/Nyamgero_South_2016.pdf?sequence=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statssa.gov.za/wp-content/uploads/2016/02/infographic.png" TargetMode="External"/><Relationship Id="rId5" Type="http://schemas.openxmlformats.org/officeDocument/2006/relationships/webSettings" Target="webSettings.xml"/><Relationship Id="rId15" Type="http://schemas.openxmlformats.org/officeDocument/2006/relationships/hyperlink" Target="http://mpra.ub.uni-muenchen.de/29409/" TargetMode="External"/><Relationship Id="rId23" Type="http://schemas.openxmlformats.org/officeDocument/2006/relationships/hyperlink" Target="http://www.statssa.gov.za/publications/P0021/P00212006.pdf" TargetMode="Externa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www.ee.co.za/article/need-south-africa-attract-domestic-foreign-direct-investment-policy-change-reuniting-country-focussing-economic-growth.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jse.co.za/articles/black-south-africans-top-100-companies-listed-on-the-johannesburg-stock-exchange" TargetMode="External"/><Relationship Id="rId22" Type="http://schemas.openxmlformats.org/officeDocument/2006/relationships/hyperlink" Target="http://www.sars.gov.za/Tax-Rates/Income-Tax/Pages/Interest-and-Dividends.aspx" TargetMode="External"/><Relationship Id="rId27"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4B2E94BA-0974-4330-BAA4-E468A3BCB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26026</Words>
  <Characters>148350</Characters>
  <Application>Microsoft Office Word</Application>
  <DocSecurity>0</DocSecurity>
  <Lines>1236</Lines>
  <Paragraphs>348</Paragraphs>
  <ScaleCrop>false</ScaleCrop>
  <HeadingPairs>
    <vt:vector size="2" baseType="variant">
      <vt:variant>
        <vt:lpstr>Title</vt:lpstr>
      </vt:variant>
      <vt:variant>
        <vt:i4>1</vt:i4>
      </vt:variant>
    </vt:vector>
  </HeadingPairs>
  <TitlesOfParts>
    <vt:vector size="1" baseType="lpstr">
      <vt:lpstr/>
    </vt:vector>
  </TitlesOfParts>
  <Company>Ernst &amp; Young</Company>
  <LinksUpToDate>false</LinksUpToDate>
  <CharactersWithSpaces>174028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Derrick A Pequenino</dc:creator>
  <cp:lastModifiedBy>Derrick Pequenino</cp:lastModifiedBy>
  <cp:revision>2</cp:revision>
  <dcterms:created xsi:type="dcterms:W3CDTF">2018-09-16T20:44:00Z</dcterms:created>
  <dcterms:modified xsi:type="dcterms:W3CDTF">2018-09-16T20:44:00Z</dcterms:modified>
</cp:coreProperties>
</file>