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header4.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sdt>
      <w:sdtPr>
        <w:rPr>
          <w:rFonts w:asciiTheme="majorHAnsi" w:eastAsiaTheme="majorEastAsia" w:hAnsiTheme="majorHAnsi" w:cstheme="majorBidi"/>
          <w:sz w:val="24"/>
          <w:lang w:val="en-GB"/>
        </w:rPr>
        <w:id w:val="1637995"/>
        <w:docPartObj>
          <w:docPartGallery w:val="Cover Pages"/>
          <w:docPartUnique/>
        </w:docPartObj>
      </w:sdtPr>
      <w:sdtEndPr>
        <w:rPr>
          <w:rFonts w:ascii="Times New Roman" w:eastAsiaTheme="minorHAnsi" w:hAnsi="Times New Roman" w:cstheme="minorBidi"/>
        </w:rPr>
      </w:sdtEndPr>
      <w:sdtContent>
        <w:tbl>
          <w:tblPr>
            <w:tblpPr w:leftFromText="187" w:rightFromText="187" w:horzAnchor="margin" w:tblpXSpec="center" w:tblpY="2881"/>
            <w:tblW w:w="4000" w:type="pct"/>
            <w:tblBorders>
              <w:left w:val="single" w:sz="18" w:space="0" w:color="4F81BD" w:themeColor="accent1"/>
            </w:tblBorders>
            <w:tblLook w:val="04A0"/>
          </w:tblPr>
          <w:tblGrid>
            <w:gridCol w:w="7650"/>
          </w:tblGrid>
          <w:tr w:rsidR="00735A62" w:rsidRPr="00762161">
            <w:sdt>
              <w:sdtPr>
                <w:rPr>
                  <w:rFonts w:asciiTheme="majorHAnsi" w:eastAsiaTheme="majorEastAsia" w:hAnsiTheme="majorHAnsi" w:cstheme="majorBidi"/>
                  <w:sz w:val="24"/>
                  <w:lang w:val="en-GB"/>
                </w:rPr>
                <w:alias w:val="Company"/>
                <w:id w:val="13406915"/>
                <w:dataBinding w:prefixMappings="xmlns:ns0='http://schemas.openxmlformats.org/officeDocument/2006/extended-properties'" w:xpath="/ns0:Properties[1]/ns0:Company[1]" w:storeItemID="{6668398D-A668-4E3E-A5EB-62B293D839F1}"/>
                <w:text/>
              </w:sdtPr>
              <w:sdtEndPr>
                <w:rPr>
                  <w:sz w:val="22"/>
                </w:rPr>
              </w:sdtEndPr>
              <w:sdtContent>
                <w:tc>
                  <w:tcPr>
                    <w:tcW w:w="7672" w:type="dxa"/>
                    <w:tcMar>
                      <w:top w:w="216" w:type="dxa"/>
                      <w:left w:w="115" w:type="dxa"/>
                      <w:bottom w:w="216" w:type="dxa"/>
                      <w:right w:w="115" w:type="dxa"/>
                    </w:tcMar>
                  </w:tcPr>
                  <w:p w:rsidR="00735A62" w:rsidRPr="00762161" w:rsidRDefault="007D1DE2" w:rsidP="007D1DE2">
                    <w:pPr>
                      <w:pStyle w:val="NoSpacing"/>
                      <w:rPr>
                        <w:rFonts w:asciiTheme="majorHAnsi" w:eastAsiaTheme="majorEastAsia" w:hAnsiTheme="majorHAnsi" w:cstheme="majorBidi"/>
                        <w:lang w:val="en-GB"/>
                      </w:rPr>
                    </w:pPr>
                    <w:r>
                      <w:rPr>
                        <w:rFonts w:asciiTheme="majorHAnsi" w:eastAsiaTheme="majorEastAsia" w:hAnsiTheme="majorHAnsi" w:cstheme="majorBidi"/>
                        <w:sz w:val="24"/>
                      </w:rPr>
                      <w:t>University of the Witwatersrand</w:t>
                    </w:r>
                  </w:p>
                </w:tc>
              </w:sdtContent>
            </w:sdt>
          </w:tr>
          <w:tr w:rsidR="00735A62" w:rsidRPr="00762161">
            <w:tc>
              <w:tcPr>
                <w:tcW w:w="7672" w:type="dxa"/>
              </w:tcPr>
              <w:sdt>
                <w:sdtPr>
                  <w:rPr>
                    <w:rFonts w:asciiTheme="majorHAnsi" w:eastAsiaTheme="majorEastAsia" w:hAnsiTheme="majorHAnsi" w:cstheme="majorBidi"/>
                    <w:color w:val="4F81BD" w:themeColor="accent1"/>
                    <w:sz w:val="80"/>
                    <w:szCs w:val="80"/>
                    <w:lang w:val="en-GB"/>
                  </w:rPr>
                  <w:alias w:val="Title"/>
                  <w:id w:val="13406919"/>
                  <w:dataBinding w:prefixMappings="xmlns:ns0='http://schemas.openxmlformats.org/package/2006/metadata/core-properties' xmlns:ns1='http://purl.org/dc/elements/1.1/'" w:xpath="/ns0:coreProperties[1]/ns1:title[1]" w:storeItemID="{6C3C8BC8-F283-45AE-878A-BAB7291924A1}"/>
                  <w:text/>
                </w:sdtPr>
                <w:sdtContent>
                  <w:p w:rsidR="00735A62" w:rsidRPr="00762161" w:rsidRDefault="007A6B4B" w:rsidP="007A6B4B">
                    <w:pPr>
                      <w:pStyle w:val="NoSpacing"/>
                      <w:rPr>
                        <w:rFonts w:asciiTheme="majorHAnsi" w:eastAsiaTheme="majorEastAsia" w:hAnsiTheme="majorHAnsi" w:cstheme="majorBidi"/>
                        <w:color w:val="4F81BD" w:themeColor="accent1"/>
                        <w:sz w:val="80"/>
                        <w:szCs w:val="80"/>
                        <w:lang w:val="en-GB"/>
                      </w:rPr>
                    </w:pPr>
                    <w:r>
                      <w:rPr>
                        <w:rFonts w:asciiTheme="majorHAnsi" w:eastAsiaTheme="majorEastAsia" w:hAnsiTheme="majorHAnsi" w:cstheme="majorBidi"/>
                        <w:color w:val="4F81BD" w:themeColor="accent1"/>
                        <w:sz w:val="80"/>
                        <w:szCs w:val="80"/>
                        <w:lang w:val="en-GB"/>
                      </w:rPr>
                      <w:t>Stock Prices as a Leading Indicator of E</w:t>
                    </w:r>
                    <w:r w:rsidR="00735A62" w:rsidRPr="00762161">
                      <w:rPr>
                        <w:rFonts w:asciiTheme="majorHAnsi" w:eastAsiaTheme="majorEastAsia" w:hAnsiTheme="majorHAnsi" w:cstheme="majorBidi"/>
                        <w:color w:val="4F81BD" w:themeColor="accent1"/>
                        <w:sz w:val="80"/>
                        <w:szCs w:val="80"/>
                        <w:lang w:val="en-GB"/>
                      </w:rPr>
                      <w:t xml:space="preserve">conomic </w:t>
                    </w:r>
                    <w:r>
                      <w:rPr>
                        <w:rFonts w:asciiTheme="majorHAnsi" w:eastAsiaTheme="majorEastAsia" w:hAnsiTheme="majorHAnsi" w:cstheme="majorBidi"/>
                        <w:color w:val="4F81BD" w:themeColor="accent1"/>
                        <w:sz w:val="80"/>
                        <w:szCs w:val="80"/>
                        <w:lang w:val="en-GB"/>
                      </w:rPr>
                      <w:t>a</w:t>
                    </w:r>
                    <w:r w:rsidR="00735A62" w:rsidRPr="00762161">
                      <w:rPr>
                        <w:rFonts w:asciiTheme="majorHAnsi" w:eastAsiaTheme="majorEastAsia" w:hAnsiTheme="majorHAnsi" w:cstheme="majorBidi"/>
                        <w:color w:val="4F81BD" w:themeColor="accent1"/>
                        <w:sz w:val="80"/>
                        <w:szCs w:val="80"/>
                        <w:lang w:val="en-GB"/>
                      </w:rPr>
                      <w:t>ctivity</w:t>
                    </w:r>
                  </w:p>
                </w:sdtContent>
              </w:sdt>
            </w:tc>
          </w:tr>
          <w:tr w:rsidR="00735A62" w:rsidRPr="00762161">
            <w:sdt>
              <w:sdtPr>
                <w:rPr>
                  <w:rFonts w:asciiTheme="majorHAnsi" w:eastAsiaTheme="majorEastAsia" w:hAnsiTheme="majorHAnsi" w:cstheme="majorBidi"/>
                  <w:lang w:val="en-GB"/>
                </w:rPr>
                <w:alias w:val="Subtitle"/>
                <w:id w:val="13406923"/>
                <w:dataBinding w:prefixMappings="xmlns:ns0='http://schemas.openxmlformats.org/package/2006/metadata/core-properties' xmlns:ns1='http://purl.org/dc/elements/1.1/'" w:xpath="/ns0:coreProperties[1]/ns1:subject[1]" w:storeItemID="{6C3C8BC8-F283-45AE-878A-BAB7291924A1}"/>
                <w:text/>
              </w:sdtPr>
              <w:sdtContent>
                <w:tc>
                  <w:tcPr>
                    <w:tcW w:w="7672" w:type="dxa"/>
                    <w:tcMar>
                      <w:top w:w="216" w:type="dxa"/>
                      <w:left w:w="115" w:type="dxa"/>
                      <w:bottom w:w="216" w:type="dxa"/>
                      <w:right w:w="115" w:type="dxa"/>
                    </w:tcMar>
                  </w:tcPr>
                  <w:p w:rsidR="00735A62" w:rsidRPr="00762161" w:rsidRDefault="00735A62">
                    <w:pPr>
                      <w:pStyle w:val="NoSpacing"/>
                      <w:rPr>
                        <w:rFonts w:asciiTheme="majorHAnsi" w:eastAsiaTheme="majorEastAsia" w:hAnsiTheme="majorHAnsi" w:cstheme="majorBidi"/>
                        <w:lang w:val="en-GB"/>
                      </w:rPr>
                    </w:pPr>
                    <w:r w:rsidRPr="00762161">
                      <w:rPr>
                        <w:rFonts w:asciiTheme="majorHAnsi" w:eastAsiaTheme="majorEastAsia" w:hAnsiTheme="majorHAnsi" w:cstheme="majorBidi"/>
                        <w:lang w:val="en-GB"/>
                      </w:rPr>
                      <w:t>Evidence from the JSE</w:t>
                    </w:r>
                  </w:p>
                </w:tc>
              </w:sdtContent>
            </w:sdt>
          </w:tr>
          <w:tr w:rsidR="007A6B4B" w:rsidRPr="00762161">
            <w:tc>
              <w:tcPr>
                <w:tcW w:w="7672" w:type="dxa"/>
                <w:tcMar>
                  <w:top w:w="216" w:type="dxa"/>
                  <w:left w:w="115" w:type="dxa"/>
                  <w:bottom w:w="216" w:type="dxa"/>
                  <w:right w:w="115" w:type="dxa"/>
                </w:tcMar>
              </w:tcPr>
              <w:p w:rsidR="007A6B4B" w:rsidRDefault="007D1DE2" w:rsidP="00237060">
                <w:pPr>
                  <w:pStyle w:val="NoSpacing"/>
                  <w:rPr>
                    <w:rFonts w:asciiTheme="majorHAnsi" w:eastAsiaTheme="majorEastAsia" w:hAnsiTheme="majorHAnsi" w:cstheme="majorBidi"/>
                    <w:lang w:val="en-GB"/>
                  </w:rPr>
                </w:pPr>
                <w:r>
                  <w:rPr>
                    <w:rFonts w:asciiTheme="majorHAnsi" w:eastAsiaTheme="majorEastAsia" w:hAnsiTheme="majorHAnsi" w:cstheme="majorBidi"/>
                    <w:lang w:val="en-GB"/>
                  </w:rPr>
                  <w:t xml:space="preserve">Word Count: </w:t>
                </w:r>
                <w:r w:rsidR="00237060">
                  <w:rPr>
                    <w:rFonts w:asciiTheme="majorHAnsi" w:eastAsiaTheme="majorEastAsia" w:hAnsiTheme="majorHAnsi" w:cstheme="majorBidi"/>
                    <w:lang w:val="en-GB"/>
                  </w:rPr>
                  <w:t xml:space="preserve">32 </w:t>
                </w:r>
                <w:r w:rsidR="0004267B">
                  <w:rPr>
                    <w:rFonts w:asciiTheme="majorHAnsi" w:eastAsiaTheme="majorEastAsia" w:hAnsiTheme="majorHAnsi" w:cstheme="majorBidi"/>
                    <w:lang w:val="en-GB"/>
                  </w:rPr>
                  <w:t>325</w:t>
                </w:r>
              </w:p>
            </w:tc>
          </w:tr>
        </w:tbl>
        <w:p w:rsidR="00735A62" w:rsidRPr="00762161" w:rsidRDefault="00735A62"/>
        <w:p w:rsidR="00735A62" w:rsidRPr="00762161" w:rsidRDefault="00735A62"/>
        <w:p w:rsidR="00B551A2" w:rsidRDefault="00B551A2">
          <w:pPr>
            <w:pStyle w:val="NoSpacing"/>
            <w:rPr>
              <w:color w:val="4F81BD" w:themeColor="accent1"/>
              <w:lang w:val="en-GB"/>
            </w:rPr>
            <w:sectPr w:rsidR="00B551A2" w:rsidSect="009A1D23">
              <w:headerReference w:type="even" r:id="rId9"/>
              <w:headerReference w:type="default" r:id="rId10"/>
              <w:footerReference w:type="even" r:id="rId11"/>
              <w:footerReference w:type="default" r:id="rId12"/>
              <w:type w:val="continuous"/>
              <w:pgSz w:w="12240" w:h="15840"/>
              <w:pgMar w:top="1440" w:right="1467" w:bottom="1440" w:left="1440" w:header="708" w:footer="708" w:gutter="0"/>
              <w:cols w:space="708"/>
              <w:titlePg/>
              <w:docGrid w:linePitch="360"/>
            </w:sectPr>
          </w:pPr>
        </w:p>
        <w:tbl>
          <w:tblPr>
            <w:tblpPr w:leftFromText="187" w:rightFromText="187" w:horzAnchor="margin" w:tblpXSpec="center" w:tblpYSpec="bottom"/>
            <w:tblW w:w="4000" w:type="pct"/>
            <w:tblLook w:val="04A0"/>
          </w:tblPr>
          <w:tblGrid>
            <w:gridCol w:w="7650"/>
          </w:tblGrid>
          <w:tr w:rsidR="00735A62" w:rsidRPr="00762161">
            <w:tc>
              <w:tcPr>
                <w:tcW w:w="7672" w:type="dxa"/>
                <w:tcMar>
                  <w:top w:w="216" w:type="dxa"/>
                  <w:left w:w="115" w:type="dxa"/>
                  <w:bottom w:w="216" w:type="dxa"/>
                  <w:right w:w="115" w:type="dxa"/>
                </w:tcMar>
              </w:tcPr>
              <w:sdt>
                <w:sdtPr>
                  <w:rPr>
                    <w:color w:val="4F81BD" w:themeColor="accent1"/>
                    <w:lang w:val="en-GB"/>
                  </w:rPr>
                  <w:alias w:val="Author"/>
                  <w:id w:val="13406928"/>
                  <w:dataBinding w:prefixMappings="xmlns:ns0='http://schemas.openxmlformats.org/package/2006/metadata/core-properties' xmlns:ns1='http://purl.org/dc/elements/1.1/'" w:xpath="/ns0:coreProperties[1]/ns1:creator[1]" w:storeItemID="{6C3C8BC8-F283-45AE-878A-BAB7291924A1}"/>
                  <w:text/>
                </w:sdtPr>
                <w:sdtContent>
                  <w:p w:rsidR="00735A62" w:rsidRPr="00762161" w:rsidRDefault="00735A62">
                    <w:pPr>
                      <w:pStyle w:val="NoSpacing"/>
                      <w:rPr>
                        <w:color w:val="4F81BD" w:themeColor="accent1"/>
                        <w:lang w:val="en-GB"/>
                      </w:rPr>
                    </w:pPr>
                    <w:r w:rsidRPr="00762161">
                      <w:rPr>
                        <w:color w:val="4F81BD" w:themeColor="accent1"/>
                        <w:lang w:val="en-GB"/>
                      </w:rPr>
                      <w:t>John Golding - 0617664a</w:t>
                    </w:r>
                  </w:p>
                </w:sdtContent>
              </w:sdt>
              <w:sdt>
                <w:sdtPr>
                  <w:rPr>
                    <w:color w:val="4F81BD" w:themeColor="accent1"/>
                    <w:lang w:val="en-GB"/>
                  </w:rPr>
                  <w:alias w:val="Date"/>
                  <w:id w:val="13406932"/>
                  <w:dataBinding w:prefixMappings="xmlns:ns0='http://schemas.microsoft.com/office/2006/coverPageProps'" w:xpath="/ns0:CoverPageProperties[1]/ns0:PublishDate[1]" w:storeItemID="{55AF091B-3C7A-41E3-B477-F2FDAA23CFDA}"/>
                  <w:date w:fullDate="2011-02-28T00:00:00Z">
                    <w:dateFormat w:val="M/d/yyyy"/>
                    <w:lid w:val="en-US"/>
                    <w:storeMappedDataAs w:val="dateTime"/>
                    <w:calendar w:val="gregorian"/>
                  </w:date>
                </w:sdtPr>
                <w:sdtContent>
                  <w:p w:rsidR="00735A62" w:rsidRPr="00762161" w:rsidRDefault="00735A62">
                    <w:pPr>
                      <w:pStyle w:val="NoSpacing"/>
                      <w:rPr>
                        <w:color w:val="4F81BD" w:themeColor="accent1"/>
                        <w:lang w:val="en-GB"/>
                      </w:rPr>
                    </w:pPr>
                    <w:r w:rsidRPr="00762161">
                      <w:rPr>
                        <w:color w:val="4F81BD" w:themeColor="accent1"/>
                        <w:lang w:val="en-GB"/>
                      </w:rPr>
                      <w:t>2/28/2011</w:t>
                    </w:r>
                  </w:p>
                </w:sdtContent>
              </w:sdt>
              <w:p w:rsidR="00735A62" w:rsidRPr="00762161" w:rsidRDefault="00735A62">
                <w:pPr>
                  <w:pStyle w:val="NoSpacing"/>
                  <w:rPr>
                    <w:color w:val="4F81BD" w:themeColor="accent1"/>
                    <w:lang w:val="en-GB"/>
                  </w:rPr>
                </w:pPr>
              </w:p>
            </w:tc>
          </w:tr>
        </w:tbl>
        <w:p w:rsidR="00735A62" w:rsidRPr="00762161" w:rsidRDefault="00735A62"/>
        <w:p w:rsidR="00735A62" w:rsidRPr="00762161" w:rsidRDefault="00735A62">
          <w:r w:rsidRPr="00762161">
            <w:br w:type="page"/>
          </w:r>
        </w:p>
      </w:sdtContent>
    </w:sdt>
    <w:p w:rsidR="00475C40" w:rsidRDefault="00475C40" w:rsidP="00C22453">
      <w:pPr>
        <w:spacing w:before="0" w:after="0"/>
        <w:sectPr w:rsidR="00475C40" w:rsidSect="009A1D23">
          <w:type w:val="continuous"/>
          <w:pgSz w:w="12240" w:h="15840"/>
          <w:pgMar w:top="1440" w:right="1467" w:bottom="1440" w:left="1440" w:header="708" w:footer="708" w:gutter="0"/>
          <w:cols w:space="708"/>
          <w:titlePg/>
          <w:docGrid w:linePitch="360"/>
        </w:sectPr>
      </w:pPr>
    </w:p>
    <w:p w:rsidR="0095023A" w:rsidRDefault="0095023A" w:rsidP="00C22453">
      <w:pPr>
        <w:spacing w:before="0" w:after="0"/>
      </w:pPr>
    </w:p>
    <w:p w:rsidR="0095023A" w:rsidRDefault="0095023A">
      <w:r>
        <w:br w:type="page"/>
      </w:r>
    </w:p>
    <w:p w:rsidR="0095023A" w:rsidRDefault="0095023A" w:rsidP="00C22453">
      <w:pPr>
        <w:spacing w:before="0" w:after="0"/>
        <w:sectPr w:rsidR="0095023A" w:rsidSect="009A1D23">
          <w:type w:val="continuous"/>
          <w:pgSz w:w="12240" w:h="15840"/>
          <w:pgMar w:top="1440" w:right="1467" w:bottom="1440" w:left="1440" w:header="708" w:footer="708" w:gutter="0"/>
          <w:cols w:space="708"/>
          <w:titlePg/>
          <w:docGrid w:linePitch="360"/>
        </w:sectPr>
      </w:pPr>
    </w:p>
    <w:p w:rsidR="009465AE" w:rsidRPr="00762161" w:rsidRDefault="009465AE" w:rsidP="00C22453">
      <w:pPr>
        <w:spacing w:before="0" w:after="0"/>
      </w:pPr>
      <w:r w:rsidRPr="00762161">
        <w:lastRenderedPageBreak/>
        <w:t>TITLE OF PROPOSAL:</w:t>
      </w:r>
      <w:r w:rsidRPr="00762161">
        <w:tab/>
      </w:r>
      <w:r w:rsidRPr="00762161">
        <w:tab/>
      </w:r>
      <w:r w:rsidR="008644D1" w:rsidRPr="00762161">
        <w:t>Stock Pri</w:t>
      </w:r>
      <w:r w:rsidR="00F87DCD" w:rsidRPr="00762161">
        <w:t>ces as a Leading Indicator for Economic Activity</w:t>
      </w:r>
    </w:p>
    <w:p w:rsidR="009465AE" w:rsidRPr="00762161" w:rsidRDefault="009465AE" w:rsidP="00C22453">
      <w:pPr>
        <w:spacing w:before="0" w:after="0"/>
      </w:pPr>
    </w:p>
    <w:p w:rsidR="009465AE" w:rsidRPr="00762161" w:rsidRDefault="009465AE" w:rsidP="00C22453">
      <w:pPr>
        <w:spacing w:before="0" w:after="0"/>
      </w:pPr>
      <w:r w:rsidRPr="00762161">
        <w:t xml:space="preserve">A 50% dissertation to be submitted in partial </w:t>
      </w:r>
      <w:r w:rsidR="008E51CB" w:rsidRPr="00762161">
        <w:t>fulfilment</w:t>
      </w:r>
      <w:r w:rsidRPr="00762161">
        <w:t xml:space="preserve"> for the degree of:</w:t>
      </w:r>
    </w:p>
    <w:p w:rsidR="009465AE" w:rsidRPr="00762161" w:rsidRDefault="009465AE" w:rsidP="00C22453">
      <w:pPr>
        <w:spacing w:before="0" w:after="0"/>
      </w:pPr>
    </w:p>
    <w:p w:rsidR="009465AE" w:rsidRPr="00762161" w:rsidRDefault="009465AE" w:rsidP="00C22453">
      <w:pPr>
        <w:spacing w:before="0" w:after="0"/>
        <w:jc w:val="center"/>
      </w:pPr>
      <w:r w:rsidRPr="00762161">
        <w:t xml:space="preserve">MASTERS OF COMMERCE </w:t>
      </w:r>
      <w:r w:rsidR="00A30582" w:rsidRPr="00762161">
        <w:t>(</w:t>
      </w:r>
      <w:r w:rsidRPr="00762161">
        <w:t>FINANCE</w:t>
      </w:r>
      <w:r w:rsidR="00A30582" w:rsidRPr="00762161">
        <w:t>)</w:t>
      </w:r>
    </w:p>
    <w:p w:rsidR="009465AE" w:rsidRPr="00762161" w:rsidRDefault="009465AE" w:rsidP="00C22453">
      <w:pPr>
        <w:spacing w:before="0" w:after="0"/>
        <w:jc w:val="center"/>
      </w:pPr>
    </w:p>
    <w:p w:rsidR="009465AE" w:rsidRPr="00762161" w:rsidRDefault="009465AE" w:rsidP="00C22453">
      <w:pPr>
        <w:spacing w:before="0" w:after="0"/>
        <w:jc w:val="center"/>
      </w:pPr>
    </w:p>
    <w:p w:rsidR="009465AE" w:rsidRPr="00762161" w:rsidRDefault="009465AE" w:rsidP="00C22453">
      <w:pPr>
        <w:spacing w:before="0" w:after="0"/>
        <w:jc w:val="center"/>
      </w:pPr>
      <w:r w:rsidRPr="00762161">
        <w:t>UNIVERSITY OF THE WITWATERSRAND</w:t>
      </w:r>
    </w:p>
    <w:p w:rsidR="009465AE" w:rsidRPr="00762161" w:rsidRDefault="009465AE" w:rsidP="00C22453">
      <w:pPr>
        <w:spacing w:before="0" w:after="0"/>
      </w:pPr>
    </w:p>
    <w:p w:rsidR="009465AE" w:rsidRPr="00762161" w:rsidRDefault="009465AE" w:rsidP="00C22453">
      <w:pPr>
        <w:spacing w:before="0" w:after="0"/>
      </w:pPr>
      <w:r w:rsidRPr="00762161">
        <w:t>NAME OF STUDENT:</w:t>
      </w:r>
      <w:r w:rsidR="00A30582" w:rsidRPr="00762161">
        <w:tab/>
      </w:r>
      <w:r w:rsidRPr="00762161">
        <w:tab/>
        <w:t>John Golding</w:t>
      </w:r>
    </w:p>
    <w:p w:rsidR="009465AE" w:rsidRPr="00762161" w:rsidRDefault="009465AE" w:rsidP="00C22453">
      <w:pPr>
        <w:spacing w:before="0" w:after="0"/>
      </w:pPr>
    </w:p>
    <w:p w:rsidR="009465AE" w:rsidRPr="00762161" w:rsidRDefault="009465AE" w:rsidP="00C22453">
      <w:pPr>
        <w:spacing w:before="0" w:after="0"/>
      </w:pPr>
      <w:r w:rsidRPr="00762161">
        <w:t>NAME OF SUPERVISOR:</w:t>
      </w:r>
      <w:r w:rsidRPr="00762161">
        <w:tab/>
      </w:r>
      <w:r w:rsidR="00A30582" w:rsidRPr="00762161">
        <w:tab/>
      </w:r>
      <w:r w:rsidRPr="00762161">
        <w:t>Christo Auret</w:t>
      </w:r>
    </w:p>
    <w:p w:rsidR="009465AE" w:rsidRPr="00762161" w:rsidRDefault="009465AE" w:rsidP="00C22453">
      <w:pPr>
        <w:spacing w:before="0" w:after="0"/>
      </w:pPr>
    </w:p>
    <w:p w:rsidR="009465AE" w:rsidRPr="00762161" w:rsidRDefault="009465AE" w:rsidP="00C22453">
      <w:pPr>
        <w:spacing w:before="0" w:after="0"/>
      </w:pPr>
      <w:r w:rsidRPr="00762161">
        <w:t>DATE:</w:t>
      </w:r>
      <w:r w:rsidRPr="00762161">
        <w:tab/>
      </w:r>
      <w:r w:rsidR="00A30582" w:rsidRPr="00762161">
        <w:tab/>
      </w:r>
      <w:r w:rsidR="00A30582" w:rsidRPr="00762161">
        <w:tab/>
      </w:r>
      <w:r w:rsidR="00A30582" w:rsidRPr="00762161">
        <w:tab/>
      </w:r>
      <w:r w:rsidRPr="00762161">
        <w:tab/>
      </w:r>
      <w:r w:rsidR="00735A62" w:rsidRPr="00762161">
        <w:t>28 February 2011</w:t>
      </w:r>
    </w:p>
    <w:p w:rsidR="009465AE" w:rsidRPr="00762161" w:rsidRDefault="009465AE" w:rsidP="00C22453">
      <w:pPr>
        <w:spacing w:before="0" w:after="0"/>
      </w:pPr>
    </w:p>
    <w:p w:rsidR="009465AE" w:rsidRPr="00762161" w:rsidRDefault="009465AE" w:rsidP="00C22453">
      <w:pPr>
        <w:spacing w:before="0" w:after="0"/>
      </w:pPr>
      <w:r w:rsidRPr="00762161">
        <w:t>Declaration</w:t>
      </w:r>
    </w:p>
    <w:p w:rsidR="007D1DE2" w:rsidRDefault="009465AE" w:rsidP="007D1DE2">
      <w:pPr>
        <w:spacing w:before="0" w:after="0"/>
        <w:jc w:val="left"/>
        <w:sectPr w:rsidR="007D1DE2" w:rsidSect="009A1D23">
          <w:type w:val="continuous"/>
          <w:pgSz w:w="12240" w:h="15840"/>
          <w:pgMar w:top="1440" w:right="1467" w:bottom="1440" w:left="1440" w:header="708" w:footer="708" w:gutter="0"/>
          <w:cols w:space="708"/>
          <w:titlePg/>
          <w:docGrid w:linePitch="360"/>
        </w:sectPr>
      </w:pPr>
      <w:r w:rsidRPr="00762161">
        <w:t>I hereby declare that this is my own unaided work, the substance of or any part of which has not been submitted in the past or will be submitted in the future for a degree in to any university and that the information contained herein has not been obtained during my employment or working under the aegis of, any other person or organization other than this university.</w:t>
      </w:r>
    </w:p>
    <w:p w:rsidR="00ED7E71" w:rsidRDefault="00ED7E71" w:rsidP="00C22453">
      <w:pPr>
        <w:spacing w:before="0" w:after="0"/>
      </w:pPr>
    </w:p>
    <w:p w:rsidR="00475C40" w:rsidRDefault="00475C40" w:rsidP="00C22453">
      <w:pPr>
        <w:spacing w:before="0" w:after="0"/>
      </w:pPr>
    </w:p>
    <w:p w:rsidR="007D1DE2" w:rsidRDefault="009465AE" w:rsidP="00C22453">
      <w:pPr>
        <w:spacing w:before="0" w:after="0"/>
      </w:pPr>
      <w:r w:rsidRPr="00762161">
        <w:t xml:space="preserve">Name of </w:t>
      </w:r>
      <w:r w:rsidR="00ED7E71">
        <w:t>C</w:t>
      </w:r>
      <w:r w:rsidRPr="00762161">
        <w:t>andidate</w:t>
      </w:r>
      <w:r w:rsidRPr="00762161">
        <w:tab/>
      </w:r>
      <w:r w:rsidRPr="00762161">
        <w:tab/>
      </w:r>
      <w:r w:rsidRPr="00762161">
        <w:tab/>
      </w:r>
    </w:p>
    <w:p w:rsidR="00ED7E71" w:rsidRDefault="00ED7E71" w:rsidP="00C22453">
      <w:pPr>
        <w:spacing w:before="0" w:after="0"/>
      </w:pPr>
    </w:p>
    <w:p w:rsidR="009465AE" w:rsidRDefault="009465AE" w:rsidP="00C22453">
      <w:pPr>
        <w:spacing w:before="0" w:after="0"/>
      </w:pPr>
      <w:r w:rsidRPr="00762161">
        <w:t>Signed</w:t>
      </w:r>
    </w:p>
    <w:p w:rsidR="00ED7E71" w:rsidRDefault="00ED7E71" w:rsidP="00C22453">
      <w:pPr>
        <w:spacing w:before="0" w:after="0"/>
      </w:pPr>
    </w:p>
    <w:p w:rsidR="00ED7E71" w:rsidRDefault="00ED7E71" w:rsidP="00C22453">
      <w:pPr>
        <w:spacing w:before="0" w:after="0"/>
      </w:pPr>
    </w:p>
    <w:p w:rsidR="00475C40" w:rsidRDefault="00475C40" w:rsidP="00C22453">
      <w:pPr>
        <w:spacing w:before="0" w:after="0"/>
      </w:pPr>
    </w:p>
    <w:p w:rsidR="00ED7E71" w:rsidRDefault="007D1DE2" w:rsidP="00C22453">
      <w:pPr>
        <w:spacing w:before="0" w:after="0"/>
      </w:pPr>
      <w:r>
        <w:t>.......................................................................</w:t>
      </w:r>
    </w:p>
    <w:p w:rsidR="00ED7E71" w:rsidRDefault="00ED7E71" w:rsidP="00C22453">
      <w:pPr>
        <w:spacing w:before="0" w:after="0"/>
      </w:pPr>
    </w:p>
    <w:p w:rsidR="007D1DE2" w:rsidRPr="00762161" w:rsidRDefault="007D1DE2" w:rsidP="00C22453">
      <w:pPr>
        <w:spacing w:before="0" w:after="0"/>
      </w:pPr>
      <w:r>
        <w:t>.......................................................................</w:t>
      </w:r>
    </w:p>
    <w:p w:rsidR="007D1DE2" w:rsidRDefault="007D1DE2" w:rsidP="00C22453">
      <w:pPr>
        <w:spacing w:before="0" w:after="0"/>
      </w:pPr>
    </w:p>
    <w:p w:rsidR="007D1DE2" w:rsidRDefault="007D1DE2" w:rsidP="00C22453">
      <w:pPr>
        <w:spacing w:before="0" w:after="0"/>
        <w:sectPr w:rsidR="007D1DE2" w:rsidSect="007D1DE2">
          <w:type w:val="continuous"/>
          <w:pgSz w:w="12240" w:h="15840"/>
          <w:pgMar w:top="1440" w:right="1467" w:bottom="1440" w:left="1440" w:header="708" w:footer="708" w:gutter="0"/>
          <w:cols w:num="2" w:space="708"/>
          <w:titlePg/>
          <w:docGrid w:linePitch="360"/>
        </w:sectPr>
      </w:pPr>
    </w:p>
    <w:p w:rsidR="00475C40" w:rsidRDefault="00475C40" w:rsidP="00475C40">
      <w:pPr>
        <w:spacing w:before="0" w:after="0"/>
        <w:jc w:val="left"/>
      </w:pPr>
    </w:p>
    <w:p w:rsidR="00475C40" w:rsidRDefault="009465AE" w:rsidP="00475C40">
      <w:pPr>
        <w:spacing w:before="0" w:after="0"/>
        <w:jc w:val="left"/>
      </w:pPr>
      <w:r w:rsidRPr="00762161">
        <w:t xml:space="preserve">Signed this …….day of </w:t>
      </w:r>
      <w:r w:rsidR="00B52D4C" w:rsidRPr="00762161">
        <w:t>…………….</w:t>
      </w:r>
      <w:r w:rsidRPr="00762161">
        <w:t xml:space="preserve"> at Johannesburg</w:t>
      </w:r>
      <w:bookmarkStart w:id="0" w:name="_Toc239934377"/>
      <w:bookmarkStart w:id="1" w:name="_Toc240035432"/>
    </w:p>
    <w:p w:rsidR="00475C40" w:rsidRDefault="00475C40">
      <w:r>
        <w:br w:type="page"/>
      </w:r>
    </w:p>
    <w:p w:rsidR="00454973" w:rsidRDefault="00454973" w:rsidP="00475C40">
      <w:pPr>
        <w:pStyle w:val="Heading1"/>
        <w:jc w:val="center"/>
      </w:pPr>
      <w:bookmarkStart w:id="2" w:name="_Toc286616278"/>
      <w:r>
        <w:lastRenderedPageBreak/>
        <w:t>Abstract</w:t>
      </w:r>
      <w:bookmarkEnd w:id="2"/>
    </w:p>
    <w:p w:rsidR="00454973" w:rsidRPr="00454973" w:rsidRDefault="00454973" w:rsidP="00454973"/>
    <w:p w:rsidR="00454973" w:rsidRPr="00AF65A4" w:rsidRDefault="00454973" w:rsidP="00454973">
      <w:pPr>
        <w:autoSpaceDE w:val="0"/>
        <w:autoSpaceDN w:val="0"/>
        <w:adjustRightInd w:val="0"/>
        <w:spacing w:before="0" w:after="0"/>
        <w:ind w:left="1134" w:right="1111"/>
        <w:rPr>
          <w:rFonts w:cs="Times New Roman"/>
          <w:szCs w:val="24"/>
        </w:rPr>
      </w:pPr>
      <w:r w:rsidRPr="00AF65A4">
        <w:rPr>
          <w:rFonts w:cs="Times New Roman"/>
          <w:szCs w:val="24"/>
        </w:rPr>
        <w:t xml:space="preserve">Most asset pricing theories suggest that asset prices are forward looking and reflect market expectations of future earnings. By aggregating across companies, aggregate market prices may then be used as leading indicators of future </w:t>
      </w:r>
      <w:r>
        <w:rPr>
          <w:rFonts w:cs="Times New Roman"/>
          <w:szCs w:val="24"/>
        </w:rPr>
        <w:t>Real GDP, Real Industrial Production and the level of Inflation</w:t>
      </w:r>
      <w:r w:rsidRPr="00AF65A4">
        <w:rPr>
          <w:rFonts w:cs="Times New Roman"/>
          <w:szCs w:val="24"/>
        </w:rPr>
        <w:t xml:space="preserve">. </w:t>
      </w:r>
      <w:r>
        <w:rPr>
          <w:rFonts w:cs="Times New Roman"/>
          <w:szCs w:val="24"/>
        </w:rPr>
        <w:t>A Hodrick &amp; Prescott (1981) filter is used to detrend the d</w:t>
      </w:r>
      <w:r w:rsidRPr="00AF65A4">
        <w:rPr>
          <w:rFonts w:cs="Times New Roman"/>
          <w:szCs w:val="24"/>
        </w:rPr>
        <w:t>ata</w:t>
      </w:r>
      <w:r>
        <w:rPr>
          <w:rFonts w:cs="Times New Roman"/>
          <w:szCs w:val="24"/>
        </w:rPr>
        <w:t>, which is compiled</w:t>
      </w:r>
      <w:r w:rsidRPr="00AF65A4">
        <w:rPr>
          <w:rFonts w:cs="Times New Roman"/>
          <w:szCs w:val="24"/>
        </w:rPr>
        <w:t xml:space="preserve"> on an annual </w:t>
      </w:r>
      <w:r>
        <w:rPr>
          <w:rFonts w:cs="Times New Roman"/>
          <w:szCs w:val="24"/>
        </w:rPr>
        <w:t xml:space="preserve">and quarterly </w:t>
      </w:r>
      <w:r w:rsidRPr="00AF65A4">
        <w:rPr>
          <w:rFonts w:cs="Times New Roman"/>
          <w:szCs w:val="24"/>
        </w:rPr>
        <w:t>basis from the JSE</w:t>
      </w:r>
      <w:r>
        <w:rPr>
          <w:rFonts w:cs="Times New Roman"/>
          <w:szCs w:val="24"/>
        </w:rPr>
        <w:t xml:space="preserve">, to </w:t>
      </w:r>
      <w:r w:rsidRPr="00AF65A4">
        <w:rPr>
          <w:rFonts w:cs="Times New Roman"/>
          <w:szCs w:val="24"/>
          <w:lang w:val="en-ZA"/>
        </w:rPr>
        <w:t xml:space="preserve">test whether stock returns </w:t>
      </w:r>
      <w:r>
        <w:rPr>
          <w:rFonts w:cs="Times New Roman"/>
          <w:szCs w:val="24"/>
          <w:lang w:val="en-ZA"/>
        </w:rPr>
        <w:t>are in fact</w:t>
      </w:r>
      <w:r w:rsidRPr="00AF65A4">
        <w:rPr>
          <w:rFonts w:cs="Times New Roman"/>
          <w:szCs w:val="24"/>
          <w:lang w:val="en-ZA"/>
        </w:rPr>
        <w:t xml:space="preserve"> useful </w:t>
      </w:r>
      <w:r>
        <w:rPr>
          <w:rFonts w:cs="Times New Roman"/>
          <w:szCs w:val="24"/>
          <w:lang w:val="en-ZA"/>
        </w:rPr>
        <w:t>for</w:t>
      </w:r>
      <w:r w:rsidRPr="00AF65A4">
        <w:rPr>
          <w:rFonts w:cs="Times New Roman"/>
          <w:szCs w:val="24"/>
          <w:lang w:val="en-ZA"/>
        </w:rPr>
        <w:t xml:space="preserve"> </w:t>
      </w:r>
      <w:r>
        <w:rPr>
          <w:rFonts w:cs="Times New Roman"/>
          <w:szCs w:val="24"/>
          <w:lang w:val="en-ZA"/>
        </w:rPr>
        <w:t>indicating economic activity</w:t>
      </w:r>
      <w:r w:rsidRPr="00AF65A4">
        <w:rPr>
          <w:rFonts w:cs="Times New Roman"/>
          <w:szCs w:val="24"/>
          <w:lang w:val="en-ZA"/>
        </w:rPr>
        <w:t>.</w:t>
      </w:r>
      <w:r>
        <w:rPr>
          <w:rFonts w:cs="Times New Roman"/>
          <w:szCs w:val="24"/>
          <w:lang w:val="en-ZA"/>
        </w:rPr>
        <w:t xml:space="preserve"> An autoregressive model is </w:t>
      </w:r>
      <w:r w:rsidR="0095023A">
        <w:rPr>
          <w:rFonts w:cs="Times New Roman"/>
          <w:szCs w:val="24"/>
          <w:lang w:val="en-ZA"/>
        </w:rPr>
        <w:t>constructed, yielding</w:t>
      </w:r>
      <w:r w:rsidRPr="00AF65A4">
        <w:rPr>
          <w:rFonts w:cs="Times New Roman"/>
          <w:szCs w:val="24"/>
          <w:lang w:val="en-ZA"/>
        </w:rPr>
        <w:t xml:space="preserve"> strong evidence</w:t>
      </w:r>
      <w:r>
        <w:rPr>
          <w:rFonts w:cs="Times New Roman"/>
          <w:szCs w:val="24"/>
          <w:lang w:val="en-ZA"/>
        </w:rPr>
        <w:t xml:space="preserve"> of significance, in the first four quarters on a quarterly basis, and two years on an annual basis, for Real Stock Prices.</w:t>
      </w:r>
      <w:r w:rsidR="00802ADD">
        <w:rPr>
          <w:rFonts w:cs="Times New Roman"/>
          <w:szCs w:val="24"/>
          <w:lang w:val="en-ZA"/>
        </w:rPr>
        <w:t xml:space="preserve"> Therefore, in terms of a South African context, the Cycle of Real Stock Prices are a leading indicator on the JSE.</w:t>
      </w:r>
    </w:p>
    <w:p w:rsidR="00454973" w:rsidRDefault="00454973" w:rsidP="00454973">
      <w:r>
        <w:br w:type="page"/>
      </w:r>
    </w:p>
    <w:p w:rsidR="0047443E" w:rsidRPr="009D42BC" w:rsidRDefault="0047443E" w:rsidP="00454973">
      <w:pPr>
        <w:pStyle w:val="Heading1"/>
        <w:jc w:val="center"/>
      </w:pPr>
      <w:bookmarkStart w:id="3" w:name="_Toc286616279"/>
      <w:r w:rsidRPr="009D42BC">
        <w:lastRenderedPageBreak/>
        <w:t>Acknowledgements</w:t>
      </w:r>
      <w:bookmarkEnd w:id="0"/>
      <w:bookmarkEnd w:id="1"/>
      <w:bookmarkEnd w:id="3"/>
    </w:p>
    <w:p w:rsidR="0047443E" w:rsidRPr="009D42BC" w:rsidRDefault="0047443E" w:rsidP="0047443E"/>
    <w:p w:rsidR="0047443E" w:rsidRPr="009D42BC" w:rsidRDefault="0047443E" w:rsidP="0047443E">
      <w:r w:rsidRPr="009D42BC">
        <w:t xml:space="preserve">I wish to express my sincere thanks to my parents for all their support and encouragement in this dissertation and throughout my academic studies. I would also like to express my gratitude to </w:t>
      </w:r>
      <w:r>
        <w:t>Prof. Christo Auret</w:t>
      </w:r>
      <w:r w:rsidRPr="009D42BC">
        <w:t xml:space="preserve">, my supervisor, for </w:t>
      </w:r>
      <w:r>
        <w:t>his</w:t>
      </w:r>
      <w:r w:rsidRPr="009D42BC">
        <w:t xml:space="preserve"> valuable guidance and advice.</w:t>
      </w:r>
      <w:r>
        <w:t xml:space="preserve"> Furthermore, special thanks must be made to Prof. Styger for assistance on the empirics of this study. </w:t>
      </w:r>
      <w:r w:rsidR="005C2D09">
        <w:t xml:space="preserve">My thanks also </w:t>
      </w:r>
      <w:r w:rsidR="00634027">
        <w:t>go</w:t>
      </w:r>
      <w:r w:rsidR="005C2D09">
        <w:t xml:space="preserve"> out for the h</w:t>
      </w:r>
      <w:r>
        <w:t xml:space="preserve">elpful comments </w:t>
      </w:r>
      <w:r w:rsidR="005C2D09">
        <w:t xml:space="preserve">and ideas that </w:t>
      </w:r>
      <w:r>
        <w:t xml:space="preserve">were </w:t>
      </w:r>
      <w:r w:rsidR="005C2D09">
        <w:t xml:space="preserve">also </w:t>
      </w:r>
      <w:r>
        <w:t>received from all who attended the South</w:t>
      </w:r>
      <w:r w:rsidR="000E70AD">
        <w:t>ern</w:t>
      </w:r>
      <w:r>
        <w:t xml:space="preserve"> African Finance Association Conference</w:t>
      </w:r>
      <w:r w:rsidR="005C2D09">
        <w:t xml:space="preserve"> (SAFA)</w:t>
      </w:r>
      <w:r>
        <w:t xml:space="preserve"> in January 2011</w:t>
      </w:r>
      <w:r w:rsidR="005C2D09">
        <w:t>.</w:t>
      </w:r>
    </w:p>
    <w:p w:rsidR="0047443E" w:rsidRPr="009D42BC" w:rsidRDefault="0047443E" w:rsidP="0047443E">
      <w:pPr>
        <w:pStyle w:val="TOCHeading"/>
        <w:spacing w:line="360" w:lineRule="auto"/>
        <w:rPr>
          <w:rFonts w:ascii="Times New Roman" w:hAnsi="Times New Roman"/>
          <w:sz w:val="24"/>
          <w:szCs w:val="24"/>
        </w:rPr>
      </w:pPr>
      <w:r w:rsidRPr="009D42BC">
        <w:rPr>
          <w:rFonts w:ascii="Times New Roman" w:hAnsi="Times New Roman"/>
        </w:rPr>
        <w:br w:type="page"/>
      </w:r>
    </w:p>
    <w:p w:rsidR="009465AE" w:rsidRPr="00762161" w:rsidRDefault="009465AE" w:rsidP="00ED7E71">
      <w:pPr>
        <w:spacing w:before="0" w:after="0"/>
      </w:pPr>
    </w:p>
    <w:sdt>
      <w:sdtPr>
        <w:rPr>
          <w:rFonts w:ascii="Times New Roman" w:eastAsiaTheme="minorHAnsi" w:hAnsi="Times New Roman" w:cstheme="minorBidi"/>
          <w:b w:val="0"/>
          <w:bCs w:val="0"/>
          <w:color w:val="auto"/>
          <w:sz w:val="24"/>
          <w:szCs w:val="22"/>
        </w:rPr>
        <w:id w:val="694284"/>
        <w:docPartObj>
          <w:docPartGallery w:val="Table of Contents"/>
          <w:docPartUnique/>
        </w:docPartObj>
      </w:sdtPr>
      <w:sdtEndPr>
        <w:rPr>
          <w:rFonts w:cs="Times New Roman"/>
          <w:szCs w:val="24"/>
        </w:rPr>
      </w:sdtEndPr>
      <w:sdtContent>
        <w:bookmarkStart w:id="4" w:name="_Toc286616280" w:displacedByCustomXml="prev"/>
        <w:bookmarkStart w:id="5" w:name="_Toc286603489" w:displacedByCustomXml="prev"/>
        <w:bookmarkStart w:id="6" w:name="_Toc283187539" w:displacedByCustomXml="prev"/>
        <w:p w:rsidR="00FA1C0A" w:rsidRPr="00762161" w:rsidRDefault="00FA1C0A" w:rsidP="00F8189F">
          <w:pPr>
            <w:pStyle w:val="Heading1"/>
          </w:pPr>
          <w:r w:rsidRPr="00762161">
            <w:t>Contents</w:t>
          </w:r>
          <w:bookmarkEnd w:id="6"/>
          <w:bookmarkEnd w:id="5"/>
          <w:bookmarkEnd w:id="4"/>
        </w:p>
        <w:p w:rsidR="00237060" w:rsidRDefault="006F1E00">
          <w:pPr>
            <w:pStyle w:val="TOC1"/>
            <w:rPr>
              <w:rFonts w:asciiTheme="minorHAnsi" w:eastAsiaTheme="minorEastAsia" w:hAnsiTheme="minorHAnsi"/>
              <w:noProof/>
              <w:sz w:val="22"/>
              <w:lang w:val="en-ZA" w:eastAsia="en-ZA"/>
            </w:rPr>
          </w:pPr>
          <w:r w:rsidRPr="00762161">
            <w:rPr>
              <w:rFonts w:cs="Times New Roman"/>
              <w:szCs w:val="24"/>
            </w:rPr>
            <w:fldChar w:fldCharType="begin"/>
          </w:r>
          <w:r w:rsidR="00FA1C0A" w:rsidRPr="00762161">
            <w:rPr>
              <w:rFonts w:cs="Times New Roman"/>
              <w:szCs w:val="24"/>
            </w:rPr>
            <w:instrText xml:space="preserve"> TOC \o "1-3" \h \z \u </w:instrText>
          </w:r>
          <w:r w:rsidRPr="00762161">
            <w:rPr>
              <w:rFonts w:cs="Times New Roman"/>
              <w:szCs w:val="24"/>
            </w:rPr>
            <w:fldChar w:fldCharType="separate"/>
          </w:r>
          <w:hyperlink w:anchor="_Toc286616278" w:history="1">
            <w:r w:rsidR="00237060" w:rsidRPr="009D4E90">
              <w:rPr>
                <w:rStyle w:val="Hyperlink"/>
                <w:noProof/>
              </w:rPr>
              <w:t>Abstract</w:t>
            </w:r>
            <w:r w:rsidR="00237060">
              <w:rPr>
                <w:noProof/>
                <w:webHidden/>
              </w:rPr>
              <w:tab/>
            </w:r>
            <w:r>
              <w:rPr>
                <w:noProof/>
                <w:webHidden/>
              </w:rPr>
              <w:fldChar w:fldCharType="begin"/>
            </w:r>
            <w:r w:rsidR="00237060">
              <w:rPr>
                <w:noProof/>
                <w:webHidden/>
              </w:rPr>
              <w:instrText xml:space="preserve"> PAGEREF _Toc286616278 \h </w:instrText>
            </w:r>
            <w:r>
              <w:rPr>
                <w:noProof/>
                <w:webHidden/>
              </w:rPr>
            </w:r>
            <w:r>
              <w:rPr>
                <w:noProof/>
                <w:webHidden/>
              </w:rPr>
              <w:fldChar w:fldCharType="separate"/>
            </w:r>
            <w:r w:rsidR="00FC288D">
              <w:rPr>
                <w:noProof/>
                <w:webHidden/>
              </w:rPr>
              <w:t>4</w:t>
            </w:r>
            <w:r>
              <w:rPr>
                <w:noProof/>
                <w:webHidden/>
              </w:rPr>
              <w:fldChar w:fldCharType="end"/>
            </w:r>
          </w:hyperlink>
        </w:p>
        <w:p w:rsidR="00237060" w:rsidRDefault="006F1E00">
          <w:pPr>
            <w:pStyle w:val="TOC1"/>
            <w:rPr>
              <w:rFonts w:asciiTheme="minorHAnsi" w:eastAsiaTheme="minorEastAsia" w:hAnsiTheme="minorHAnsi"/>
              <w:noProof/>
              <w:sz w:val="22"/>
              <w:lang w:val="en-ZA" w:eastAsia="en-ZA"/>
            </w:rPr>
          </w:pPr>
          <w:hyperlink w:anchor="_Toc286616279" w:history="1">
            <w:r w:rsidR="00237060" w:rsidRPr="009D4E90">
              <w:rPr>
                <w:rStyle w:val="Hyperlink"/>
                <w:noProof/>
              </w:rPr>
              <w:t>Acknowledgements</w:t>
            </w:r>
            <w:r w:rsidR="00237060">
              <w:rPr>
                <w:noProof/>
                <w:webHidden/>
              </w:rPr>
              <w:tab/>
            </w:r>
            <w:r>
              <w:rPr>
                <w:noProof/>
                <w:webHidden/>
              </w:rPr>
              <w:fldChar w:fldCharType="begin"/>
            </w:r>
            <w:r w:rsidR="00237060">
              <w:rPr>
                <w:noProof/>
                <w:webHidden/>
              </w:rPr>
              <w:instrText xml:space="preserve"> PAGEREF _Toc286616279 \h </w:instrText>
            </w:r>
            <w:r>
              <w:rPr>
                <w:noProof/>
                <w:webHidden/>
              </w:rPr>
            </w:r>
            <w:r>
              <w:rPr>
                <w:noProof/>
                <w:webHidden/>
              </w:rPr>
              <w:fldChar w:fldCharType="separate"/>
            </w:r>
            <w:r w:rsidR="00FC288D">
              <w:rPr>
                <w:noProof/>
                <w:webHidden/>
              </w:rPr>
              <w:t>5</w:t>
            </w:r>
            <w:r>
              <w:rPr>
                <w:noProof/>
                <w:webHidden/>
              </w:rPr>
              <w:fldChar w:fldCharType="end"/>
            </w:r>
          </w:hyperlink>
        </w:p>
        <w:p w:rsidR="00237060" w:rsidRDefault="006F1E00">
          <w:pPr>
            <w:pStyle w:val="TOC1"/>
            <w:rPr>
              <w:rFonts w:asciiTheme="minorHAnsi" w:eastAsiaTheme="minorEastAsia" w:hAnsiTheme="minorHAnsi"/>
              <w:noProof/>
              <w:sz w:val="22"/>
              <w:lang w:val="en-ZA" w:eastAsia="en-ZA"/>
            </w:rPr>
          </w:pPr>
          <w:hyperlink w:anchor="_Toc286616281" w:history="1">
            <w:r w:rsidR="00237060" w:rsidRPr="009D4E90">
              <w:rPr>
                <w:rStyle w:val="Hyperlink"/>
                <w:noProof/>
              </w:rPr>
              <w:t>1.</w:t>
            </w:r>
            <w:r w:rsidR="00237060">
              <w:rPr>
                <w:rFonts w:asciiTheme="minorHAnsi" w:eastAsiaTheme="minorEastAsia" w:hAnsiTheme="minorHAnsi"/>
                <w:noProof/>
                <w:sz w:val="22"/>
                <w:lang w:val="en-ZA" w:eastAsia="en-ZA"/>
              </w:rPr>
              <w:tab/>
            </w:r>
            <w:r w:rsidR="00237060" w:rsidRPr="009D4E90">
              <w:rPr>
                <w:rStyle w:val="Hyperlink"/>
                <w:noProof/>
              </w:rPr>
              <w:t>Introduction</w:t>
            </w:r>
            <w:r w:rsidR="00237060">
              <w:rPr>
                <w:noProof/>
                <w:webHidden/>
              </w:rPr>
              <w:tab/>
            </w:r>
            <w:r>
              <w:rPr>
                <w:noProof/>
                <w:webHidden/>
              </w:rPr>
              <w:fldChar w:fldCharType="begin"/>
            </w:r>
            <w:r w:rsidR="00237060">
              <w:rPr>
                <w:noProof/>
                <w:webHidden/>
              </w:rPr>
              <w:instrText xml:space="preserve"> PAGEREF _Toc286616281 \h </w:instrText>
            </w:r>
            <w:r>
              <w:rPr>
                <w:noProof/>
                <w:webHidden/>
              </w:rPr>
            </w:r>
            <w:r>
              <w:rPr>
                <w:noProof/>
                <w:webHidden/>
              </w:rPr>
              <w:fldChar w:fldCharType="separate"/>
            </w:r>
            <w:r w:rsidR="00FC288D">
              <w:rPr>
                <w:noProof/>
                <w:webHidden/>
              </w:rPr>
              <w:t>9</w:t>
            </w:r>
            <w:r>
              <w:rPr>
                <w:noProof/>
                <w:webHidden/>
              </w:rPr>
              <w:fldChar w:fldCharType="end"/>
            </w:r>
          </w:hyperlink>
        </w:p>
        <w:p w:rsidR="00237060" w:rsidRDefault="006F1E00">
          <w:pPr>
            <w:pStyle w:val="TOC1"/>
            <w:rPr>
              <w:rFonts w:asciiTheme="minorHAnsi" w:eastAsiaTheme="minorEastAsia" w:hAnsiTheme="minorHAnsi"/>
              <w:noProof/>
              <w:sz w:val="22"/>
              <w:lang w:val="en-ZA" w:eastAsia="en-ZA"/>
            </w:rPr>
          </w:pPr>
          <w:hyperlink w:anchor="_Toc286616282" w:history="1">
            <w:r w:rsidR="00237060" w:rsidRPr="009D4E90">
              <w:rPr>
                <w:rStyle w:val="Hyperlink"/>
                <w:noProof/>
              </w:rPr>
              <w:t>2.</w:t>
            </w:r>
            <w:r w:rsidR="00237060">
              <w:rPr>
                <w:rFonts w:asciiTheme="minorHAnsi" w:eastAsiaTheme="minorEastAsia" w:hAnsiTheme="minorHAnsi"/>
                <w:noProof/>
                <w:sz w:val="22"/>
                <w:lang w:val="en-ZA" w:eastAsia="en-ZA"/>
              </w:rPr>
              <w:tab/>
            </w:r>
            <w:r w:rsidR="00237060" w:rsidRPr="009D4E90">
              <w:rPr>
                <w:rStyle w:val="Hyperlink"/>
                <w:noProof/>
              </w:rPr>
              <w:t>The Forward Looking Nature of Stock Prices</w:t>
            </w:r>
            <w:r w:rsidR="00237060">
              <w:rPr>
                <w:noProof/>
                <w:webHidden/>
              </w:rPr>
              <w:tab/>
            </w:r>
            <w:r>
              <w:rPr>
                <w:noProof/>
                <w:webHidden/>
              </w:rPr>
              <w:fldChar w:fldCharType="begin"/>
            </w:r>
            <w:r w:rsidR="00237060">
              <w:rPr>
                <w:noProof/>
                <w:webHidden/>
              </w:rPr>
              <w:instrText xml:space="preserve"> PAGEREF _Toc286616282 \h </w:instrText>
            </w:r>
            <w:r>
              <w:rPr>
                <w:noProof/>
                <w:webHidden/>
              </w:rPr>
            </w:r>
            <w:r>
              <w:rPr>
                <w:noProof/>
                <w:webHidden/>
              </w:rPr>
              <w:fldChar w:fldCharType="separate"/>
            </w:r>
            <w:r w:rsidR="00FC288D">
              <w:rPr>
                <w:noProof/>
                <w:webHidden/>
              </w:rPr>
              <w:t>13</w:t>
            </w:r>
            <w:r>
              <w:rPr>
                <w:noProof/>
                <w:webHidden/>
              </w:rPr>
              <w:fldChar w:fldCharType="end"/>
            </w:r>
          </w:hyperlink>
        </w:p>
        <w:p w:rsidR="00237060" w:rsidRDefault="006F1E00">
          <w:pPr>
            <w:pStyle w:val="TOC1"/>
            <w:rPr>
              <w:rFonts w:asciiTheme="minorHAnsi" w:eastAsiaTheme="minorEastAsia" w:hAnsiTheme="minorHAnsi"/>
              <w:noProof/>
              <w:sz w:val="22"/>
              <w:lang w:val="en-ZA" w:eastAsia="en-ZA"/>
            </w:rPr>
          </w:pPr>
          <w:hyperlink w:anchor="_Toc286616283" w:history="1">
            <w:r w:rsidR="00237060" w:rsidRPr="009D4E90">
              <w:rPr>
                <w:rStyle w:val="Hyperlink"/>
                <w:noProof/>
              </w:rPr>
              <w:t>3.</w:t>
            </w:r>
            <w:r w:rsidR="00237060">
              <w:rPr>
                <w:rFonts w:asciiTheme="minorHAnsi" w:eastAsiaTheme="minorEastAsia" w:hAnsiTheme="minorHAnsi"/>
                <w:noProof/>
                <w:sz w:val="22"/>
                <w:lang w:val="en-ZA" w:eastAsia="en-ZA"/>
              </w:rPr>
              <w:tab/>
            </w:r>
            <w:r w:rsidR="00237060" w:rsidRPr="009D4E90">
              <w:rPr>
                <w:rStyle w:val="Hyperlink"/>
                <w:noProof/>
              </w:rPr>
              <w:t>Efficient Market Hypothesis</w:t>
            </w:r>
            <w:r w:rsidR="00237060">
              <w:rPr>
                <w:noProof/>
                <w:webHidden/>
              </w:rPr>
              <w:tab/>
            </w:r>
            <w:r>
              <w:rPr>
                <w:noProof/>
                <w:webHidden/>
              </w:rPr>
              <w:fldChar w:fldCharType="begin"/>
            </w:r>
            <w:r w:rsidR="00237060">
              <w:rPr>
                <w:noProof/>
                <w:webHidden/>
              </w:rPr>
              <w:instrText xml:space="preserve"> PAGEREF _Toc286616283 \h </w:instrText>
            </w:r>
            <w:r>
              <w:rPr>
                <w:noProof/>
                <w:webHidden/>
              </w:rPr>
            </w:r>
            <w:r>
              <w:rPr>
                <w:noProof/>
                <w:webHidden/>
              </w:rPr>
              <w:fldChar w:fldCharType="separate"/>
            </w:r>
            <w:r w:rsidR="00FC288D">
              <w:rPr>
                <w:noProof/>
                <w:webHidden/>
              </w:rPr>
              <w:t>16</w:t>
            </w:r>
            <w:r>
              <w:rPr>
                <w:noProof/>
                <w:webHidden/>
              </w:rPr>
              <w:fldChar w:fldCharType="end"/>
            </w:r>
          </w:hyperlink>
        </w:p>
        <w:p w:rsidR="00237060" w:rsidRDefault="006F1E00">
          <w:pPr>
            <w:pStyle w:val="TOC2"/>
            <w:tabs>
              <w:tab w:val="left" w:pos="880"/>
              <w:tab w:val="right" w:leader="dot" w:pos="9323"/>
            </w:tabs>
            <w:rPr>
              <w:rFonts w:asciiTheme="minorHAnsi" w:eastAsiaTheme="minorEastAsia" w:hAnsiTheme="minorHAnsi"/>
              <w:noProof/>
              <w:sz w:val="22"/>
              <w:lang w:val="en-ZA" w:eastAsia="en-ZA"/>
            </w:rPr>
          </w:pPr>
          <w:hyperlink w:anchor="_Toc286616287" w:history="1">
            <w:r w:rsidR="00237060" w:rsidRPr="009D4E90">
              <w:rPr>
                <w:rStyle w:val="Hyperlink"/>
                <w:noProof/>
              </w:rPr>
              <w:t>3.1.</w:t>
            </w:r>
            <w:r w:rsidR="00237060">
              <w:rPr>
                <w:rFonts w:asciiTheme="minorHAnsi" w:eastAsiaTheme="minorEastAsia" w:hAnsiTheme="minorHAnsi"/>
                <w:noProof/>
                <w:sz w:val="22"/>
                <w:lang w:val="en-ZA" w:eastAsia="en-ZA"/>
              </w:rPr>
              <w:tab/>
            </w:r>
            <w:r w:rsidR="00237060" w:rsidRPr="009D4E90">
              <w:rPr>
                <w:rStyle w:val="Hyperlink"/>
                <w:noProof/>
              </w:rPr>
              <w:t>Forms of Market Efficiency</w:t>
            </w:r>
            <w:r w:rsidR="00237060">
              <w:rPr>
                <w:noProof/>
                <w:webHidden/>
              </w:rPr>
              <w:tab/>
            </w:r>
            <w:r>
              <w:rPr>
                <w:noProof/>
                <w:webHidden/>
              </w:rPr>
              <w:fldChar w:fldCharType="begin"/>
            </w:r>
            <w:r w:rsidR="00237060">
              <w:rPr>
                <w:noProof/>
                <w:webHidden/>
              </w:rPr>
              <w:instrText xml:space="preserve"> PAGEREF _Toc286616287 \h </w:instrText>
            </w:r>
            <w:r>
              <w:rPr>
                <w:noProof/>
                <w:webHidden/>
              </w:rPr>
            </w:r>
            <w:r>
              <w:rPr>
                <w:noProof/>
                <w:webHidden/>
              </w:rPr>
              <w:fldChar w:fldCharType="separate"/>
            </w:r>
            <w:r w:rsidR="00FC288D">
              <w:rPr>
                <w:noProof/>
                <w:webHidden/>
              </w:rPr>
              <w:t>18</w:t>
            </w:r>
            <w:r>
              <w:rPr>
                <w:noProof/>
                <w:webHidden/>
              </w:rPr>
              <w:fldChar w:fldCharType="end"/>
            </w:r>
          </w:hyperlink>
        </w:p>
        <w:p w:rsidR="00237060" w:rsidRDefault="006F1E00">
          <w:pPr>
            <w:pStyle w:val="TOC2"/>
            <w:tabs>
              <w:tab w:val="left" w:pos="880"/>
              <w:tab w:val="right" w:leader="dot" w:pos="9323"/>
            </w:tabs>
            <w:rPr>
              <w:rFonts w:asciiTheme="minorHAnsi" w:eastAsiaTheme="minorEastAsia" w:hAnsiTheme="minorHAnsi"/>
              <w:noProof/>
              <w:sz w:val="22"/>
              <w:lang w:val="en-ZA" w:eastAsia="en-ZA"/>
            </w:rPr>
          </w:pPr>
          <w:hyperlink w:anchor="_Toc286616288" w:history="1">
            <w:r w:rsidR="00237060" w:rsidRPr="009D4E90">
              <w:rPr>
                <w:rStyle w:val="Hyperlink"/>
                <w:noProof/>
              </w:rPr>
              <w:t>3.2.</w:t>
            </w:r>
            <w:r w:rsidR="00237060">
              <w:rPr>
                <w:rFonts w:asciiTheme="minorHAnsi" w:eastAsiaTheme="minorEastAsia" w:hAnsiTheme="minorHAnsi"/>
                <w:noProof/>
                <w:sz w:val="22"/>
                <w:lang w:val="en-ZA" w:eastAsia="en-ZA"/>
              </w:rPr>
              <w:tab/>
            </w:r>
            <w:r w:rsidR="00237060" w:rsidRPr="009D4E90">
              <w:rPr>
                <w:rStyle w:val="Hyperlink"/>
                <w:noProof/>
              </w:rPr>
              <w:t>The Contrasting Views of Market Efficiency</w:t>
            </w:r>
            <w:r w:rsidR="00237060">
              <w:rPr>
                <w:noProof/>
                <w:webHidden/>
              </w:rPr>
              <w:tab/>
            </w:r>
            <w:r>
              <w:rPr>
                <w:noProof/>
                <w:webHidden/>
              </w:rPr>
              <w:fldChar w:fldCharType="begin"/>
            </w:r>
            <w:r w:rsidR="00237060">
              <w:rPr>
                <w:noProof/>
                <w:webHidden/>
              </w:rPr>
              <w:instrText xml:space="preserve"> PAGEREF _Toc286616288 \h </w:instrText>
            </w:r>
            <w:r>
              <w:rPr>
                <w:noProof/>
                <w:webHidden/>
              </w:rPr>
            </w:r>
            <w:r>
              <w:rPr>
                <w:noProof/>
                <w:webHidden/>
              </w:rPr>
              <w:fldChar w:fldCharType="separate"/>
            </w:r>
            <w:r w:rsidR="00FC288D">
              <w:rPr>
                <w:noProof/>
                <w:webHidden/>
              </w:rPr>
              <w:t>24</w:t>
            </w:r>
            <w:r>
              <w:rPr>
                <w:noProof/>
                <w:webHidden/>
              </w:rPr>
              <w:fldChar w:fldCharType="end"/>
            </w:r>
          </w:hyperlink>
        </w:p>
        <w:p w:rsidR="00237060" w:rsidRDefault="006F1E00">
          <w:pPr>
            <w:pStyle w:val="TOC2"/>
            <w:tabs>
              <w:tab w:val="left" w:pos="880"/>
              <w:tab w:val="right" w:leader="dot" w:pos="9323"/>
            </w:tabs>
            <w:rPr>
              <w:rFonts w:asciiTheme="minorHAnsi" w:eastAsiaTheme="minorEastAsia" w:hAnsiTheme="minorHAnsi"/>
              <w:noProof/>
              <w:sz w:val="22"/>
              <w:lang w:val="en-ZA" w:eastAsia="en-ZA"/>
            </w:rPr>
          </w:pPr>
          <w:hyperlink w:anchor="_Toc286616289" w:history="1">
            <w:r w:rsidR="00237060" w:rsidRPr="009D4E90">
              <w:rPr>
                <w:rStyle w:val="Hyperlink"/>
                <w:noProof/>
              </w:rPr>
              <w:t>3.3.</w:t>
            </w:r>
            <w:r w:rsidR="00237060">
              <w:rPr>
                <w:rFonts w:asciiTheme="minorHAnsi" w:eastAsiaTheme="minorEastAsia" w:hAnsiTheme="minorHAnsi"/>
                <w:noProof/>
                <w:sz w:val="22"/>
                <w:lang w:val="en-ZA" w:eastAsia="en-ZA"/>
              </w:rPr>
              <w:tab/>
            </w:r>
            <w:r w:rsidR="00237060" w:rsidRPr="009D4E90">
              <w:rPr>
                <w:rStyle w:val="Hyperlink"/>
                <w:noProof/>
              </w:rPr>
              <w:t>Stock Price Anomalies</w:t>
            </w:r>
            <w:r w:rsidR="00237060">
              <w:rPr>
                <w:noProof/>
                <w:webHidden/>
              </w:rPr>
              <w:tab/>
            </w:r>
            <w:r>
              <w:rPr>
                <w:noProof/>
                <w:webHidden/>
              </w:rPr>
              <w:fldChar w:fldCharType="begin"/>
            </w:r>
            <w:r w:rsidR="00237060">
              <w:rPr>
                <w:noProof/>
                <w:webHidden/>
              </w:rPr>
              <w:instrText xml:space="preserve"> PAGEREF _Toc286616289 \h </w:instrText>
            </w:r>
            <w:r>
              <w:rPr>
                <w:noProof/>
                <w:webHidden/>
              </w:rPr>
            </w:r>
            <w:r>
              <w:rPr>
                <w:noProof/>
                <w:webHidden/>
              </w:rPr>
              <w:fldChar w:fldCharType="separate"/>
            </w:r>
            <w:r w:rsidR="00FC288D">
              <w:rPr>
                <w:noProof/>
                <w:webHidden/>
              </w:rPr>
              <w:t>32</w:t>
            </w:r>
            <w:r>
              <w:rPr>
                <w:noProof/>
                <w:webHidden/>
              </w:rPr>
              <w:fldChar w:fldCharType="end"/>
            </w:r>
          </w:hyperlink>
        </w:p>
        <w:p w:rsidR="00237060" w:rsidRDefault="006F1E00">
          <w:pPr>
            <w:pStyle w:val="TOC2"/>
            <w:tabs>
              <w:tab w:val="left" w:pos="880"/>
              <w:tab w:val="right" w:leader="dot" w:pos="9323"/>
            </w:tabs>
            <w:rPr>
              <w:rFonts w:asciiTheme="minorHAnsi" w:eastAsiaTheme="minorEastAsia" w:hAnsiTheme="minorHAnsi"/>
              <w:noProof/>
              <w:sz w:val="22"/>
              <w:lang w:val="en-ZA" w:eastAsia="en-ZA"/>
            </w:rPr>
          </w:pPr>
          <w:hyperlink w:anchor="_Toc286616296" w:history="1">
            <w:r w:rsidR="00237060" w:rsidRPr="009D4E90">
              <w:rPr>
                <w:rStyle w:val="Hyperlink"/>
                <w:noProof/>
              </w:rPr>
              <w:t>3.4.</w:t>
            </w:r>
            <w:r w:rsidR="00237060">
              <w:rPr>
                <w:rFonts w:asciiTheme="minorHAnsi" w:eastAsiaTheme="minorEastAsia" w:hAnsiTheme="minorHAnsi"/>
                <w:noProof/>
                <w:sz w:val="22"/>
                <w:lang w:val="en-ZA" w:eastAsia="en-ZA"/>
              </w:rPr>
              <w:tab/>
            </w:r>
            <w:r w:rsidR="00237060" w:rsidRPr="009D4E90">
              <w:rPr>
                <w:rStyle w:val="Hyperlink"/>
                <w:noProof/>
              </w:rPr>
              <w:t>Asset Pricing Models and their Shortcomings</w:t>
            </w:r>
            <w:r w:rsidR="00237060">
              <w:rPr>
                <w:noProof/>
                <w:webHidden/>
              </w:rPr>
              <w:tab/>
            </w:r>
            <w:r>
              <w:rPr>
                <w:noProof/>
                <w:webHidden/>
              </w:rPr>
              <w:fldChar w:fldCharType="begin"/>
            </w:r>
            <w:r w:rsidR="00237060">
              <w:rPr>
                <w:noProof/>
                <w:webHidden/>
              </w:rPr>
              <w:instrText xml:space="preserve"> PAGEREF _Toc286616296 \h </w:instrText>
            </w:r>
            <w:r>
              <w:rPr>
                <w:noProof/>
                <w:webHidden/>
              </w:rPr>
            </w:r>
            <w:r>
              <w:rPr>
                <w:noProof/>
                <w:webHidden/>
              </w:rPr>
              <w:fldChar w:fldCharType="separate"/>
            </w:r>
            <w:r w:rsidR="00FC288D">
              <w:rPr>
                <w:noProof/>
                <w:webHidden/>
              </w:rPr>
              <w:t>35</w:t>
            </w:r>
            <w:r>
              <w:rPr>
                <w:noProof/>
                <w:webHidden/>
              </w:rPr>
              <w:fldChar w:fldCharType="end"/>
            </w:r>
          </w:hyperlink>
        </w:p>
        <w:p w:rsidR="00237060" w:rsidRDefault="006F1E00">
          <w:pPr>
            <w:pStyle w:val="TOC2"/>
            <w:tabs>
              <w:tab w:val="left" w:pos="880"/>
              <w:tab w:val="right" w:leader="dot" w:pos="9323"/>
            </w:tabs>
            <w:rPr>
              <w:rFonts w:asciiTheme="minorHAnsi" w:eastAsiaTheme="minorEastAsia" w:hAnsiTheme="minorHAnsi"/>
              <w:noProof/>
              <w:sz w:val="22"/>
              <w:lang w:val="en-ZA" w:eastAsia="en-ZA"/>
            </w:rPr>
          </w:pPr>
          <w:hyperlink w:anchor="_Toc286616304" w:history="1">
            <w:r w:rsidR="00237060" w:rsidRPr="009D4E90">
              <w:rPr>
                <w:rStyle w:val="Hyperlink"/>
                <w:noProof/>
              </w:rPr>
              <w:t>3.5.</w:t>
            </w:r>
            <w:r w:rsidR="00237060">
              <w:rPr>
                <w:rFonts w:asciiTheme="minorHAnsi" w:eastAsiaTheme="minorEastAsia" w:hAnsiTheme="minorHAnsi"/>
                <w:noProof/>
                <w:sz w:val="22"/>
                <w:lang w:val="en-ZA" w:eastAsia="en-ZA"/>
              </w:rPr>
              <w:tab/>
            </w:r>
            <w:r w:rsidR="00237060" w:rsidRPr="009D4E90">
              <w:rPr>
                <w:rStyle w:val="Hyperlink"/>
                <w:noProof/>
              </w:rPr>
              <w:t>Implications for the JSE</w:t>
            </w:r>
            <w:r w:rsidR="00237060">
              <w:rPr>
                <w:noProof/>
                <w:webHidden/>
              </w:rPr>
              <w:tab/>
            </w:r>
            <w:r>
              <w:rPr>
                <w:noProof/>
                <w:webHidden/>
              </w:rPr>
              <w:fldChar w:fldCharType="begin"/>
            </w:r>
            <w:r w:rsidR="00237060">
              <w:rPr>
                <w:noProof/>
                <w:webHidden/>
              </w:rPr>
              <w:instrText xml:space="preserve"> PAGEREF _Toc286616304 \h </w:instrText>
            </w:r>
            <w:r>
              <w:rPr>
                <w:noProof/>
                <w:webHidden/>
              </w:rPr>
            </w:r>
            <w:r>
              <w:rPr>
                <w:noProof/>
                <w:webHidden/>
              </w:rPr>
              <w:fldChar w:fldCharType="separate"/>
            </w:r>
            <w:r w:rsidR="00FC288D">
              <w:rPr>
                <w:noProof/>
                <w:webHidden/>
              </w:rPr>
              <w:t>38</w:t>
            </w:r>
            <w:r>
              <w:rPr>
                <w:noProof/>
                <w:webHidden/>
              </w:rPr>
              <w:fldChar w:fldCharType="end"/>
            </w:r>
          </w:hyperlink>
        </w:p>
        <w:p w:rsidR="00237060" w:rsidRDefault="006F1E00">
          <w:pPr>
            <w:pStyle w:val="TOC1"/>
            <w:rPr>
              <w:rFonts w:asciiTheme="minorHAnsi" w:eastAsiaTheme="minorEastAsia" w:hAnsiTheme="minorHAnsi"/>
              <w:noProof/>
              <w:sz w:val="22"/>
              <w:lang w:val="en-ZA" w:eastAsia="en-ZA"/>
            </w:rPr>
          </w:pPr>
          <w:hyperlink w:anchor="_Toc286616305" w:history="1">
            <w:r w:rsidR="00237060" w:rsidRPr="009D4E90">
              <w:rPr>
                <w:rStyle w:val="Hyperlink"/>
                <w:noProof/>
              </w:rPr>
              <w:t>4.</w:t>
            </w:r>
            <w:r w:rsidR="00237060">
              <w:rPr>
                <w:rFonts w:asciiTheme="minorHAnsi" w:eastAsiaTheme="minorEastAsia" w:hAnsiTheme="minorHAnsi"/>
                <w:noProof/>
                <w:sz w:val="22"/>
                <w:lang w:val="en-ZA" w:eastAsia="en-ZA"/>
              </w:rPr>
              <w:tab/>
            </w:r>
            <w:r w:rsidR="00237060" w:rsidRPr="009D4E90">
              <w:rPr>
                <w:rStyle w:val="Hyperlink"/>
                <w:noProof/>
              </w:rPr>
              <w:t>Stock Prices and their Accompanying Economic Indicators</w:t>
            </w:r>
            <w:r w:rsidR="00237060">
              <w:rPr>
                <w:noProof/>
                <w:webHidden/>
              </w:rPr>
              <w:tab/>
            </w:r>
            <w:r>
              <w:rPr>
                <w:noProof/>
                <w:webHidden/>
              </w:rPr>
              <w:fldChar w:fldCharType="begin"/>
            </w:r>
            <w:r w:rsidR="00237060">
              <w:rPr>
                <w:noProof/>
                <w:webHidden/>
              </w:rPr>
              <w:instrText xml:space="preserve"> PAGEREF _Toc286616305 \h </w:instrText>
            </w:r>
            <w:r>
              <w:rPr>
                <w:noProof/>
                <w:webHidden/>
              </w:rPr>
            </w:r>
            <w:r>
              <w:rPr>
                <w:noProof/>
                <w:webHidden/>
              </w:rPr>
              <w:fldChar w:fldCharType="separate"/>
            </w:r>
            <w:r w:rsidR="00FC288D">
              <w:rPr>
                <w:noProof/>
                <w:webHidden/>
              </w:rPr>
              <w:t>43</w:t>
            </w:r>
            <w:r>
              <w:rPr>
                <w:noProof/>
                <w:webHidden/>
              </w:rPr>
              <w:fldChar w:fldCharType="end"/>
            </w:r>
          </w:hyperlink>
        </w:p>
        <w:p w:rsidR="00237060" w:rsidRDefault="006F1E00">
          <w:pPr>
            <w:pStyle w:val="TOC2"/>
            <w:tabs>
              <w:tab w:val="left" w:pos="880"/>
              <w:tab w:val="right" w:leader="dot" w:pos="9323"/>
            </w:tabs>
            <w:rPr>
              <w:rFonts w:asciiTheme="minorHAnsi" w:eastAsiaTheme="minorEastAsia" w:hAnsiTheme="minorHAnsi"/>
              <w:noProof/>
              <w:sz w:val="22"/>
              <w:lang w:val="en-ZA" w:eastAsia="en-ZA"/>
            </w:rPr>
          </w:pPr>
          <w:hyperlink w:anchor="_Toc286616310" w:history="1">
            <w:r w:rsidR="00237060" w:rsidRPr="009D4E90">
              <w:rPr>
                <w:rStyle w:val="Hyperlink"/>
                <w:noProof/>
              </w:rPr>
              <w:t>4.1.</w:t>
            </w:r>
            <w:r w:rsidR="00237060">
              <w:rPr>
                <w:rFonts w:asciiTheme="minorHAnsi" w:eastAsiaTheme="minorEastAsia" w:hAnsiTheme="minorHAnsi"/>
                <w:noProof/>
                <w:sz w:val="22"/>
                <w:lang w:val="en-ZA" w:eastAsia="en-ZA"/>
              </w:rPr>
              <w:tab/>
            </w:r>
            <w:r w:rsidR="00237060" w:rsidRPr="009D4E90">
              <w:rPr>
                <w:rStyle w:val="Hyperlink"/>
                <w:noProof/>
              </w:rPr>
              <w:t>Industrial Production</w:t>
            </w:r>
            <w:r w:rsidR="00237060">
              <w:rPr>
                <w:noProof/>
                <w:webHidden/>
              </w:rPr>
              <w:tab/>
            </w:r>
            <w:r>
              <w:rPr>
                <w:noProof/>
                <w:webHidden/>
              </w:rPr>
              <w:fldChar w:fldCharType="begin"/>
            </w:r>
            <w:r w:rsidR="00237060">
              <w:rPr>
                <w:noProof/>
                <w:webHidden/>
              </w:rPr>
              <w:instrText xml:space="preserve"> PAGEREF _Toc286616310 \h </w:instrText>
            </w:r>
            <w:r>
              <w:rPr>
                <w:noProof/>
                <w:webHidden/>
              </w:rPr>
            </w:r>
            <w:r>
              <w:rPr>
                <w:noProof/>
                <w:webHidden/>
              </w:rPr>
              <w:fldChar w:fldCharType="separate"/>
            </w:r>
            <w:r w:rsidR="00FC288D">
              <w:rPr>
                <w:noProof/>
                <w:webHidden/>
              </w:rPr>
              <w:t>51</w:t>
            </w:r>
            <w:r>
              <w:rPr>
                <w:noProof/>
                <w:webHidden/>
              </w:rPr>
              <w:fldChar w:fldCharType="end"/>
            </w:r>
          </w:hyperlink>
        </w:p>
        <w:p w:rsidR="00237060" w:rsidRDefault="006F1E00">
          <w:pPr>
            <w:pStyle w:val="TOC2"/>
            <w:tabs>
              <w:tab w:val="left" w:pos="880"/>
              <w:tab w:val="right" w:leader="dot" w:pos="9323"/>
            </w:tabs>
            <w:rPr>
              <w:rFonts w:asciiTheme="minorHAnsi" w:eastAsiaTheme="minorEastAsia" w:hAnsiTheme="minorHAnsi"/>
              <w:noProof/>
              <w:sz w:val="22"/>
              <w:lang w:val="en-ZA" w:eastAsia="en-ZA"/>
            </w:rPr>
          </w:pPr>
          <w:hyperlink w:anchor="_Toc286616311" w:history="1">
            <w:r w:rsidR="00237060" w:rsidRPr="009D4E90">
              <w:rPr>
                <w:rStyle w:val="Hyperlink"/>
                <w:noProof/>
              </w:rPr>
              <w:t>4.2.</w:t>
            </w:r>
            <w:r w:rsidR="00237060">
              <w:rPr>
                <w:rFonts w:asciiTheme="minorHAnsi" w:eastAsiaTheme="minorEastAsia" w:hAnsiTheme="minorHAnsi"/>
                <w:noProof/>
                <w:sz w:val="22"/>
                <w:lang w:val="en-ZA" w:eastAsia="en-ZA"/>
              </w:rPr>
              <w:tab/>
            </w:r>
            <w:r w:rsidR="00237060" w:rsidRPr="009D4E90">
              <w:rPr>
                <w:rStyle w:val="Hyperlink"/>
                <w:noProof/>
              </w:rPr>
              <w:t>GDP/GNP</w:t>
            </w:r>
            <w:r w:rsidR="00237060">
              <w:rPr>
                <w:noProof/>
                <w:webHidden/>
              </w:rPr>
              <w:tab/>
            </w:r>
            <w:r>
              <w:rPr>
                <w:noProof/>
                <w:webHidden/>
              </w:rPr>
              <w:fldChar w:fldCharType="begin"/>
            </w:r>
            <w:r w:rsidR="00237060">
              <w:rPr>
                <w:noProof/>
                <w:webHidden/>
              </w:rPr>
              <w:instrText xml:space="preserve"> PAGEREF _Toc286616311 \h </w:instrText>
            </w:r>
            <w:r>
              <w:rPr>
                <w:noProof/>
                <w:webHidden/>
              </w:rPr>
            </w:r>
            <w:r>
              <w:rPr>
                <w:noProof/>
                <w:webHidden/>
              </w:rPr>
              <w:fldChar w:fldCharType="separate"/>
            </w:r>
            <w:r w:rsidR="00FC288D">
              <w:rPr>
                <w:noProof/>
                <w:webHidden/>
              </w:rPr>
              <w:t>58</w:t>
            </w:r>
            <w:r>
              <w:rPr>
                <w:noProof/>
                <w:webHidden/>
              </w:rPr>
              <w:fldChar w:fldCharType="end"/>
            </w:r>
          </w:hyperlink>
        </w:p>
        <w:p w:rsidR="00237060" w:rsidRDefault="006F1E00">
          <w:pPr>
            <w:pStyle w:val="TOC2"/>
            <w:tabs>
              <w:tab w:val="left" w:pos="880"/>
              <w:tab w:val="right" w:leader="dot" w:pos="9323"/>
            </w:tabs>
            <w:rPr>
              <w:rFonts w:asciiTheme="minorHAnsi" w:eastAsiaTheme="minorEastAsia" w:hAnsiTheme="minorHAnsi"/>
              <w:noProof/>
              <w:sz w:val="22"/>
              <w:lang w:val="en-ZA" w:eastAsia="en-ZA"/>
            </w:rPr>
          </w:pPr>
          <w:hyperlink w:anchor="_Toc286616312" w:history="1">
            <w:r w:rsidR="00237060" w:rsidRPr="009D4E90">
              <w:rPr>
                <w:rStyle w:val="Hyperlink"/>
                <w:noProof/>
              </w:rPr>
              <w:t>4.3.</w:t>
            </w:r>
            <w:r w:rsidR="00237060">
              <w:rPr>
                <w:rFonts w:asciiTheme="minorHAnsi" w:eastAsiaTheme="minorEastAsia" w:hAnsiTheme="minorHAnsi"/>
                <w:noProof/>
                <w:sz w:val="22"/>
                <w:lang w:val="en-ZA" w:eastAsia="en-ZA"/>
              </w:rPr>
              <w:tab/>
            </w:r>
            <w:r w:rsidR="00237060" w:rsidRPr="009D4E90">
              <w:rPr>
                <w:rStyle w:val="Hyperlink"/>
                <w:noProof/>
              </w:rPr>
              <w:t>Inflation</w:t>
            </w:r>
            <w:r w:rsidR="00237060">
              <w:rPr>
                <w:noProof/>
                <w:webHidden/>
              </w:rPr>
              <w:tab/>
            </w:r>
            <w:r>
              <w:rPr>
                <w:noProof/>
                <w:webHidden/>
              </w:rPr>
              <w:fldChar w:fldCharType="begin"/>
            </w:r>
            <w:r w:rsidR="00237060">
              <w:rPr>
                <w:noProof/>
                <w:webHidden/>
              </w:rPr>
              <w:instrText xml:space="preserve"> PAGEREF _Toc286616312 \h </w:instrText>
            </w:r>
            <w:r>
              <w:rPr>
                <w:noProof/>
                <w:webHidden/>
              </w:rPr>
            </w:r>
            <w:r>
              <w:rPr>
                <w:noProof/>
                <w:webHidden/>
              </w:rPr>
              <w:fldChar w:fldCharType="separate"/>
            </w:r>
            <w:r w:rsidR="00FC288D">
              <w:rPr>
                <w:noProof/>
                <w:webHidden/>
              </w:rPr>
              <w:t>68</w:t>
            </w:r>
            <w:r>
              <w:rPr>
                <w:noProof/>
                <w:webHidden/>
              </w:rPr>
              <w:fldChar w:fldCharType="end"/>
            </w:r>
          </w:hyperlink>
        </w:p>
        <w:p w:rsidR="00237060" w:rsidRDefault="006F1E00">
          <w:pPr>
            <w:pStyle w:val="TOC2"/>
            <w:tabs>
              <w:tab w:val="left" w:pos="880"/>
              <w:tab w:val="right" w:leader="dot" w:pos="9323"/>
            </w:tabs>
            <w:rPr>
              <w:rFonts w:asciiTheme="minorHAnsi" w:eastAsiaTheme="minorEastAsia" w:hAnsiTheme="minorHAnsi"/>
              <w:noProof/>
              <w:sz w:val="22"/>
              <w:lang w:val="en-ZA" w:eastAsia="en-ZA"/>
            </w:rPr>
          </w:pPr>
          <w:hyperlink w:anchor="_Toc286616313" w:history="1">
            <w:r w:rsidR="00237060" w:rsidRPr="009D4E90">
              <w:rPr>
                <w:rStyle w:val="Hyperlink"/>
                <w:noProof/>
              </w:rPr>
              <w:t>4.4.</w:t>
            </w:r>
            <w:r w:rsidR="00237060">
              <w:rPr>
                <w:rFonts w:asciiTheme="minorHAnsi" w:eastAsiaTheme="minorEastAsia" w:hAnsiTheme="minorHAnsi"/>
                <w:noProof/>
                <w:sz w:val="22"/>
                <w:lang w:val="en-ZA" w:eastAsia="en-ZA"/>
              </w:rPr>
              <w:tab/>
            </w:r>
            <w:r w:rsidR="00237060" w:rsidRPr="009D4E90">
              <w:rPr>
                <w:rStyle w:val="Hyperlink"/>
                <w:noProof/>
              </w:rPr>
              <w:t>Alternative Indicators</w:t>
            </w:r>
            <w:r w:rsidR="00237060">
              <w:rPr>
                <w:noProof/>
                <w:webHidden/>
              </w:rPr>
              <w:tab/>
            </w:r>
            <w:r>
              <w:rPr>
                <w:noProof/>
                <w:webHidden/>
              </w:rPr>
              <w:fldChar w:fldCharType="begin"/>
            </w:r>
            <w:r w:rsidR="00237060">
              <w:rPr>
                <w:noProof/>
                <w:webHidden/>
              </w:rPr>
              <w:instrText xml:space="preserve"> PAGEREF _Toc286616313 \h </w:instrText>
            </w:r>
            <w:r>
              <w:rPr>
                <w:noProof/>
                <w:webHidden/>
              </w:rPr>
            </w:r>
            <w:r>
              <w:rPr>
                <w:noProof/>
                <w:webHidden/>
              </w:rPr>
              <w:fldChar w:fldCharType="separate"/>
            </w:r>
            <w:r w:rsidR="00FC288D">
              <w:rPr>
                <w:noProof/>
                <w:webHidden/>
              </w:rPr>
              <w:t>76</w:t>
            </w:r>
            <w:r>
              <w:rPr>
                <w:noProof/>
                <w:webHidden/>
              </w:rPr>
              <w:fldChar w:fldCharType="end"/>
            </w:r>
          </w:hyperlink>
        </w:p>
        <w:p w:rsidR="00237060" w:rsidRDefault="006F1E00">
          <w:pPr>
            <w:pStyle w:val="TOC2"/>
            <w:tabs>
              <w:tab w:val="left" w:pos="880"/>
              <w:tab w:val="right" w:leader="dot" w:pos="9323"/>
            </w:tabs>
            <w:rPr>
              <w:rFonts w:asciiTheme="minorHAnsi" w:eastAsiaTheme="minorEastAsia" w:hAnsiTheme="minorHAnsi"/>
              <w:noProof/>
              <w:sz w:val="22"/>
              <w:lang w:val="en-ZA" w:eastAsia="en-ZA"/>
            </w:rPr>
          </w:pPr>
          <w:hyperlink w:anchor="_Toc286616314" w:history="1">
            <w:r w:rsidR="00237060" w:rsidRPr="009D4E90">
              <w:rPr>
                <w:rStyle w:val="Hyperlink"/>
                <w:noProof/>
              </w:rPr>
              <w:t>4.5.</w:t>
            </w:r>
            <w:r w:rsidR="00237060">
              <w:rPr>
                <w:rFonts w:asciiTheme="minorHAnsi" w:eastAsiaTheme="minorEastAsia" w:hAnsiTheme="minorHAnsi"/>
                <w:noProof/>
                <w:sz w:val="22"/>
                <w:lang w:val="en-ZA" w:eastAsia="en-ZA"/>
              </w:rPr>
              <w:tab/>
            </w:r>
            <w:r w:rsidR="00237060" w:rsidRPr="009D4E90">
              <w:rPr>
                <w:rStyle w:val="Hyperlink"/>
                <w:noProof/>
              </w:rPr>
              <w:t xml:space="preserve">Tobin’s (1969) </w:t>
            </w:r>
            <w:r w:rsidR="00237060" w:rsidRPr="009D4E90">
              <w:rPr>
                <w:rStyle w:val="Hyperlink"/>
                <w:i/>
                <w:noProof/>
              </w:rPr>
              <w:t>q</w:t>
            </w:r>
            <w:r w:rsidR="00237060">
              <w:rPr>
                <w:noProof/>
                <w:webHidden/>
              </w:rPr>
              <w:tab/>
            </w:r>
            <w:r>
              <w:rPr>
                <w:noProof/>
                <w:webHidden/>
              </w:rPr>
              <w:fldChar w:fldCharType="begin"/>
            </w:r>
            <w:r w:rsidR="00237060">
              <w:rPr>
                <w:noProof/>
                <w:webHidden/>
              </w:rPr>
              <w:instrText xml:space="preserve"> PAGEREF _Toc286616314 \h </w:instrText>
            </w:r>
            <w:r>
              <w:rPr>
                <w:noProof/>
                <w:webHidden/>
              </w:rPr>
            </w:r>
            <w:r>
              <w:rPr>
                <w:noProof/>
                <w:webHidden/>
              </w:rPr>
              <w:fldChar w:fldCharType="separate"/>
            </w:r>
            <w:r w:rsidR="00FC288D">
              <w:rPr>
                <w:noProof/>
                <w:webHidden/>
              </w:rPr>
              <w:t>86</w:t>
            </w:r>
            <w:r>
              <w:rPr>
                <w:noProof/>
                <w:webHidden/>
              </w:rPr>
              <w:fldChar w:fldCharType="end"/>
            </w:r>
          </w:hyperlink>
        </w:p>
        <w:p w:rsidR="00237060" w:rsidRDefault="006F1E00">
          <w:pPr>
            <w:pStyle w:val="TOC1"/>
            <w:rPr>
              <w:rFonts w:asciiTheme="minorHAnsi" w:eastAsiaTheme="minorEastAsia" w:hAnsiTheme="minorHAnsi"/>
              <w:noProof/>
              <w:sz w:val="22"/>
              <w:lang w:val="en-ZA" w:eastAsia="en-ZA"/>
            </w:rPr>
          </w:pPr>
          <w:hyperlink w:anchor="_Toc286616315" w:history="1">
            <w:r w:rsidR="00237060" w:rsidRPr="009D4E90">
              <w:rPr>
                <w:rStyle w:val="Hyperlink"/>
                <w:noProof/>
              </w:rPr>
              <w:t>5.</w:t>
            </w:r>
            <w:r w:rsidR="00237060">
              <w:rPr>
                <w:rFonts w:asciiTheme="minorHAnsi" w:eastAsiaTheme="minorEastAsia" w:hAnsiTheme="minorHAnsi"/>
                <w:noProof/>
                <w:sz w:val="22"/>
                <w:lang w:val="en-ZA" w:eastAsia="en-ZA"/>
              </w:rPr>
              <w:tab/>
            </w:r>
            <w:r w:rsidR="00237060" w:rsidRPr="009D4E90">
              <w:rPr>
                <w:rStyle w:val="Hyperlink"/>
                <w:noProof/>
              </w:rPr>
              <w:t>Data</w:t>
            </w:r>
            <w:r w:rsidR="00237060">
              <w:rPr>
                <w:noProof/>
                <w:webHidden/>
              </w:rPr>
              <w:tab/>
            </w:r>
            <w:r>
              <w:rPr>
                <w:noProof/>
                <w:webHidden/>
              </w:rPr>
              <w:fldChar w:fldCharType="begin"/>
            </w:r>
            <w:r w:rsidR="00237060">
              <w:rPr>
                <w:noProof/>
                <w:webHidden/>
              </w:rPr>
              <w:instrText xml:space="preserve"> PAGEREF _Toc286616315 \h </w:instrText>
            </w:r>
            <w:r>
              <w:rPr>
                <w:noProof/>
                <w:webHidden/>
              </w:rPr>
            </w:r>
            <w:r>
              <w:rPr>
                <w:noProof/>
                <w:webHidden/>
              </w:rPr>
              <w:fldChar w:fldCharType="separate"/>
            </w:r>
            <w:r w:rsidR="00FC288D">
              <w:rPr>
                <w:noProof/>
                <w:webHidden/>
              </w:rPr>
              <w:t>90</w:t>
            </w:r>
            <w:r>
              <w:rPr>
                <w:noProof/>
                <w:webHidden/>
              </w:rPr>
              <w:fldChar w:fldCharType="end"/>
            </w:r>
          </w:hyperlink>
        </w:p>
        <w:p w:rsidR="00237060" w:rsidRDefault="006F1E00">
          <w:pPr>
            <w:pStyle w:val="TOC1"/>
            <w:rPr>
              <w:rFonts w:asciiTheme="minorHAnsi" w:eastAsiaTheme="minorEastAsia" w:hAnsiTheme="minorHAnsi"/>
              <w:noProof/>
              <w:sz w:val="22"/>
              <w:lang w:val="en-ZA" w:eastAsia="en-ZA"/>
            </w:rPr>
          </w:pPr>
          <w:hyperlink w:anchor="_Toc286616316" w:history="1">
            <w:r w:rsidR="00237060" w:rsidRPr="009D4E90">
              <w:rPr>
                <w:rStyle w:val="Hyperlink"/>
                <w:noProof/>
              </w:rPr>
              <w:t>6.</w:t>
            </w:r>
            <w:r w:rsidR="00237060">
              <w:rPr>
                <w:rFonts w:asciiTheme="minorHAnsi" w:eastAsiaTheme="minorEastAsia" w:hAnsiTheme="minorHAnsi"/>
                <w:noProof/>
                <w:sz w:val="22"/>
                <w:lang w:val="en-ZA" w:eastAsia="en-ZA"/>
              </w:rPr>
              <w:tab/>
            </w:r>
            <w:r w:rsidR="00237060" w:rsidRPr="009D4E90">
              <w:rPr>
                <w:rStyle w:val="Hyperlink"/>
                <w:noProof/>
              </w:rPr>
              <w:t>Methodology</w:t>
            </w:r>
            <w:r w:rsidR="00237060">
              <w:rPr>
                <w:noProof/>
                <w:webHidden/>
              </w:rPr>
              <w:tab/>
            </w:r>
            <w:r>
              <w:rPr>
                <w:noProof/>
                <w:webHidden/>
              </w:rPr>
              <w:fldChar w:fldCharType="begin"/>
            </w:r>
            <w:r w:rsidR="00237060">
              <w:rPr>
                <w:noProof/>
                <w:webHidden/>
              </w:rPr>
              <w:instrText xml:space="preserve"> PAGEREF _Toc286616316 \h </w:instrText>
            </w:r>
            <w:r>
              <w:rPr>
                <w:noProof/>
                <w:webHidden/>
              </w:rPr>
            </w:r>
            <w:r>
              <w:rPr>
                <w:noProof/>
                <w:webHidden/>
              </w:rPr>
              <w:fldChar w:fldCharType="separate"/>
            </w:r>
            <w:r w:rsidR="00FC288D">
              <w:rPr>
                <w:noProof/>
                <w:webHidden/>
              </w:rPr>
              <w:t>93</w:t>
            </w:r>
            <w:r>
              <w:rPr>
                <w:noProof/>
                <w:webHidden/>
              </w:rPr>
              <w:fldChar w:fldCharType="end"/>
            </w:r>
          </w:hyperlink>
        </w:p>
        <w:p w:rsidR="00237060" w:rsidRDefault="006F1E00">
          <w:pPr>
            <w:pStyle w:val="TOC2"/>
            <w:tabs>
              <w:tab w:val="left" w:pos="880"/>
              <w:tab w:val="right" w:leader="dot" w:pos="9323"/>
            </w:tabs>
            <w:rPr>
              <w:rFonts w:asciiTheme="minorHAnsi" w:eastAsiaTheme="minorEastAsia" w:hAnsiTheme="minorHAnsi"/>
              <w:noProof/>
              <w:sz w:val="22"/>
              <w:lang w:val="en-ZA" w:eastAsia="en-ZA"/>
            </w:rPr>
          </w:pPr>
          <w:hyperlink w:anchor="_Toc286616323" w:history="1">
            <w:r w:rsidR="00237060" w:rsidRPr="009D4E90">
              <w:rPr>
                <w:rStyle w:val="Hyperlink"/>
                <w:noProof/>
              </w:rPr>
              <w:t>6.1.</w:t>
            </w:r>
            <w:r w:rsidR="00237060">
              <w:rPr>
                <w:rFonts w:asciiTheme="minorHAnsi" w:eastAsiaTheme="minorEastAsia" w:hAnsiTheme="minorHAnsi"/>
                <w:noProof/>
                <w:sz w:val="22"/>
                <w:lang w:val="en-ZA" w:eastAsia="en-ZA"/>
              </w:rPr>
              <w:tab/>
            </w:r>
            <w:r w:rsidR="00237060" w:rsidRPr="009D4E90">
              <w:rPr>
                <w:rStyle w:val="Hyperlink"/>
                <w:noProof/>
              </w:rPr>
              <w:t>Stock Prices and the Economic Indicators</w:t>
            </w:r>
            <w:r w:rsidR="00237060">
              <w:rPr>
                <w:noProof/>
                <w:webHidden/>
              </w:rPr>
              <w:tab/>
            </w:r>
            <w:r>
              <w:rPr>
                <w:noProof/>
                <w:webHidden/>
              </w:rPr>
              <w:fldChar w:fldCharType="begin"/>
            </w:r>
            <w:r w:rsidR="00237060">
              <w:rPr>
                <w:noProof/>
                <w:webHidden/>
              </w:rPr>
              <w:instrText xml:space="preserve"> PAGEREF _Toc286616323 \h </w:instrText>
            </w:r>
            <w:r>
              <w:rPr>
                <w:noProof/>
                <w:webHidden/>
              </w:rPr>
            </w:r>
            <w:r>
              <w:rPr>
                <w:noProof/>
                <w:webHidden/>
              </w:rPr>
              <w:fldChar w:fldCharType="separate"/>
            </w:r>
            <w:r w:rsidR="00FC288D">
              <w:rPr>
                <w:noProof/>
                <w:webHidden/>
              </w:rPr>
              <w:t>94</w:t>
            </w:r>
            <w:r>
              <w:rPr>
                <w:noProof/>
                <w:webHidden/>
              </w:rPr>
              <w:fldChar w:fldCharType="end"/>
            </w:r>
          </w:hyperlink>
        </w:p>
        <w:p w:rsidR="00237060" w:rsidRDefault="006F1E00">
          <w:pPr>
            <w:pStyle w:val="TOC2"/>
            <w:tabs>
              <w:tab w:val="left" w:pos="880"/>
              <w:tab w:val="right" w:leader="dot" w:pos="9323"/>
            </w:tabs>
            <w:rPr>
              <w:rFonts w:asciiTheme="minorHAnsi" w:eastAsiaTheme="minorEastAsia" w:hAnsiTheme="minorHAnsi"/>
              <w:noProof/>
              <w:sz w:val="22"/>
              <w:lang w:val="en-ZA" w:eastAsia="en-ZA"/>
            </w:rPr>
          </w:pPr>
          <w:hyperlink w:anchor="_Toc286616324" w:history="1">
            <w:r w:rsidR="00237060" w:rsidRPr="009D4E90">
              <w:rPr>
                <w:rStyle w:val="Hyperlink"/>
                <w:noProof/>
              </w:rPr>
              <w:t>6.2.</w:t>
            </w:r>
            <w:r w:rsidR="00237060">
              <w:rPr>
                <w:rFonts w:asciiTheme="minorHAnsi" w:eastAsiaTheme="minorEastAsia" w:hAnsiTheme="minorHAnsi"/>
                <w:noProof/>
                <w:sz w:val="22"/>
                <w:lang w:val="en-ZA" w:eastAsia="en-ZA"/>
              </w:rPr>
              <w:tab/>
            </w:r>
            <w:r w:rsidR="00237060" w:rsidRPr="009D4E90">
              <w:rPr>
                <w:rStyle w:val="Hyperlink"/>
                <w:noProof/>
              </w:rPr>
              <w:t>Regression Analysis</w:t>
            </w:r>
            <w:r w:rsidR="00237060">
              <w:rPr>
                <w:noProof/>
                <w:webHidden/>
              </w:rPr>
              <w:tab/>
            </w:r>
            <w:r>
              <w:rPr>
                <w:noProof/>
                <w:webHidden/>
              </w:rPr>
              <w:fldChar w:fldCharType="begin"/>
            </w:r>
            <w:r w:rsidR="00237060">
              <w:rPr>
                <w:noProof/>
                <w:webHidden/>
              </w:rPr>
              <w:instrText xml:space="preserve"> PAGEREF _Toc286616324 \h </w:instrText>
            </w:r>
            <w:r>
              <w:rPr>
                <w:noProof/>
                <w:webHidden/>
              </w:rPr>
            </w:r>
            <w:r>
              <w:rPr>
                <w:noProof/>
                <w:webHidden/>
              </w:rPr>
              <w:fldChar w:fldCharType="separate"/>
            </w:r>
            <w:r w:rsidR="00FC288D">
              <w:rPr>
                <w:noProof/>
                <w:webHidden/>
              </w:rPr>
              <w:t>97</w:t>
            </w:r>
            <w:r>
              <w:rPr>
                <w:noProof/>
                <w:webHidden/>
              </w:rPr>
              <w:fldChar w:fldCharType="end"/>
            </w:r>
          </w:hyperlink>
        </w:p>
        <w:p w:rsidR="00237060" w:rsidRDefault="006F1E00">
          <w:pPr>
            <w:pStyle w:val="TOC1"/>
            <w:rPr>
              <w:rFonts w:asciiTheme="minorHAnsi" w:eastAsiaTheme="minorEastAsia" w:hAnsiTheme="minorHAnsi"/>
              <w:noProof/>
              <w:sz w:val="22"/>
              <w:lang w:val="en-ZA" w:eastAsia="en-ZA"/>
            </w:rPr>
          </w:pPr>
          <w:hyperlink w:anchor="_Toc286616325" w:history="1">
            <w:r w:rsidR="00237060" w:rsidRPr="009D4E90">
              <w:rPr>
                <w:rStyle w:val="Hyperlink"/>
                <w:noProof/>
              </w:rPr>
              <w:t>7.</w:t>
            </w:r>
            <w:r w:rsidR="00237060">
              <w:rPr>
                <w:rFonts w:asciiTheme="minorHAnsi" w:eastAsiaTheme="minorEastAsia" w:hAnsiTheme="minorHAnsi"/>
                <w:noProof/>
                <w:sz w:val="22"/>
                <w:lang w:val="en-ZA" w:eastAsia="en-ZA"/>
              </w:rPr>
              <w:tab/>
            </w:r>
            <w:r w:rsidR="00237060" w:rsidRPr="009D4E90">
              <w:rPr>
                <w:rStyle w:val="Hyperlink"/>
                <w:noProof/>
              </w:rPr>
              <w:t>Results</w:t>
            </w:r>
            <w:r w:rsidR="00237060">
              <w:rPr>
                <w:noProof/>
                <w:webHidden/>
              </w:rPr>
              <w:tab/>
            </w:r>
            <w:r>
              <w:rPr>
                <w:noProof/>
                <w:webHidden/>
              </w:rPr>
              <w:fldChar w:fldCharType="begin"/>
            </w:r>
            <w:r w:rsidR="00237060">
              <w:rPr>
                <w:noProof/>
                <w:webHidden/>
              </w:rPr>
              <w:instrText xml:space="preserve"> PAGEREF _Toc286616325 \h </w:instrText>
            </w:r>
            <w:r>
              <w:rPr>
                <w:noProof/>
                <w:webHidden/>
              </w:rPr>
            </w:r>
            <w:r>
              <w:rPr>
                <w:noProof/>
                <w:webHidden/>
              </w:rPr>
              <w:fldChar w:fldCharType="separate"/>
            </w:r>
            <w:r w:rsidR="00FC288D">
              <w:rPr>
                <w:noProof/>
                <w:webHidden/>
              </w:rPr>
              <w:t>101</w:t>
            </w:r>
            <w:r>
              <w:rPr>
                <w:noProof/>
                <w:webHidden/>
              </w:rPr>
              <w:fldChar w:fldCharType="end"/>
            </w:r>
          </w:hyperlink>
        </w:p>
        <w:p w:rsidR="00237060" w:rsidRDefault="006F1E00">
          <w:pPr>
            <w:pStyle w:val="TOC1"/>
            <w:rPr>
              <w:rFonts w:asciiTheme="minorHAnsi" w:eastAsiaTheme="minorEastAsia" w:hAnsiTheme="minorHAnsi"/>
              <w:noProof/>
              <w:sz w:val="22"/>
              <w:lang w:val="en-ZA" w:eastAsia="en-ZA"/>
            </w:rPr>
          </w:pPr>
          <w:hyperlink w:anchor="_Toc286616326" w:history="1">
            <w:r w:rsidR="00237060" w:rsidRPr="009D4E90">
              <w:rPr>
                <w:rStyle w:val="Hyperlink"/>
                <w:noProof/>
              </w:rPr>
              <w:t>8.</w:t>
            </w:r>
            <w:r w:rsidR="00237060">
              <w:rPr>
                <w:rFonts w:asciiTheme="minorHAnsi" w:eastAsiaTheme="minorEastAsia" w:hAnsiTheme="minorHAnsi"/>
                <w:noProof/>
                <w:sz w:val="22"/>
                <w:lang w:val="en-ZA" w:eastAsia="en-ZA"/>
              </w:rPr>
              <w:tab/>
            </w:r>
            <w:r w:rsidR="00237060" w:rsidRPr="009D4E90">
              <w:rPr>
                <w:rStyle w:val="Hyperlink"/>
                <w:noProof/>
              </w:rPr>
              <w:t>Conclusion</w:t>
            </w:r>
            <w:r w:rsidR="00237060">
              <w:rPr>
                <w:noProof/>
                <w:webHidden/>
              </w:rPr>
              <w:tab/>
            </w:r>
            <w:r>
              <w:rPr>
                <w:noProof/>
                <w:webHidden/>
              </w:rPr>
              <w:fldChar w:fldCharType="begin"/>
            </w:r>
            <w:r w:rsidR="00237060">
              <w:rPr>
                <w:noProof/>
                <w:webHidden/>
              </w:rPr>
              <w:instrText xml:space="preserve"> PAGEREF _Toc286616326 \h </w:instrText>
            </w:r>
            <w:r>
              <w:rPr>
                <w:noProof/>
                <w:webHidden/>
              </w:rPr>
            </w:r>
            <w:r>
              <w:rPr>
                <w:noProof/>
                <w:webHidden/>
              </w:rPr>
              <w:fldChar w:fldCharType="separate"/>
            </w:r>
            <w:r w:rsidR="00FC288D">
              <w:rPr>
                <w:noProof/>
                <w:webHidden/>
              </w:rPr>
              <w:t>111</w:t>
            </w:r>
            <w:r>
              <w:rPr>
                <w:noProof/>
                <w:webHidden/>
              </w:rPr>
              <w:fldChar w:fldCharType="end"/>
            </w:r>
          </w:hyperlink>
        </w:p>
        <w:p w:rsidR="00237060" w:rsidRDefault="006F1E00">
          <w:pPr>
            <w:pStyle w:val="TOC1"/>
            <w:rPr>
              <w:rFonts w:asciiTheme="minorHAnsi" w:eastAsiaTheme="minorEastAsia" w:hAnsiTheme="minorHAnsi"/>
              <w:noProof/>
              <w:sz w:val="22"/>
              <w:lang w:val="en-ZA" w:eastAsia="en-ZA"/>
            </w:rPr>
          </w:pPr>
          <w:hyperlink w:anchor="_Toc286616327" w:history="1">
            <w:r w:rsidR="00237060" w:rsidRPr="009D4E90">
              <w:rPr>
                <w:rStyle w:val="Hyperlink"/>
                <w:noProof/>
              </w:rPr>
              <w:t>9.</w:t>
            </w:r>
            <w:r w:rsidR="00237060">
              <w:rPr>
                <w:rFonts w:asciiTheme="minorHAnsi" w:eastAsiaTheme="minorEastAsia" w:hAnsiTheme="minorHAnsi"/>
                <w:noProof/>
                <w:sz w:val="22"/>
                <w:lang w:val="en-ZA" w:eastAsia="en-ZA"/>
              </w:rPr>
              <w:tab/>
            </w:r>
            <w:r w:rsidR="00237060" w:rsidRPr="009D4E90">
              <w:rPr>
                <w:rStyle w:val="Hyperlink"/>
                <w:noProof/>
              </w:rPr>
              <w:t>Reference List</w:t>
            </w:r>
            <w:r w:rsidR="00237060">
              <w:rPr>
                <w:noProof/>
                <w:webHidden/>
              </w:rPr>
              <w:tab/>
            </w:r>
            <w:r>
              <w:rPr>
                <w:noProof/>
                <w:webHidden/>
              </w:rPr>
              <w:fldChar w:fldCharType="begin"/>
            </w:r>
            <w:r w:rsidR="00237060">
              <w:rPr>
                <w:noProof/>
                <w:webHidden/>
              </w:rPr>
              <w:instrText xml:space="preserve"> PAGEREF _Toc286616327 \h </w:instrText>
            </w:r>
            <w:r>
              <w:rPr>
                <w:noProof/>
                <w:webHidden/>
              </w:rPr>
            </w:r>
            <w:r>
              <w:rPr>
                <w:noProof/>
                <w:webHidden/>
              </w:rPr>
              <w:fldChar w:fldCharType="separate"/>
            </w:r>
            <w:r w:rsidR="00FC288D">
              <w:rPr>
                <w:noProof/>
                <w:webHidden/>
              </w:rPr>
              <w:t>114</w:t>
            </w:r>
            <w:r>
              <w:rPr>
                <w:noProof/>
                <w:webHidden/>
              </w:rPr>
              <w:fldChar w:fldCharType="end"/>
            </w:r>
          </w:hyperlink>
        </w:p>
        <w:p w:rsidR="00237060" w:rsidRDefault="006F1E00">
          <w:pPr>
            <w:pStyle w:val="TOC1"/>
            <w:rPr>
              <w:rFonts w:asciiTheme="minorHAnsi" w:eastAsiaTheme="minorEastAsia" w:hAnsiTheme="minorHAnsi"/>
              <w:noProof/>
              <w:sz w:val="22"/>
              <w:lang w:val="en-ZA" w:eastAsia="en-ZA"/>
            </w:rPr>
          </w:pPr>
          <w:hyperlink w:anchor="_Toc286616334" w:history="1">
            <w:r w:rsidR="00237060" w:rsidRPr="009D4E90">
              <w:rPr>
                <w:rStyle w:val="Hyperlink"/>
                <w:noProof/>
              </w:rPr>
              <w:t>10.</w:t>
            </w:r>
            <w:r w:rsidR="00237060">
              <w:rPr>
                <w:rFonts w:asciiTheme="minorHAnsi" w:eastAsiaTheme="minorEastAsia" w:hAnsiTheme="minorHAnsi"/>
                <w:noProof/>
                <w:sz w:val="22"/>
                <w:lang w:val="en-ZA" w:eastAsia="en-ZA"/>
              </w:rPr>
              <w:tab/>
            </w:r>
            <w:r w:rsidR="00237060" w:rsidRPr="009D4E90">
              <w:rPr>
                <w:rStyle w:val="Hyperlink"/>
                <w:noProof/>
              </w:rPr>
              <w:t>Appendix</w:t>
            </w:r>
            <w:r w:rsidR="00237060">
              <w:rPr>
                <w:noProof/>
                <w:webHidden/>
              </w:rPr>
              <w:tab/>
            </w:r>
            <w:r>
              <w:rPr>
                <w:noProof/>
                <w:webHidden/>
              </w:rPr>
              <w:fldChar w:fldCharType="begin"/>
            </w:r>
            <w:r w:rsidR="00237060">
              <w:rPr>
                <w:noProof/>
                <w:webHidden/>
              </w:rPr>
              <w:instrText xml:space="preserve"> PAGEREF _Toc286616334 \h </w:instrText>
            </w:r>
            <w:r>
              <w:rPr>
                <w:noProof/>
                <w:webHidden/>
              </w:rPr>
            </w:r>
            <w:r>
              <w:rPr>
                <w:noProof/>
                <w:webHidden/>
              </w:rPr>
              <w:fldChar w:fldCharType="separate"/>
            </w:r>
            <w:r w:rsidR="00FC288D">
              <w:rPr>
                <w:noProof/>
                <w:webHidden/>
              </w:rPr>
              <w:t>127</w:t>
            </w:r>
            <w:r>
              <w:rPr>
                <w:noProof/>
                <w:webHidden/>
              </w:rPr>
              <w:fldChar w:fldCharType="end"/>
            </w:r>
          </w:hyperlink>
        </w:p>
        <w:p w:rsidR="00237060" w:rsidRDefault="006F1E00">
          <w:pPr>
            <w:pStyle w:val="TOC2"/>
            <w:tabs>
              <w:tab w:val="right" w:leader="dot" w:pos="9323"/>
            </w:tabs>
            <w:rPr>
              <w:rFonts w:asciiTheme="minorHAnsi" w:eastAsiaTheme="minorEastAsia" w:hAnsiTheme="minorHAnsi"/>
              <w:noProof/>
              <w:sz w:val="22"/>
              <w:lang w:val="en-ZA" w:eastAsia="en-ZA"/>
            </w:rPr>
          </w:pPr>
          <w:hyperlink w:anchor="_Toc286616335" w:history="1">
            <w:r w:rsidR="00237060" w:rsidRPr="009D4E90">
              <w:rPr>
                <w:rStyle w:val="Hyperlink"/>
                <w:noProof/>
              </w:rPr>
              <w:t>Table 1: The Relationship between GDP and Real Stock Prices (Quarterly 1969-1988)</w:t>
            </w:r>
            <w:r w:rsidR="00237060">
              <w:rPr>
                <w:noProof/>
                <w:webHidden/>
              </w:rPr>
              <w:tab/>
            </w:r>
            <w:r>
              <w:rPr>
                <w:noProof/>
                <w:webHidden/>
              </w:rPr>
              <w:fldChar w:fldCharType="begin"/>
            </w:r>
            <w:r w:rsidR="00237060">
              <w:rPr>
                <w:noProof/>
                <w:webHidden/>
              </w:rPr>
              <w:instrText xml:space="preserve"> PAGEREF _Toc286616335 \h </w:instrText>
            </w:r>
            <w:r>
              <w:rPr>
                <w:noProof/>
                <w:webHidden/>
              </w:rPr>
            </w:r>
            <w:r>
              <w:rPr>
                <w:noProof/>
                <w:webHidden/>
              </w:rPr>
              <w:fldChar w:fldCharType="separate"/>
            </w:r>
            <w:r w:rsidR="00FC288D">
              <w:rPr>
                <w:noProof/>
                <w:webHidden/>
              </w:rPr>
              <w:t>127</w:t>
            </w:r>
            <w:r>
              <w:rPr>
                <w:noProof/>
                <w:webHidden/>
              </w:rPr>
              <w:fldChar w:fldCharType="end"/>
            </w:r>
          </w:hyperlink>
        </w:p>
        <w:p w:rsidR="00237060" w:rsidRDefault="006F1E00">
          <w:pPr>
            <w:pStyle w:val="TOC2"/>
            <w:tabs>
              <w:tab w:val="right" w:leader="dot" w:pos="9323"/>
            </w:tabs>
            <w:rPr>
              <w:rFonts w:asciiTheme="minorHAnsi" w:eastAsiaTheme="minorEastAsia" w:hAnsiTheme="minorHAnsi"/>
              <w:noProof/>
              <w:sz w:val="22"/>
              <w:lang w:val="en-ZA" w:eastAsia="en-ZA"/>
            </w:rPr>
          </w:pPr>
          <w:hyperlink w:anchor="_Toc286616336" w:history="1">
            <w:r w:rsidR="00237060" w:rsidRPr="009D4E90">
              <w:rPr>
                <w:rStyle w:val="Hyperlink"/>
                <w:noProof/>
              </w:rPr>
              <w:t>Table 2: The Relationship between GDP and Real Stock Prices (Quarterly 1988-1997)</w:t>
            </w:r>
            <w:r w:rsidR="00237060">
              <w:rPr>
                <w:noProof/>
                <w:webHidden/>
              </w:rPr>
              <w:tab/>
            </w:r>
            <w:r>
              <w:rPr>
                <w:noProof/>
                <w:webHidden/>
              </w:rPr>
              <w:fldChar w:fldCharType="begin"/>
            </w:r>
            <w:r w:rsidR="00237060">
              <w:rPr>
                <w:noProof/>
                <w:webHidden/>
              </w:rPr>
              <w:instrText xml:space="preserve"> PAGEREF _Toc286616336 \h </w:instrText>
            </w:r>
            <w:r>
              <w:rPr>
                <w:noProof/>
                <w:webHidden/>
              </w:rPr>
            </w:r>
            <w:r>
              <w:rPr>
                <w:noProof/>
                <w:webHidden/>
              </w:rPr>
              <w:fldChar w:fldCharType="separate"/>
            </w:r>
            <w:r w:rsidR="00FC288D">
              <w:rPr>
                <w:noProof/>
                <w:webHidden/>
              </w:rPr>
              <w:t>128</w:t>
            </w:r>
            <w:r>
              <w:rPr>
                <w:noProof/>
                <w:webHidden/>
              </w:rPr>
              <w:fldChar w:fldCharType="end"/>
            </w:r>
          </w:hyperlink>
        </w:p>
        <w:p w:rsidR="00237060" w:rsidRDefault="006F1E00">
          <w:pPr>
            <w:pStyle w:val="TOC2"/>
            <w:tabs>
              <w:tab w:val="right" w:leader="dot" w:pos="9323"/>
            </w:tabs>
            <w:rPr>
              <w:rFonts w:asciiTheme="minorHAnsi" w:eastAsiaTheme="minorEastAsia" w:hAnsiTheme="minorHAnsi"/>
              <w:noProof/>
              <w:sz w:val="22"/>
              <w:lang w:val="en-ZA" w:eastAsia="en-ZA"/>
            </w:rPr>
          </w:pPr>
          <w:hyperlink w:anchor="_Toc286616337" w:history="1">
            <w:r w:rsidR="00237060" w:rsidRPr="009D4E90">
              <w:rPr>
                <w:rStyle w:val="Hyperlink"/>
                <w:noProof/>
              </w:rPr>
              <w:t>Table 3: The Relationship between GDP and Real Stock Prices (Quarterly 1997-2010)</w:t>
            </w:r>
            <w:r w:rsidR="00237060">
              <w:rPr>
                <w:noProof/>
                <w:webHidden/>
              </w:rPr>
              <w:tab/>
            </w:r>
            <w:r>
              <w:rPr>
                <w:noProof/>
                <w:webHidden/>
              </w:rPr>
              <w:fldChar w:fldCharType="begin"/>
            </w:r>
            <w:r w:rsidR="00237060">
              <w:rPr>
                <w:noProof/>
                <w:webHidden/>
              </w:rPr>
              <w:instrText xml:space="preserve"> PAGEREF _Toc286616337 \h </w:instrText>
            </w:r>
            <w:r>
              <w:rPr>
                <w:noProof/>
                <w:webHidden/>
              </w:rPr>
            </w:r>
            <w:r>
              <w:rPr>
                <w:noProof/>
                <w:webHidden/>
              </w:rPr>
              <w:fldChar w:fldCharType="separate"/>
            </w:r>
            <w:r w:rsidR="00FC288D">
              <w:rPr>
                <w:noProof/>
                <w:webHidden/>
              </w:rPr>
              <w:t>129</w:t>
            </w:r>
            <w:r>
              <w:rPr>
                <w:noProof/>
                <w:webHidden/>
              </w:rPr>
              <w:fldChar w:fldCharType="end"/>
            </w:r>
          </w:hyperlink>
        </w:p>
        <w:p w:rsidR="00237060" w:rsidRDefault="006F1E00">
          <w:pPr>
            <w:pStyle w:val="TOC2"/>
            <w:tabs>
              <w:tab w:val="right" w:leader="dot" w:pos="9323"/>
            </w:tabs>
            <w:rPr>
              <w:rFonts w:asciiTheme="minorHAnsi" w:eastAsiaTheme="minorEastAsia" w:hAnsiTheme="minorHAnsi"/>
              <w:noProof/>
              <w:sz w:val="22"/>
              <w:lang w:val="en-ZA" w:eastAsia="en-ZA"/>
            </w:rPr>
          </w:pPr>
          <w:hyperlink w:anchor="_Toc286616338" w:history="1">
            <w:r w:rsidR="00237060" w:rsidRPr="009D4E90">
              <w:rPr>
                <w:rStyle w:val="Hyperlink"/>
                <w:noProof/>
              </w:rPr>
              <w:t>Table 4: The Relationship between Industrial Production and Real Stock Prices (Quarterly 1969-1988)</w:t>
            </w:r>
            <w:r w:rsidR="00237060">
              <w:rPr>
                <w:noProof/>
                <w:webHidden/>
              </w:rPr>
              <w:tab/>
            </w:r>
            <w:r>
              <w:rPr>
                <w:noProof/>
                <w:webHidden/>
              </w:rPr>
              <w:fldChar w:fldCharType="begin"/>
            </w:r>
            <w:r w:rsidR="00237060">
              <w:rPr>
                <w:noProof/>
                <w:webHidden/>
              </w:rPr>
              <w:instrText xml:space="preserve"> PAGEREF _Toc286616338 \h </w:instrText>
            </w:r>
            <w:r>
              <w:rPr>
                <w:noProof/>
                <w:webHidden/>
              </w:rPr>
            </w:r>
            <w:r>
              <w:rPr>
                <w:noProof/>
                <w:webHidden/>
              </w:rPr>
              <w:fldChar w:fldCharType="separate"/>
            </w:r>
            <w:r w:rsidR="00FC288D">
              <w:rPr>
                <w:noProof/>
                <w:webHidden/>
              </w:rPr>
              <w:t>130</w:t>
            </w:r>
            <w:r>
              <w:rPr>
                <w:noProof/>
                <w:webHidden/>
              </w:rPr>
              <w:fldChar w:fldCharType="end"/>
            </w:r>
          </w:hyperlink>
        </w:p>
        <w:p w:rsidR="00237060" w:rsidRDefault="006F1E00">
          <w:pPr>
            <w:pStyle w:val="TOC2"/>
            <w:tabs>
              <w:tab w:val="right" w:leader="dot" w:pos="9323"/>
            </w:tabs>
            <w:rPr>
              <w:rFonts w:asciiTheme="minorHAnsi" w:eastAsiaTheme="minorEastAsia" w:hAnsiTheme="minorHAnsi"/>
              <w:noProof/>
              <w:sz w:val="22"/>
              <w:lang w:val="en-ZA" w:eastAsia="en-ZA"/>
            </w:rPr>
          </w:pPr>
          <w:hyperlink w:anchor="_Toc286616339" w:history="1">
            <w:r w:rsidR="00237060" w:rsidRPr="009D4E90">
              <w:rPr>
                <w:rStyle w:val="Hyperlink"/>
                <w:noProof/>
              </w:rPr>
              <w:t>Table 5: The Relationship between Industrial Production and Real Stock Prices (Quarterly 1988-1997)</w:t>
            </w:r>
            <w:r w:rsidR="00237060">
              <w:rPr>
                <w:noProof/>
                <w:webHidden/>
              </w:rPr>
              <w:tab/>
            </w:r>
            <w:r>
              <w:rPr>
                <w:noProof/>
                <w:webHidden/>
              </w:rPr>
              <w:fldChar w:fldCharType="begin"/>
            </w:r>
            <w:r w:rsidR="00237060">
              <w:rPr>
                <w:noProof/>
                <w:webHidden/>
              </w:rPr>
              <w:instrText xml:space="preserve"> PAGEREF _Toc286616339 \h </w:instrText>
            </w:r>
            <w:r>
              <w:rPr>
                <w:noProof/>
                <w:webHidden/>
              </w:rPr>
            </w:r>
            <w:r>
              <w:rPr>
                <w:noProof/>
                <w:webHidden/>
              </w:rPr>
              <w:fldChar w:fldCharType="separate"/>
            </w:r>
            <w:r w:rsidR="00FC288D">
              <w:rPr>
                <w:noProof/>
                <w:webHidden/>
              </w:rPr>
              <w:t>131</w:t>
            </w:r>
            <w:r>
              <w:rPr>
                <w:noProof/>
                <w:webHidden/>
              </w:rPr>
              <w:fldChar w:fldCharType="end"/>
            </w:r>
          </w:hyperlink>
        </w:p>
        <w:p w:rsidR="00237060" w:rsidRDefault="006F1E00">
          <w:pPr>
            <w:pStyle w:val="TOC2"/>
            <w:tabs>
              <w:tab w:val="right" w:leader="dot" w:pos="9323"/>
            </w:tabs>
            <w:rPr>
              <w:rFonts w:asciiTheme="minorHAnsi" w:eastAsiaTheme="minorEastAsia" w:hAnsiTheme="minorHAnsi"/>
              <w:noProof/>
              <w:sz w:val="22"/>
              <w:lang w:val="en-ZA" w:eastAsia="en-ZA"/>
            </w:rPr>
          </w:pPr>
          <w:hyperlink w:anchor="_Toc286616340" w:history="1">
            <w:r w:rsidR="00237060" w:rsidRPr="009D4E90">
              <w:rPr>
                <w:rStyle w:val="Hyperlink"/>
                <w:noProof/>
              </w:rPr>
              <w:t>Table 6: The Relationship between Industrial Production and Real Stock Prices (Quarterly 1997-2010)</w:t>
            </w:r>
            <w:r w:rsidR="00237060">
              <w:rPr>
                <w:noProof/>
                <w:webHidden/>
              </w:rPr>
              <w:tab/>
            </w:r>
            <w:r>
              <w:rPr>
                <w:noProof/>
                <w:webHidden/>
              </w:rPr>
              <w:fldChar w:fldCharType="begin"/>
            </w:r>
            <w:r w:rsidR="00237060">
              <w:rPr>
                <w:noProof/>
                <w:webHidden/>
              </w:rPr>
              <w:instrText xml:space="preserve"> PAGEREF _Toc286616340 \h </w:instrText>
            </w:r>
            <w:r>
              <w:rPr>
                <w:noProof/>
                <w:webHidden/>
              </w:rPr>
            </w:r>
            <w:r>
              <w:rPr>
                <w:noProof/>
                <w:webHidden/>
              </w:rPr>
              <w:fldChar w:fldCharType="separate"/>
            </w:r>
            <w:r w:rsidR="00FC288D">
              <w:rPr>
                <w:noProof/>
                <w:webHidden/>
              </w:rPr>
              <w:t>132</w:t>
            </w:r>
            <w:r>
              <w:rPr>
                <w:noProof/>
                <w:webHidden/>
              </w:rPr>
              <w:fldChar w:fldCharType="end"/>
            </w:r>
          </w:hyperlink>
        </w:p>
        <w:p w:rsidR="00237060" w:rsidRDefault="006F1E00">
          <w:pPr>
            <w:pStyle w:val="TOC2"/>
            <w:tabs>
              <w:tab w:val="right" w:leader="dot" w:pos="9323"/>
            </w:tabs>
            <w:rPr>
              <w:rFonts w:asciiTheme="minorHAnsi" w:eastAsiaTheme="minorEastAsia" w:hAnsiTheme="minorHAnsi"/>
              <w:noProof/>
              <w:sz w:val="22"/>
              <w:lang w:val="en-ZA" w:eastAsia="en-ZA"/>
            </w:rPr>
          </w:pPr>
          <w:hyperlink w:anchor="_Toc286616341" w:history="1">
            <w:r w:rsidR="00237060" w:rsidRPr="009D4E90">
              <w:rPr>
                <w:rStyle w:val="Hyperlink"/>
                <w:noProof/>
              </w:rPr>
              <w:t>Table 7: The Relationship between Inflation and Real Stock Prices (Quarterly 1969-1988)</w:t>
            </w:r>
            <w:r w:rsidR="00237060">
              <w:rPr>
                <w:noProof/>
                <w:webHidden/>
              </w:rPr>
              <w:tab/>
            </w:r>
            <w:r>
              <w:rPr>
                <w:noProof/>
                <w:webHidden/>
              </w:rPr>
              <w:fldChar w:fldCharType="begin"/>
            </w:r>
            <w:r w:rsidR="00237060">
              <w:rPr>
                <w:noProof/>
                <w:webHidden/>
              </w:rPr>
              <w:instrText xml:space="preserve"> PAGEREF _Toc286616341 \h </w:instrText>
            </w:r>
            <w:r>
              <w:rPr>
                <w:noProof/>
                <w:webHidden/>
              </w:rPr>
            </w:r>
            <w:r>
              <w:rPr>
                <w:noProof/>
                <w:webHidden/>
              </w:rPr>
              <w:fldChar w:fldCharType="separate"/>
            </w:r>
            <w:r w:rsidR="00FC288D">
              <w:rPr>
                <w:noProof/>
                <w:webHidden/>
              </w:rPr>
              <w:t>133</w:t>
            </w:r>
            <w:r>
              <w:rPr>
                <w:noProof/>
                <w:webHidden/>
              </w:rPr>
              <w:fldChar w:fldCharType="end"/>
            </w:r>
          </w:hyperlink>
        </w:p>
        <w:p w:rsidR="00237060" w:rsidRDefault="006F1E00">
          <w:pPr>
            <w:pStyle w:val="TOC2"/>
            <w:tabs>
              <w:tab w:val="right" w:leader="dot" w:pos="9323"/>
            </w:tabs>
            <w:rPr>
              <w:rFonts w:asciiTheme="minorHAnsi" w:eastAsiaTheme="minorEastAsia" w:hAnsiTheme="minorHAnsi"/>
              <w:noProof/>
              <w:sz w:val="22"/>
              <w:lang w:val="en-ZA" w:eastAsia="en-ZA"/>
            </w:rPr>
          </w:pPr>
          <w:hyperlink w:anchor="_Toc286616342" w:history="1">
            <w:r w:rsidR="00237060" w:rsidRPr="009D4E90">
              <w:rPr>
                <w:rStyle w:val="Hyperlink"/>
                <w:noProof/>
              </w:rPr>
              <w:t>Table 8: The Relationship between Inflation and Real Stock Prices (Quarterly 1988-1997)</w:t>
            </w:r>
            <w:r w:rsidR="00237060">
              <w:rPr>
                <w:noProof/>
                <w:webHidden/>
              </w:rPr>
              <w:tab/>
            </w:r>
            <w:r>
              <w:rPr>
                <w:noProof/>
                <w:webHidden/>
              </w:rPr>
              <w:fldChar w:fldCharType="begin"/>
            </w:r>
            <w:r w:rsidR="00237060">
              <w:rPr>
                <w:noProof/>
                <w:webHidden/>
              </w:rPr>
              <w:instrText xml:space="preserve"> PAGEREF _Toc286616342 \h </w:instrText>
            </w:r>
            <w:r>
              <w:rPr>
                <w:noProof/>
                <w:webHidden/>
              </w:rPr>
            </w:r>
            <w:r>
              <w:rPr>
                <w:noProof/>
                <w:webHidden/>
              </w:rPr>
              <w:fldChar w:fldCharType="separate"/>
            </w:r>
            <w:r w:rsidR="00FC288D">
              <w:rPr>
                <w:noProof/>
                <w:webHidden/>
              </w:rPr>
              <w:t>134</w:t>
            </w:r>
            <w:r>
              <w:rPr>
                <w:noProof/>
                <w:webHidden/>
              </w:rPr>
              <w:fldChar w:fldCharType="end"/>
            </w:r>
          </w:hyperlink>
        </w:p>
        <w:p w:rsidR="00237060" w:rsidRDefault="006F1E00">
          <w:pPr>
            <w:pStyle w:val="TOC2"/>
            <w:tabs>
              <w:tab w:val="right" w:leader="dot" w:pos="9323"/>
            </w:tabs>
            <w:rPr>
              <w:rFonts w:asciiTheme="minorHAnsi" w:eastAsiaTheme="minorEastAsia" w:hAnsiTheme="minorHAnsi"/>
              <w:noProof/>
              <w:sz w:val="22"/>
              <w:lang w:val="en-ZA" w:eastAsia="en-ZA"/>
            </w:rPr>
          </w:pPr>
          <w:hyperlink w:anchor="_Toc286616343" w:history="1">
            <w:r w:rsidR="00237060" w:rsidRPr="009D4E90">
              <w:rPr>
                <w:rStyle w:val="Hyperlink"/>
                <w:noProof/>
              </w:rPr>
              <w:t>Table 9: The Relationship between Inflation and Real Stock Prices (Quarterly 1997-2010)</w:t>
            </w:r>
            <w:r w:rsidR="00237060">
              <w:rPr>
                <w:noProof/>
                <w:webHidden/>
              </w:rPr>
              <w:tab/>
            </w:r>
            <w:r>
              <w:rPr>
                <w:noProof/>
                <w:webHidden/>
              </w:rPr>
              <w:fldChar w:fldCharType="begin"/>
            </w:r>
            <w:r w:rsidR="00237060">
              <w:rPr>
                <w:noProof/>
                <w:webHidden/>
              </w:rPr>
              <w:instrText xml:space="preserve"> PAGEREF _Toc286616343 \h </w:instrText>
            </w:r>
            <w:r>
              <w:rPr>
                <w:noProof/>
                <w:webHidden/>
              </w:rPr>
            </w:r>
            <w:r>
              <w:rPr>
                <w:noProof/>
                <w:webHidden/>
              </w:rPr>
              <w:fldChar w:fldCharType="separate"/>
            </w:r>
            <w:r w:rsidR="00FC288D">
              <w:rPr>
                <w:noProof/>
                <w:webHidden/>
              </w:rPr>
              <w:t>135</w:t>
            </w:r>
            <w:r>
              <w:rPr>
                <w:noProof/>
                <w:webHidden/>
              </w:rPr>
              <w:fldChar w:fldCharType="end"/>
            </w:r>
          </w:hyperlink>
        </w:p>
        <w:p w:rsidR="00237060" w:rsidRDefault="006F1E00">
          <w:pPr>
            <w:pStyle w:val="TOC2"/>
            <w:tabs>
              <w:tab w:val="right" w:leader="dot" w:pos="9323"/>
            </w:tabs>
            <w:rPr>
              <w:rFonts w:asciiTheme="minorHAnsi" w:eastAsiaTheme="minorEastAsia" w:hAnsiTheme="minorHAnsi"/>
              <w:noProof/>
              <w:sz w:val="22"/>
              <w:lang w:val="en-ZA" w:eastAsia="en-ZA"/>
            </w:rPr>
          </w:pPr>
          <w:hyperlink w:anchor="_Toc286616344" w:history="1">
            <w:r w:rsidR="00237060" w:rsidRPr="009D4E90">
              <w:rPr>
                <w:rStyle w:val="Hyperlink"/>
                <w:noProof/>
              </w:rPr>
              <w:t>Table 10: The Relationship between GDP and Real Stock Prices (Yearly 1970-1988)</w:t>
            </w:r>
            <w:r w:rsidR="00237060">
              <w:rPr>
                <w:noProof/>
                <w:webHidden/>
              </w:rPr>
              <w:tab/>
            </w:r>
            <w:r>
              <w:rPr>
                <w:noProof/>
                <w:webHidden/>
              </w:rPr>
              <w:fldChar w:fldCharType="begin"/>
            </w:r>
            <w:r w:rsidR="00237060">
              <w:rPr>
                <w:noProof/>
                <w:webHidden/>
              </w:rPr>
              <w:instrText xml:space="preserve"> PAGEREF _Toc286616344 \h </w:instrText>
            </w:r>
            <w:r>
              <w:rPr>
                <w:noProof/>
                <w:webHidden/>
              </w:rPr>
            </w:r>
            <w:r>
              <w:rPr>
                <w:noProof/>
                <w:webHidden/>
              </w:rPr>
              <w:fldChar w:fldCharType="separate"/>
            </w:r>
            <w:r w:rsidR="00FC288D">
              <w:rPr>
                <w:noProof/>
                <w:webHidden/>
              </w:rPr>
              <w:t>136</w:t>
            </w:r>
            <w:r>
              <w:rPr>
                <w:noProof/>
                <w:webHidden/>
              </w:rPr>
              <w:fldChar w:fldCharType="end"/>
            </w:r>
          </w:hyperlink>
        </w:p>
        <w:p w:rsidR="00237060" w:rsidRDefault="006F1E00">
          <w:pPr>
            <w:pStyle w:val="TOC2"/>
            <w:tabs>
              <w:tab w:val="right" w:leader="dot" w:pos="9323"/>
            </w:tabs>
            <w:rPr>
              <w:rFonts w:asciiTheme="minorHAnsi" w:eastAsiaTheme="minorEastAsia" w:hAnsiTheme="minorHAnsi"/>
              <w:noProof/>
              <w:sz w:val="22"/>
              <w:lang w:val="en-ZA" w:eastAsia="en-ZA"/>
            </w:rPr>
          </w:pPr>
          <w:hyperlink w:anchor="_Toc286616345" w:history="1">
            <w:r w:rsidR="00237060" w:rsidRPr="009D4E90">
              <w:rPr>
                <w:rStyle w:val="Hyperlink"/>
                <w:noProof/>
              </w:rPr>
              <w:t>Table 11: The Relationship between GDP and Real Stock Prices (Yearly 1988-1997)</w:t>
            </w:r>
            <w:r w:rsidR="00237060">
              <w:rPr>
                <w:noProof/>
                <w:webHidden/>
              </w:rPr>
              <w:tab/>
            </w:r>
            <w:r>
              <w:rPr>
                <w:noProof/>
                <w:webHidden/>
              </w:rPr>
              <w:fldChar w:fldCharType="begin"/>
            </w:r>
            <w:r w:rsidR="00237060">
              <w:rPr>
                <w:noProof/>
                <w:webHidden/>
              </w:rPr>
              <w:instrText xml:space="preserve"> PAGEREF _Toc286616345 \h </w:instrText>
            </w:r>
            <w:r>
              <w:rPr>
                <w:noProof/>
                <w:webHidden/>
              </w:rPr>
            </w:r>
            <w:r>
              <w:rPr>
                <w:noProof/>
                <w:webHidden/>
              </w:rPr>
              <w:fldChar w:fldCharType="separate"/>
            </w:r>
            <w:r w:rsidR="00FC288D">
              <w:rPr>
                <w:noProof/>
                <w:webHidden/>
              </w:rPr>
              <w:t>137</w:t>
            </w:r>
            <w:r>
              <w:rPr>
                <w:noProof/>
                <w:webHidden/>
              </w:rPr>
              <w:fldChar w:fldCharType="end"/>
            </w:r>
          </w:hyperlink>
        </w:p>
        <w:p w:rsidR="00237060" w:rsidRDefault="006F1E00">
          <w:pPr>
            <w:pStyle w:val="TOC2"/>
            <w:tabs>
              <w:tab w:val="right" w:leader="dot" w:pos="9323"/>
            </w:tabs>
            <w:rPr>
              <w:rFonts w:asciiTheme="minorHAnsi" w:eastAsiaTheme="minorEastAsia" w:hAnsiTheme="minorHAnsi"/>
              <w:noProof/>
              <w:sz w:val="22"/>
              <w:lang w:val="en-ZA" w:eastAsia="en-ZA"/>
            </w:rPr>
          </w:pPr>
          <w:hyperlink w:anchor="_Toc286616346" w:history="1">
            <w:r w:rsidR="00237060" w:rsidRPr="009D4E90">
              <w:rPr>
                <w:rStyle w:val="Hyperlink"/>
                <w:noProof/>
              </w:rPr>
              <w:t>Table 12: The Relationship between GDP and Real Stock Prices (Yearly 1997-2010)</w:t>
            </w:r>
            <w:r w:rsidR="00237060">
              <w:rPr>
                <w:noProof/>
                <w:webHidden/>
              </w:rPr>
              <w:tab/>
            </w:r>
            <w:r>
              <w:rPr>
                <w:noProof/>
                <w:webHidden/>
              </w:rPr>
              <w:fldChar w:fldCharType="begin"/>
            </w:r>
            <w:r w:rsidR="00237060">
              <w:rPr>
                <w:noProof/>
                <w:webHidden/>
              </w:rPr>
              <w:instrText xml:space="preserve"> PAGEREF _Toc286616346 \h </w:instrText>
            </w:r>
            <w:r>
              <w:rPr>
                <w:noProof/>
                <w:webHidden/>
              </w:rPr>
            </w:r>
            <w:r>
              <w:rPr>
                <w:noProof/>
                <w:webHidden/>
              </w:rPr>
              <w:fldChar w:fldCharType="separate"/>
            </w:r>
            <w:r w:rsidR="00FC288D">
              <w:rPr>
                <w:noProof/>
                <w:webHidden/>
              </w:rPr>
              <w:t>138</w:t>
            </w:r>
            <w:r>
              <w:rPr>
                <w:noProof/>
                <w:webHidden/>
              </w:rPr>
              <w:fldChar w:fldCharType="end"/>
            </w:r>
          </w:hyperlink>
        </w:p>
        <w:p w:rsidR="00237060" w:rsidRDefault="006F1E00">
          <w:pPr>
            <w:pStyle w:val="TOC2"/>
            <w:tabs>
              <w:tab w:val="right" w:leader="dot" w:pos="9323"/>
            </w:tabs>
            <w:rPr>
              <w:rFonts w:asciiTheme="minorHAnsi" w:eastAsiaTheme="minorEastAsia" w:hAnsiTheme="minorHAnsi"/>
              <w:noProof/>
              <w:sz w:val="22"/>
              <w:lang w:val="en-ZA" w:eastAsia="en-ZA"/>
            </w:rPr>
          </w:pPr>
          <w:hyperlink w:anchor="_Toc286616347" w:history="1">
            <w:r w:rsidR="00237060" w:rsidRPr="009D4E90">
              <w:rPr>
                <w:rStyle w:val="Hyperlink"/>
                <w:noProof/>
              </w:rPr>
              <w:t>Table 13: The Relationship between Industrial Production and Real Stock Prices (Yearly 1970-1988)</w:t>
            </w:r>
            <w:r w:rsidR="00237060">
              <w:rPr>
                <w:noProof/>
                <w:webHidden/>
              </w:rPr>
              <w:tab/>
            </w:r>
            <w:r>
              <w:rPr>
                <w:noProof/>
                <w:webHidden/>
              </w:rPr>
              <w:fldChar w:fldCharType="begin"/>
            </w:r>
            <w:r w:rsidR="00237060">
              <w:rPr>
                <w:noProof/>
                <w:webHidden/>
              </w:rPr>
              <w:instrText xml:space="preserve"> PAGEREF _Toc286616347 \h </w:instrText>
            </w:r>
            <w:r>
              <w:rPr>
                <w:noProof/>
                <w:webHidden/>
              </w:rPr>
            </w:r>
            <w:r>
              <w:rPr>
                <w:noProof/>
                <w:webHidden/>
              </w:rPr>
              <w:fldChar w:fldCharType="separate"/>
            </w:r>
            <w:r w:rsidR="00FC288D">
              <w:rPr>
                <w:noProof/>
                <w:webHidden/>
              </w:rPr>
              <w:t>139</w:t>
            </w:r>
            <w:r>
              <w:rPr>
                <w:noProof/>
                <w:webHidden/>
              </w:rPr>
              <w:fldChar w:fldCharType="end"/>
            </w:r>
          </w:hyperlink>
        </w:p>
        <w:p w:rsidR="00237060" w:rsidRDefault="006F1E00">
          <w:pPr>
            <w:pStyle w:val="TOC2"/>
            <w:tabs>
              <w:tab w:val="right" w:leader="dot" w:pos="9323"/>
            </w:tabs>
            <w:rPr>
              <w:rFonts w:asciiTheme="minorHAnsi" w:eastAsiaTheme="minorEastAsia" w:hAnsiTheme="minorHAnsi"/>
              <w:noProof/>
              <w:sz w:val="22"/>
              <w:lang w:val="en-ZA" w:eastAsia="en-ZA"/>
            </w:rPr>
          </w:pPr>
          <w:hyperlink w:anchor="_Toc286616348" w:history="1">
            <w:r w:rsidR="00237060" w:rsidRPr="009D4E90">
              <w:rPr>
                <w:rStyle w:val="Hyperlink"/>
                <w:noProof/>
              </w:rPr>
              <w:t>Table 14: The Relationship between Industrial Production and Real Stock Prices (Yearly 1988-1997)</w:t>
            </w:r>
            <w:r w:rsidR="00237060">
              <w:rPr>
                <w:noProof/>
                <w:webHidden/>
              </w:rPr>
              <w:tab/>
            </w:r>
            <w:r>
              <w:rPr>
                <w:noProof/>
                <w:webHidden/>
              </w:rPr>
              <w:fldChar w:fldCharType="begin"/>
            </w:r>
            <w:r w:rsidR="00237060">
              <w:rPr>
                <w:noProof/>
                <w:webHidden/>
              </w:rPr>
              <w:instrText xml:space="preserve"> PAGEREF _Toc286616348 \h </w:instrText>
            </w:r>
            <w:r>
              <w:rPr>
                <w:noProof/>
                <w:webHidden/>
              </w:rPr>
            </w:r>
            <w:r>
              <w:rPr>
                <w:noProof/>
                <w:webHidden/>
              </w:rPr>
              <w:fldChar w:fldCharType="separate"/>
            </w:r>
            <w:r w:rsidR="00FC288D">
              <w:rPr>
                <w:noProof/>
                <w:webHidden/>
              </w:rPr>
              <w:t>140</w:t>
            </w:r>
            <w:r>
              <w:rPr>
                <w:noProof/>
                <w:webHidden/>
              </w:rPr>
              <w:fldChar w:fldCharType="end"/>
            </w:r>
          </w:hyperlink>
        </w:p>
        <w:p w:rsidR="00237060" w:rsidRDefault="006F1E00">
          <w:pPr>
            <w:pStyle w:val="TOC2"/>
            <w:tabs>
              <w:tab w:val="right" w:leader="dot" w:pos="9323"/>
            </w:tabs>
            <w:rPr>
              <w:rFonts w:asciiTheme="minorHAnsi" w:eastAsiaTheme="minorEastAsia" w:hAnsiTheme="minorHAnsi"/>
              <w:noProof/>
              <w:sz w:val="22"/>
              <w:lang w:val="en-ZA" w:eastAsia="en-ZA"/>
            </w:rPr>
          </w:pPr>
          <w:hyperlink w:anchor="_Toc286616349" w:history="1">
            <w:r w:rsidR="00237060" w:rsidRPr="009D4E90">
              <w:rPr>
                <w:rStyle w:val="Hyperlink"/>
                <w:noProof/>
              </w:rPr>
              <w:t>Table 15: The Relationship between Industrial Production and Real Stock Prices (Yearly 1997-2010)</w:t>
            </w:r>
            <w:r w:rsidR="00237060">
              <w:rPr>
                <w:noProof/>
                <w:webHidden/>
              </w:rPr>
              <w:tab/>
            </w:r>
            <w:r>
              <w:rPr>
                <w:noProof/>
                <w:webHidden/>
              </w:rPr>
              <w:fldChar w:fldCharType="begin"/>
            </w:r>
            <w:r w:rsidR="00237060">
              <w:rPr>
                <w:noProof/>
                <w:webHidden/>
              </w:rPr>
              <w:instrText xml:space="preserve"> PAGEREF _Toc286616349 \h </w:instrText>
            </w:r>
            <w:r>
              <w:rPr>
                <w:noProof/>
                <w:webHidden/>
              </w:rPr>
            </w:r>
            <w:r>
              <w:rPr>
                <w:noProof/>
                <w:webHidden/>
              </w:rPr>
              <w:fldChar w:fldCharType="separate"/>
            </w:r>
            <w:r w:rsidR="00FC288D">
              <w:rPr>
                <w:noProof/>
                <w:webHidden/>
              </w:rPr>
              <w:t>141</w:t>
            </w:r>
            <w:r>
              <w:rPr>
                <w:noProof/>
                <w:webHidden/>
              </w:rPr>
              <w:fldChar w:fldCharType="end"/>
            </w:r>
          </w:hyperlink>
        </w:p>
        <w:p w:rsidR="00237060" w:rsidRDefault="006F1E00">
          <w:pPr>
            <w:pStyle w:val="TOC2"/>
            <w:tabs>
              <w:tab w:val="right" w:leader="dot" w:pos="9323"/>
            </w:tabs>
            <w:rPr>
              <w:rFonts w:asciiTheme="minorHAnsi" w:eastAsiaTheme="minorEastAsia" w:hAnsiTheme="minorHAnsi"/>
              <w:noProof/>
              <w:sz w:val="22"/>
              <w:lang w:val="en-ZA" w:eastAsia="en-ZA"/>
            </w:rPr>
          </w:pPr>
          <w:hyperlink w:anchor="_Toc286616350" w:history="1">
            <w:r w:rsidR="00237060" w:rsidRPr="009D4E90">
              <w:rPr>
                <w:rStyle w:val="Hyperlink"/>
                <w:noProof/>
              </w:rPr>
              <w:t>Table 16: The Relationship between Inflation and Real Stock Prices (Yearly 1970-1988)</w:t>
            </w:r>
            <w:r w:rsidR="00237060">
              <w:rPr>
                <w:noProof/>
                <w:webHidden/>
              </w:rPr>
              <w:tab/>
            </w:r>
            <w:r>
              <w:rPr>
                <w:noProof/>
                <w:webHidden/>
              </w:rPr>
              <w:fldChar w:fldCharType="begin"/>
            </w:r>
            <w:r w:rsidR="00237060">
              <w:rPr>
                <w:noProof/>
                <w:webHidden/>
              </w:rPr>
              <w:instrText xml:space="preserve"> PAGEREF _Toc286616350 \h </w:instrText>
            </w:r>
            <w:r>
              <w:rPr>
                <w:noProof/>
                <w:webHidden/>
              </w:rPr>
            </w:r>
            <w:r>
              <w:rPr>
                <w:noProof/>
                <w:webHidden/>
              </w:rPr>
              <w:fldChar w:fldCharType="separate"/>
            </w:r>
            <w:r w:rsidR="00FC288D">
              <w:rPr>
                <w:noProof/>
                <w:webHidden/>
              </w:rPr>
              <w:t>142</w:t>
            </w:r>
            <w:r>
              <w:rPr>
                <w:noProof/>
                <w:webHidden/>
              </w:rPr>
              <w:fldChar w:fldCharType="end"/>
            </w:r>
          </w:hyperlink>
        </w:p>
        <w:p w:rsidR="00237060" w:rsidRDefault="006F1E00">
          <w:pPr>
            <w:pStyle w:val="TOC2"/>
            <w:tabs>
              <w:tab w:val="right" w:leader="dot" w:pos="9323"/>
            </w:tabs>
            <w:rPr>
              <w:rFonts w:asciiTheme="minorHAnsi" w:eastAsiaTheme="minorEastAsia" w:hAnsiTheme="minorHAnsi"/>
              <w:noProof/>
              <w:sz w:val="22"/>
              <w:lang w:val="en-ZA" w:eastAsia="en-ZA"/>
            </w:rPr>
          </w:pPr>
          <w:hyperlink w:anchor="_Toc286616351" w:history="1">
            <w:r w:rsidR="00237060" w:rsidRPr="009D4E90">
              <w:rPr>
                <w:rStyle w:val="Hyperlink"/>
                <w:noProof/>
              </w:rPr>
              <w:t>Table 17: The Relationship between Inflation and Real Stock Prices (Yearly 1988-1997)</w:t>
            </w:r>
            <w:r w:rsidR="00237060">
              <w:rPr>
                <w:noProof/>
                <w:webHidden/>
              </w:rPr>
              <w:tab/>
            </w:r>
            <w:r>
              <w:rPr>
                <w:noProof/>
                <w:webHidden/>
              </w:rPr>
              <w:fldChar w:fldCharType="begin"/>
            </w:r>
            <w:r w:rsidR="00237060">
              <w:rPr>
                <w:noProof/>
                <w:webHidden/>
              </w:rPr>
              <w:instrText xml:space="preserve"> PAGEREF _Toc286616351 \h </w:instrText>
            </w:r>
            <w:r>
              <w:rPr>
                <w:noProof/>
                <w:webHidden/>
              </w:rPr>
            </w:r>
            <w:r>
              <w:rPr>
                <w:noProof/>
                <w:webHidden/>
              </w:rPr>
              <w:fldChar w:fldCharType="separate"/>
            </w:r>
            <w:r w:rsidR="00FC288D">
              <w:rPr>
                <w:noProof/>
                <w:webHidden/>
              </w:rPr>
              <w:t>143</w:t>
            </w:r>
            <w:r>
              <w:rPr>
                <w:noProof/>
                <w:webHidden/>
              </w:rPr>
              <w:fldChar w:fldCharType="end"/>
            </w:r>
          </w:hyperlink>
        </w:p>
        <w:p w:rsidR="00237060" w:rsidRDefault="006F1E00">
          <w:pPr>
            <w:pStyle w:val="TOC2"/>
            <w:tabs>
              <w:tab w:val="right" w:leader="dot" w:pos="9323"/>
            </w:tabs>
            <w:rPr>
              <w:rFonts w:asciiTheme="minorHAnsi" w:eastAsiaTheme="minorEastAsia" w:hAnsiTheme="minorHAnsi"/>
              <w:noProof/>
              <w:sz w:val="22"/>
              <w:lang w:val="en-ZA" w:eastAsia="en-ZA"/>
            </w:rPr>
          </w:pPr>
          <w:hyperlink w:anchor="_Toc286616352" w:history="1">
            <w:r w:rsidR="00237060" w:rsidRPr="009D4E90">
              <w:rPr>
                <w:rStyle w:val="Hyperlink"/>
                <w:noProof/>
              </w:rPr>
              <w:t>Table 18: The Relationship between Inflation and Real Stock Prices (Yearly 1997-2010)</w:t>
            </w:r>
            <w:r w:rsidR="00237060">
              <w:rPr>
                <w:noProof/>
                <w:webHidden/>
              </w:rPr>
              <w:tab/>
            </w:r>
            <w:r>
              <w:rPr>
                <w:noProof/>
                <w:webHidden/>
              </w:rPr>
              <w:fldChar w:fldCharType="begin"/>
            </w:r>
            <w:r w:rsidR="00237060">
              <w:rPr>
                <w:noProof/>
                <w:webHidden/>
              </w:rPr>
              <w:instrText xml:space="preserve"> PAGEREF _Toc286616352 \h </w:instrText>
            </w:r>
            <w:r>
              <w:rPr>
                <w:noProof/>
                <w:webHidden/>
              </w:rPr>
            </w:r>
            <w:r>
              <w:rPr>
                <w:noProof/>
                <w:webHidden/>
              </w:rPr>
              <w:fldChar w:fldCharType="separate"/>
            </w:r>
            <w:r w:rsidR="00FC288D">
              <w:rPr>
                <w:noProof/>
                <w:webHidden/>
              </w:rPr>
              <w:t>144</w:t>
            </w:r>
            <w:r>
              <w:rPr>
                <w:noProof/>
                <w:webHidden/>
              </w:rPr>
              <w:fldChar w:fldCharType="end"/>
            </w:r>
          </w:hyperlink>
        </w:p>
        <w:p w:rsidR="00FA1C0A" w:rsidRPr="00762161" w:rsidRDefault="006F1E00" w:rsidP="00A857A8">
          <w:pPr>
            <w:pStyle w:val="TOC2"/>
            <w:tabs>
              <w:tab w:val="right" w:leader="dot" w:pos="9323"/>
            </w:tabs>
          </w:pPr>
          <w:r w:rsidRPr="00762161">
            <w:rPr>
              <w:rFonts w:cs="Times New Roman"/>
              <w:szCs w:val="24"/>
            </w:rPr>
            <w:fldChar w:fldCharType="end"/>
          </w:r>
        </w:p>
      </w:sdtContent>
    </w:sdt>
    <w:p w:rsidR="009D61A9" w:rsidRPr="00762161" w:rsidRDefault="009D61A9" w:rsidP="009D61A9">
      <w:pPr>
        <w:pStyle w:val="Heading1"/>
        <w:numPr>
          <w:ilvl w:val="0"/>
          <w:numId w:val="7"/>
        </w:numPr>
      </w:pPr>
      <w:bookmarkStart w:id="7" w:name="_Toc282531613"/>
      <w:bookmarkStart w:id="8" w:name="_Toc286616281"/>
      <w:r w:rsidRPr="00762161">
        <w:lastRenderedPageBreak/>
        <w:t>Introduction</w:t>
      </w:r>
      <w:bookmarkEnd w:id="7"/>
      <w:bookmarkEnd w:id="8"/>
    </w:p>
    <w:p w:rsidR="009D61A9" w:rsidRPr="00762161" w:rsidRDefault="009D61A9" w:rsidP="009D61A9">
      <w:pPr>
        <w:spacing w:before="480"/>
      </w:pPr>
    </w:p>
    <w:p w:rsidR="009D61A9" w:rsidRPr="00762161" w:rsidRDefault="009D61A9" w:rsidP="009D61A9">
      <w:pPr>
        <w:spacing w:before="480"/>
        <w:rPr>
          <w:szCs w:val="24"/>
        </w:rPr>
      </w:pPr>
      <w:r w:rsidRPr="00B551A2">
        <w:rPr>
          <w:szCs w:val="24"/>
        </w:rPr>
        <w:t>T</w:t>
      </w:r>
      <w:r w:rsidRPr="00762161">
        <w:rPr>
          <w:szCs w:val="24"/>
        </w:rPr>
        <w:t>he purpose of this study is to investigate the information content of equity prices on the Johannesburg Stock Exchange (JSE). The primary focus of the analysis will be on the forecasting power of stock prices for real output growth and the overall economy, through the proxy of GDP and/or GNP (many papers use this as their informative variable). The scope of the study is intentionally narrow, and does not claim to be a systematic analysis of all plausible financial leading indicators.</w:t>
      </w:r>
    </w:p>
    <w:p w:rsidR="009D61A9" w:rsidRPr="00762161" w:rsidRDefault="009D61A9" w:rsidP="009D61A9">
      <w:pPr>
        <w:spacing w:before="480"/>
      </w:pPr>
      <w:r w:rsidRPr="00762161">
        <w:t>From a macroeconomic standpoint, making predictions about the economy is pivotal to the formulation of monetary policy. Central banks are moving away from policies based on the management of intermediate targets and towards frameworks defined in terms of the ultimate policy objectives using indicators or information variables to guide policy towards those objectives. Monetary policy has become increasingly forecast based, intensifying the search for leading economic indicators. By evaluating the information in asset prices, through their forward looking nature, assessments can be undertaken on new information before it becomes incorporated into the macroeconomic data (Kuttner, 2009).</w:t>
      </w:r>
    </w:p>
    <w:p w:rsidR="009D61A9" w:rsidRPr="00762161" w:rsidRDefault="009D61A9" w:rsidP="009D61A9">
      <w:pPr>
        <w:spacing w:before="480"/>
        <w:rPr>
          <w:szCs w:val="24"/>
        </w:rPr>
      </w:pPr>
      <w:r w:rsidRPr="00762161">
        <w:rPr>
          <w:szCs w:val="24"/>
        </w:rPr>
        <w:t xml:space="preserve">A natural question is whether stock prices have any predictive power over and above that contained in other financial indicators, such as interest rates or monetary aggregates. A positive answer would strengthen the case for using the stock price as an information variable for monetary policy, while a negative answer would indicate that using the alternative financial indicators is more informative. Most asset pricing theories suggest that, as this study will assert, asset prices are forward looking and reflect the market expectations of future earnings. By </w:t>
      </w:r>
      <w:r w:rsidRPr="00762161">
        <w:rPr>
          <w:szCs w:val="24"/>
        </w:rPr>
        <w:lastRenderedPageBreak/>
        <w:t>aggregating across companies, aggregate market prices may then be used as leading indicators of future growth in aggregate income, as well as its components (Kuttner, 2009). Ibrahim (2010) argues that stock prices have the edge as a predictor of real activity since stock price data is readily available. Yet the author argues that the major downside of stock prices is that they contain a substantial amount of noise.</w:t>
      </w:r>
    </w:p>
    <w:p w:rsidR="00511EA3" w:rsidRDefault="009D61A9" w:rsidP="009D61A9">
      <w:pPr>
        <w:spacing w:before="480"/>
        <w:rPr>
          <w:szCs w:val="24"/>
        </w:rPr>
      </w:pPr>
      <w:r w:rsidRPr="00762161">
        <w:rPr>
          <w:szCs w:val="24"/>
        </w:rPr>
        <w:t>Fama (1981, 1990), Barro (1990) and Schwert (1990) confirm that stock returns are highly correlated with future real activity. The authors’ results hold for all data frequencies covering very long periods and are robust to alternative definitions of the data series. Such evidence may be the result of stock returns being a good proxy as a leading indicator of future production and/or shocks that affect stock returns and investment decisions immediately, but become visible in production several periods later. Choi, Hauser &amp; Kopecky (1999) revert to the discounted cash flow valuation model to explain that stock prices echo investors’ expectations about future real economic variables such as corporate earnings or industrial production. If these expectations are both rational and on average correct, then lagged stock returns should be correlated with the growth rate in industrial production</w:t>
      </w:r>
      <w:r w:rsidR="00B551A2">
        <w:rPr>
          <w:szCs w:val="24"/>
        </w:rPr>
        <w:t>,</w:t>
      </w:r>
      <w:r w:rsidRPr="00762161">
        <w:rPr>
          <w:szCs w:val="24"/>
        </w:rPr>
        <w:t xml:space="preserve"> </w:t>
      </w:r>
      <w:r w:rsidR="00B551A2">
        <w:rPr>
          <w:szCs w:val="24"/>
        </w:rPr>
        <w:t>i</w:t>
      </w:r>
      <w:r w:rsidRPr="00762161">
        <w:rPr>
          <w:szCs w:val="24"/>
        </w:rPr>
        <w:t>.e., stock returns should provide information about the future evolution of industrial production.</w:t>
      </w:r>
      <w:r w:rsidR="00511EA3">
        <w:rPr>
          <w:szCs w:val="24"/>
        </w:rPr>
        <w:t xml:space="preserve"> </w:t>
      </w:r>
    </w:p>
    <w:p w:rsidR="009D61A9" w:rsidRPr="00762161" w:rsidRDefault="00511EA3" w:rsidP="009D61A9">
      <w:pPr>
        <w:spacing w:before="480"/>
        <w:rPr>
          <w:szCs w:val="24"/>
        </w:rPr>
      </w:pPr>
      <w:r>
        <w:rPr>
          <w:szCs w:val="24"/>
        </w:rPr>
        <w:t xml:space="preserve">Importantly for this study, stock prices are seen to be a strict leading economic indicator. Stock prices are in fact the foremost leading indicator and </w:t>
      </w:r>
      <w:r>
        <w:t>Fama (1981) conducts tests whic</w:t>
      </w:r>
      <w:r w:rsidRPr="00762161">
        <w:t>h show that the stock return is never l</w:t>
      </w:r>
      <w:r>
        <w:t>ed by any of the real variables. The author further finds that</w:t>
      </w:r>
      <w:r w:rsidRPr="00762161">
        <w:t xml:space="preserve"> industrial production is the only real variable that shows a strong contemporaneous relation with the stock return.</w:t>
      </w:r>
    </w:p>
    <w:p w:rsidR="009D61A9" w:rsidRPr="00762161" w:rsidRDefault="009D61A9" w:rsidP="009D61A9">
      <w:pPr>
        <w:spacing w:before="480"/>
        <w:rPr>
          <w:szCs w:val="24"/>
        </w:rPr>
      </w:pPr>
      <w:r w:rsidRPr="00762161">
        <w:rPr>
          <w:szCs w:val="24"/>
        </w:rPr>
        <w:t xml:space="preserve">Aylward &amp; Glen (2000) state that the rate of growth of stock prices tends, on average, to trail that of GDP and is relatively well correlated with GDP growth rates in their cross sectional </w:t>
      </w:r>
      <w:r w:rsidRPr="00762161">
        <w:rPr>
          <w:szCs w:val="24"/>
        </w:rPr>
        <w:lastRenderedPageBreak/>
        <w:t xml:space="preserve">analysis on emerging markets. The authors interestingly explain that the sum of the correlation coefficients for consumption and investment generally exceed the magnitude of the correlation between the GDP and stock prices. This suggests that, for most countries, there would likely be a significant negative correlation between stock prices and the </w:t>
      </w:r>
      <w:r w:rsidR="002E73DC">
        <w:rPr>
          <w:szCs w:val="24"/>
        </w:rPr>
        <w:t>remaining GDP</w:t>
      </w:r>
      <w:r w:rsidRPr="00762161">
        <w:rPr>
          <w:szCs w:val="24"/>
        </w:rPr>
        <w:t xml:space="preserve"> components</w:t>
      </w:r>
      <w:r w:rsidR="002E73DC">
        <w:rPr>
          <w:szCs w:val="24"/>
        </w:rPr>
        <w:t>,</w:t>
      </w:r>
      <w:r w:rsidRPr="00762161">
        <w:rPr>
          <w:szCs w:val="24"/>
        </w:rPr>
        <w:t xml:space="preserve"> </w:t>
      </w:r>
      <w:r w:rsidR="002E73DC">
        <w:rPr>
          <w:szCs w:val="24"/>
        </w:rPr>
        <w:t>which were considered beyond the scope of this study.</w:t>
      </w:r>
    </w:p>
    <w:p w:rsidR="009D61A9" w:rsidRPr="00762161" w:rsidRDefault="009D61A9" w:rsidP="009D61A9">
      <w:pPr>
        <w:spacing w:before="480"/>
        <w:rPr>
          <w:szCs w:val="24"/>
        </w:rPr>
      </w:pPr>
      <w:r w:rsidRPr="00762161">
        <w:rPr>
          <w:szCs w:val="24"/>
        </w:rPr>
        <w:t>The empirical results of Park (1997), based on annual data, are generally consistent with the hypothesis, that GDP growth, which influences stock prices positively, has a relatively strong effect on cash flows. Thus, the forward looking nature of stock prices makes them ideal indicators of economic activity. Stock &amp; Watson (1989) show that the relationship between stock returns and economic growth has in fact not been stable over time in the U.S., and that the predictive information of stock prices for future activity is also contained in other financial variables, such as the yield spreads between 10 year (representing long term) and 3 month government bonds (representing short term), or between T-bills and private commercial paper.</w:t>
      </w:r>
    </w:p>
    <w:p w:rsidR="009E6BDD" w:rsidRDefault="00D37434" w:rsidP="006E59C8">
      <w:pPr>
        <w:spacing w:before="480"/>
        <w:rPr>
          <w:szCs w:val="24"/>
        </w:rPr>
      </w:pPr>
      <w:r>
        <w:rPr>
          <w:szCs w:val="24"/>
        </w:rPr>
        <w:t xml:space="preserve">The paper is broken down into 8 </w:t>
      </w:r>
      <w:r w:rsidR="002F3411">
        <w:rPr>
          <w:szCs w:val="24"/>
        </w:rPr>
        <w:t xml:space="preserve">main </w:t>
      </w:r>
      <w:r>
        <w:rPr>
          <w:szCs w:val="24"/>
        </w:rPr>
        <w:t xml:space="preserve">sections. Section 2 </w:t>
      </w:r>
      <w:r w:rsidR="002E73DC">
        <w:rPr>
          <w:szCs w:val="24"/>
        </w:rPr>
        <w:t>incorporates</w:t>
      </w:r>
      <w:r>
        <w:rPr>
          <w:szCs w:val="24"/>
        </w:rPr>
        <w:t xml:space="preserve"> a key aspect to the paper</w:t>
      </w:r>
      <w:r w:rsidR="002F3411">
        <w:rPr>
          <w:szCs w:val="24"/>
        </w:rPr>
        <w:t>,</w:t>
      </w:r>
      <w:r>
        <w:rPr>
          <w:szCs w:val="24"/>
        </w:rPr>
        <w:t xml:space="preserve"> and </w:t>
      </w:r>
      <w:r w:rsidR="002F3411">
        <w:rPr>
          <w:szCs w:val="24"/>
        </w:rPr>
        <w:t>is introductory in nature</w:t>
      </w:r>
      <w:r>
        <w:rPr>
          <w:szCs w:val="24"/>
        </w:rPr>
        <w:t>, by discussing the nature of stock prices from the viewpoint of their forward looking nature. This paper relies heavily on the theory of efficient markets, and section 3 breaks this down i</w:t>
      </w:r>
      <w:r w:rsidR="00B551A2">
        <w:rPr>
          <w:szCs w:val="24"/>
        </w:rPr>
        <w:t>nto 5 sub sections. Initially</w:t>
      </w:r>
      <w:r>
        <w:rPr>
          <w:szCs w:val="24"/>
        </w:rPr>
        <w:t xml:space="preserve">, </w:t>
      </w:r>
      <w:r w:rsidR="00B551A2">
        <w:rPr>
          <w:szCs w:val="24"/>
        </w:rPr>
        <w:t xml:space="preserve">the </w:t>
      </w:r>
      <w:r>
        <w:rPr>
          <w:szCs w:val="24"/>
        </w:rPr>
        <w:t>forms of market efficiency are analysed, before moving onto the contrasting views of the theory. The next two subsections look at major issues from the point of unexplained anomalies and the models that try to determine asset prices. Th</w:t>
      </w:r>
      <w:r w:rsidR="002F3411">
        <w:rPr>
          <w:szCs w:val="24"/>
        </w:rPr>
        <w:t>e</w:t>
      </w:r>
      <w:r>
        <w:rPr>
          <w:szCs w:val="24"/>
        </w:rPr>
        <w:t xml:space="preserve"> section </w:t>
      </w:r>
      <w:r w:rsidR="002F3411">
        <w:rPr>
          <w:szCs w:val="24"/>
        </w:rPr>
        <w:t xml:space="preserve">ends </w:t>
      </w:r>
      <w:r>
        <w:rPr>
          <w:szCs w:val="24"/>
        </w:rPr>
        <w:t>with an evaluation of efficiency on the JSE. Section 4 forms the core chapter of this paper</w:t>
      </w:r>
      <w:r w:rsidR="00CC1063">
        <w:rPr>
          <w:szCs w:val="24"/>
        </w:rPr>
        <w:t>, and looks</w:t>
      </w:r>
      <w:r>
        <w:rPr>
          <w:szCs w:val="24"/>
        </w:rPr>
        <w:t xml:space="preserve"> at stock prices and the</w:t>
      </w:r>
      <w:r w:rsidR="00CC1063">
        <w:rPr>
          <w:szCs w:val="24"/>
        </w:rPr>
        <w:t>ir</w:t>
      </w:r>
      <w:r>
        <w:rPr>
          <w:szCs w:val="24"/>
        </w:rPr>
        <w:t xml:space="preserve"> accompanying economic indicators. Under this section, subsections include detailed explanations on the variables used in the empirical study, that being: Gross Domestic Product; Industrial Production; and Inflation. The last two subsections look at alternative indicators with the last subsection focusing exclusively on </w:t>
      </w:r>
      <w:r>
        <w:rPr>
          <w:szCs w:val="24"/>
        </w:rPr>
        <w:lastRenderedPageBreak/>
        <w:t xml:space="preserve">Tobin’s (1969) </w:t>
      </w:r>
      <w:r>
        <w:rPr>
          <w:i/>
          <w:szCs w:val="24"/>
        </w:rPr>
        <w:t>q</w:t>
      </w:r>
      <w:r>
        <w:rPr>
          <w:szCs w:val="24"/>
        </w:rPr>
        <w:t xml:space="preserve"> theory. Section 5 contains the data description and moves the paper into the empirical section. Section 6 explains the full methodology, with each variable used within the regressions receiving particular focus under </w:t>
      </w:r>
      <w:r w:rsidR="002E73DC">
        <w:rPr>
          <w:szCs w:val="24"/>
        </w:rPr>
        <w:t>their</w:t>
      </w:r>
      <w:r>
        <w:rPr>
          <w:szCs w:val="24"/>
        </w:rPr>
        <w:t xml:space="preserve"> respective subsection.</w:t>
      </w:r>
      <w:r w:rsidR="002F3411">
        <w:rPr>
          <w:szCs w:val="24"/>
        </w:rPr>
        <w:t xml:space="preserve"> Finally, section 7 contains the analysis of the empirical results, before finishing </w:t>
      </w:r>
      <w:r w:rsidR="00CC1063">
        <w:rPr>
          <w:szCs w:val="24"/>
        </w:rPr>
        <w:t>with the conclusion in section 8</w:t>
      </w:r>
      <w:r w:rsidR="002F3411">
        <w:rPr>
          <w:szCs w:val="24"/>
        </w:rPr>
        <w:t xml:space="preserve">. All tables can </w:t>
      </w:r>
      <w:r w:rsidR="006E59C8">
        <w:rPr>
          <w:szCs w:val="24"/>
        </w:rPr>
        <w:t>b</w:t>
      </w:r>
      <w:r w:rsidR="002F3411">
        <w:rPr>
          <w:szCs w:val="24"/>
        </w:rPr>
        <w:t>e found within the appendix in section 10.</w:t>
      </w:r>
    </w:p>
    <w:p w:rsidR="006E59C8" w:rsidRDefault="006E59C8" w:rsidP="006E59C8">
      <w:pPr>
        <w:spacing w:before="480"/>
        <w:rPr>
          <w:szCs w:val="24"/>
        </w:rPr>
      </w:pPr>
      <w:r>
        <w:rPr>
          <w:szCs w:val="24"/>
        </w:rPr>
        <w:br w:type="page"/>
      </w:r>
    </w:p>
    <w:p w:rsidR="009D61A9" w:rsidRPr="00762161" w:rsidRDefault="009D61A9" w:rsidP="009D61A9">
      <w:pPr>
        <w:pStyle w:val="Heading1"/>
        <w:numPr>
          <w:ilvl w:val="0"/>
          <w:numId w:val="7"/>
        </w:numPr>
      </w:pPr>
      <w:bookmarkStart w:id="9" w:name="_Toc282531614"/>
      <w:bookmarkStart w:id="10" w:name="_Toc286616282"/>
      <w:r w:rsidRPr="00762161">
        <w:lastRenderedPageBreak/>
        <w:t>The Forward Looking Nature of Stock Prices</w:t>
      </w:r>
      <w:bookmarkEnd w:id="9"/>
      <w:bookmarkEnd w:id="10"/>
    </w:p>
    <w:p w:rsidR="009D61A9" w:rsidRPr="00762161" w:rsidRDefault="009D61A9" w:rsidP="009D61A9">
      <w:pPr>
        <w:spacing w:before="480"/>
      </w:pPr>
    </w:p>
    <w:p w:rsidR="009D61A9" w:rsidRPr="00762161" w:rsidRDefault="009D61A9" w:rsidP="009D61A9">
      <w:pPr>
        <w:spacing w:before="480"/>
        <w:rPr>
          <w:szCs w:val="24"/>
        </w:rPr>
      </w:pPr>
      <w:r w:rsidRPr="00762161">
        <w:rPr>
          <w:szCs w:val="24"/>
        </w:rPr>
        <w:t>If stock prices reflect fundamentals</w:t>
      </w:r>
      <w:r w:rsidR="006E328A">
        <w:rPr>
          <w:szCs w:val="24"/>
        </w:rPr>
        <w:t>,</w:t>
      </w:r>
      <w:r w:rsidRPr="00762161">
        <w:rPr>
          <w:szCs w:val="24"/>
        </w:rPr>
        <w:t xml:space="preserve"> there should be close relation to expected future real activity. The fundamental value of a firm’s stock equals the expected present value of a fi</w:t>
      </w:r>
      <w:r w:rsidR="006E328A">
        <w:rPr>
          <w:szCs w:val="24"/>
        </w:rPr>
        <w:t>rm’s future payouts (dividends)</w:t>
      </w:r>
      <w:r w:rsidR="00BB4313">
        <w:rPr>
          <w:szCs w:val="24"/>
        </w:rPr>
        <w:t xml:space="preserve"> only </w:t>
      </w:r>
      <w:r w:rsidRPr="00762161">
        <w:rPr>
          <w:szCs w:val="24"/>
        </w:rPr>
        <w:t>if these expectations take all currently available information into account</w:t>
      </w:r>
      <w:r w:rsidR="00BB4313">
        <w:rPr>
          <w:szCs w:val="24"/>
        </w:rPr>
        <w:t>, a</w:t>
      </w:r>
      <w:r w:rsidRPr="00762161">
        <w:rPr>
          <w:szCs w:val="24"/>
        </w:rPr>
        <w:t xml:space="preserve">nd future payouts must reflect real economic activity as measured by industrial production and GDP. Under these circumstances, the stock market is a passive </w:t>
      </w:r>
      <w:r w:rsidR="002E73DC">
        <w:rPr>
          <w:szCs w:val="24"/>
        </w:rPr>
        <w:t>indicator</w:t>
      </w:r>
      <w:r w:rsidRPr="00762161">
        <w:rPr>
          <w:szCs w:val="24"/>
        </w:rPr>
        <w:t xml:space="preserve"> of future real activity as stock prices react immediately to new information about future activity well before it actually occurs. Consequently, stock prices should lead measures of real activity as stock prices are built on expectations of these activities, and the absence of any correlation between stock returns and future production growth rates would therefore suggest that stock prices do not accurately reflect the</w:t>
      </w:r>
      <w:r w:rsidR="00BB4313">
        <w:rPr>
          <w:szCs w:val="24"/>
        </w:rPr>
        <w:t>ir</w:t>
      </w:r>
      <w:r w:rsidRPr="00762161">
        <w:rPr>
          <w:szCs w:val="24"/>
        </w:rPr>
        <w:t xml:space="preserve"> underlying fundamentals (Binswanger, 2000). </w:t>
      </w:r>
    </w:p>
    <w:p w:rsidR="009D61A9" w:rsidRPr="00762161" w:rsidRDefault="009D61A9" w:rsidP="009D61A9">
      <w:pPr>
        <w:spacing w:before="480"/>
      </w:pPr>
      <w:r w:rsidRPr="00762161">
        <w:t xml:space="preserve">Stock prices reflect expectations and are, therefore, forward looking variables (Fischer &amp; Merton, 1984). </w:t>
      </w:r>
      <w:r w:rsidR="00BB4313">
        <w:t xml:space="preserve">Yet, </w:t>
      </w:r>
      <w:r w:rsidR="00BB4313" w:rsidRPr="00762161">
        <w:rPr>
          <w:szCs w:val="24"/>
        </w:rPr>
        <w:t xml:space="preserve">Guo’s (2002) results suggest that the forecasting power of excess stock returns is rather limited over the period 1953-2000, although </w:t>
      </w:r>
      <w:r w:rsidR="00BB4313">
        <w:rPr>
          <w:szCs w:val="24"/>
        </w:rPr>
        <w:t>the author does conclude that it is a forward looking variable</w:t>
      </w:r>
      <w:r w:rsidR="00BB4313" w:rsidRPr="00762161">
        <w:rPr>
          <w:szCs w:val="24"/>
        </w:rPr>
        <w:t>.</w:t>
      </w:r>
      <w:r w:rsidR="00BB4313">
        <w:rPr>
          <w:szCs w:val="24"/>
        </w:rPr>
        <w:t xml:space="preserve"> </w:t>
      </w:r>
      <w:r w:rsidRPr="00762161">
        <w:t>According to Chen, Roll &amp; Ross (1986), stock prices will respond very quickly to public information. The effect of this is to guarantee that market returns will be, at best, weakly related and very noisy relative to innovations in macroeconomic factors.</w:t>
      </w:r>
    </w:p>
    <w:p w:rsidR="009D61A9" w:rsidRPr="00762161" w:rsidRDefault="009D61A9" w:rsidP="009D61A9">
      <w:pPr>
        <w:spacing w:before="480"/>
      </w:pPr>
      <w:r w:rsidRPr="006E328A">
        <w:t>Moore (1983</w:t>
      </w:r>
      <w:r w:rsidR="00634027" w:rsidRPr="006E328A">
        <w:t>)</w:t>
      </w:r>
      <w:r w:rsidRPr="006E328A">
        <w:t xml:space="preserve"> reviews and interprets information</w:t>
      </w:r>
      <w:r w:rsidRPr="00762161">
        <w:t xml:space="preserve"> and evidence on t</w:t>
      </w:r>
      <w:r w:rsidR="002E73DC">
        <w:t>he U.S. stock market over the period 1873-</w:t>
      </w:r>
      <w:r w:rsidRPr="00762161">
        <w:t xml:space="preserve">1975 as a business cycle indicator. The author notes that since 1873, stock prices have led the business cycle at eighteen of twenty three peaks and at seventeen of twenty three troughs. For the post World War II period, the only instances since 1948 of an economic </w:t>
      </w:r>
      <w:r w:rsidRPr="00762161">
        <w:lastRenderedPageBreak/>
        <w:t>slowdown where there was no substantial decline in the stock market prices was in 1951-1952 and 1980. Barro (1990), also using U.S. data from a sample between 19</w:t>
      </w:r>
      <w:r w:rsidR="00A84ECA">
        <w:t>27-</w:t>
      </w:r>
      <w:r w:rsidRPr="00762161">
        <w:t xml:space="preserve">1988, found that the stock market predicted eight out of </w:t>
      </w:r>
      <w:r w:rsidR="00FC448A" w:rsidRPr="00762161">
        <w:t xml:space="preserve">the </w:t>
      </w:r>
      <w:r w:rsidRPr="00762161">
        <w:t>nine recessions.</w:t>
      </w:r>
    </w:p>
    <w:p w:rsidR="00F7222F" w:rsidRPr="00762161" w:rsidRDefault="009D61A9" w:rsidP="00F7222F">
      <w:pPr>
        <w:spacing w:before="480"/>
        <w:rPr>
          <w:szCs w:val="24"/>
        </w:rPr>
      </w:pPr>
      <w:r w:rsidRPr="00762161">
        <w:t>Fischer &amp; Merton (1984) states that in a well functioning and rational stock market, changes in stock prices will echo the expectations and market sentiment about future corporate earnings and changes in the discount rate at which these expected earnings are capitalised. The forward looki</w:t>
      </w:r>
      <w:r w:rsidR="00A84ECA">
        <w:t>ng nature of stock prices would</w:t>
      </w:r>
      <w:r w:rsidRPr="00762161">
        <w:t xml:space="preserve"> therefore appear to qualify the stock market as a predictor of the business cycle. If the information, which the stock p</w:t>
      </w:r>
      <w:r w:rsidR="00FC448A" w:rsidRPr="00762161">
        <w:t>rice</w:t>
      </w:r>
      <w:r w:rsidRPr="00762161">
        <w:t xml:space="preserve"> use</w:t>
      </w:r>
      <w:r w:rsidR="00FC448A" w:rsidRPr="00762161">
        <w:t>s</w:t>
      </w:r>
      <w:r w:rsidRPr="00762161">
        <w:t xml:space="preserve"> to mirror their true value, reflected in </w:t>
      </w:r>
      <w:r w:rsidR="00F7222F" w:rsidRPr="00762161">
        <w:t>stock prices is of high quality</w:t>
      </w:r>
      <w:r w:rsidR="00BB4313">
        <w:t>,</w:t>
      </w:r>
      <w:r w:rsidRPr="00762161">
        <w:t xml:space="preserve"> then stock prices should provide very accurate predictions.</w:t>
      </w:r>
      <w:r w:rsidR="00F7222F" w:rsidRPr="00762161">
        <w:t xml:space="preserve"> The authors</w:t>
      </w:r>
      <w:r w:rsidR="00EC2BEF">
        <w:t>, as well as Aylward &amp; Glen (2000),</w:t>
      </w:r>
      <w:r w:rsidR="00F7222F" w:rsidRPr="00762161">
        <w:t xml:space="preserve"> also found that the stock markets</w:t>
      </w:r>
      <w:r w:rsidR="00A84ECA">
        <w:t>’</w:t>
      </w:r>
      <w:r w:rsidR="00F7222F" w:rsidRPr="00762161">
        <w:t xml:space="preserve"> forecasting ability can be traced to the fact that stock prices lead the GNP components, investment and consumption. </w:t>
      </w:r>
      <w:r w:rsidR="00F7222F" w:rsidRPr="00762161">
        <w:rPr>
          <w:szCs w:val="24"/>
        </w:rPr>
        <w:t>The correlation between changes in current stock prices and future changes in GNP arises from the markets</w:t>
      </w:r>
      <w:r w:rsidR="00A84ECA">
        <w:rPr>
          <w:szCs w:val="24"/>
        </w:rPr>
        <w:t>’</w:t>
      </w:r>
      <w:r w:rsidR="00F7222F" w:rsidRPr="00762161">
        <w:rPr>
          <w:szCs w:val="24"/>
        </w:rPr>
        <w:t xml:space="preserve"> attempt to forecast future earnings</w:t>
      </w:r>
      <w:r w:rsidR="00EC2BEF">
        <w:rPr>
          <w:szCs w:val="24"/>
        </w:rPr>
        <w:t xml:space="preserve">, which are correlated with </w:t>
      </w:r>
      <w:r w:rsidR="00634027">
        <w:rPr>
          <w:szCs w:val="24"/>
        </w:rPr>
        <w:t>GNP;</w:t>
      </w:r>
      <w:r w:rsidR="00EC2BEF">
        <w:rPr>
          <w:szCs w:val="24"/>
        </w:rPr>
        <w:t xml:space="preserve"> this is in line with the findings of Choi, Hauser &amp; Kopecky (1999).</w:t>
      </w:r>
    </w:p>
    <w:p w:rsidR="009D61A9" w:rsidRPr="00762161" w:rsidRDefault="009D61A9" w:rsidP="009D61A9">
      <w:pPr>
        <w:spacing w:before="480"/>
      </w:pPr>
      <w:r w:rsidRPr="00762161">
        <w:t>Fischer &amp; Merton (1984)  analysed the Standard and Poor’s 500 index</w:t>
      </w:r>
      <w:r w:rsidR="00F7222F" w:rsidRPr="00762161">
        <w:t xml:space="preserve"> (S&amp;P 500)</w:t>
      </w:r>
      <w:r w:rsidRPr="00762161">
        <w:t xml:space="preserve"> </w:t>
      </w:r>
      <w:r w:rsidR="00A84ECA">
        <w:t>against</w:t>
      </w:r>
      <w:r w:rsidRPr="00762161">
        <w:t xml:space="preserve"> the real GNP for th</w:t>
      </w:r>
      <w:r w:rsidR="00A84ECA">
        <w:t>e U.S. for the period 1947-1984</w:t>
      </w:r>
      <w:r w:rsidRPr="00762161">
        <w:t xml:space="preserve"> and found that the stock market falls in the quarter before each of the eight reces</w:t>
      </w:r>
      <w:r w:rsidR="00A84ECA">
        <w:t>sionary periods, except in 1980</w:t>
      </w:r>
      <w:r w:rsidRPr="00762161">
        <w:t xml:space="preserve"> and typically will continue falling well into the recession. On several occasions</w:t>
      </w:r>
      <w:r w:rsidR="00A84ECA">
        <w:t>,</w:t>
      </w:r>
      <w:r w:rsidRPr="00762161">
        <w:t xml:space="preserve"> the market fell sharply without being accompanied by a recession (1962, 1966, 1971, and 1977-1978). However during the 1962 and 1966 falsely predicted recessions, output did grow relatively less following the stock price decline.</w:t>
      </w:r>
      <w:r w:rsidR="00EC2BEF">
        <w:t xml:space="preserve"> This casts doubt on the ability of stock prices to be used as a solitary indicator and therefore a strong suggestion is to utilise it in conjunction with other leading indicators.</w:t>
      </w:r>
    </w:p>
    <w:p w:rsidR="009D61A9" w:rsidRDefault="00EC2BEF" w:rsidP="009D61A9">
      <w:pPr>
        <w:spacing w:before="480"/>
      </w:pPr>
      <w:r>
        <w:lastRenderedPageBreak/>
        <w:t xml:space="preserve">Additionally, </w:t>
      </w:r>
      <w:r w:rsidR="009D61A9" w:rsidRPr="00762161">
        <w:t>Fama (1981) showed that the stock market predicts a measure of the average rate of return on physical capital. The author describes this evidence as suggesting a rational expectati</w:t>
      </w:r>
      <w:r w:rsidR="00A84ECA">
        <w:t>on or efficient market</w:t>
      </w:r>
      <w:r w:rsidR="009D61A9" w:rsidRPr="00762161">
        <w:t xml:space="preserve"> view in which the stock market is concerned with the capital investment process and uses the earliest information from the process to forecast its evolution.</w:t>
      </w:r>
    </w:p>
    <w:p w:rsidR="009D61A9" w:rsidRDefault="00DE30F9" w:rsidP="009D61A9">
      <w:pPr>
        <w:spacing w:before="480"/>
      </w:pPr>
      <w:r>
        <w:t>Quite simply, stock prices have to have a forward looking aspect contained within them. Expectations</w:t>
      </w:r>
      <w:r w:rsidR="00A84ECA">
        <w:t>,</w:t>
      </w:r>
      <w:r>
        <w:t xml:space="preserve"> together with the intrinsic value ensure that securities are correctly priced</w:t>
      </w:r>
      <w:r w:rsidR="00B47029">
        <w:t xml:space="preserve"> and contain information of the company’s inherent characteristics. A number of finance fields depend on this crucial point, including market efficiency and technical analysis.</w:t>
      </w:r>
      <w:r w:rsidR="00B47029" w:rsidRPr="00762161">
        <w:t xml:space="preserve"> </w:t>
      </w:r>
    </w:p>
    <w:p w:rsidR="003F61A1" w:rsidRDefault="003F61A1">
      <w:r>
        <w:br w:type="page"/>
      </w:r>
    </w:p>
    <w:p w:rsidR="009D61A9" w:rsidRPr="00762161" w:rsidRDefault="009D61A9" w:rsidP="009D61A9">
      <w:pPr>
        <w:pStyle w:val="Heading1"/>
        <w:numPr>
          <w:ilvl w:val="0"/>
          <w:numId w:val="7"/>
        </w:numPr>
      </w:pPr>
      <w:bookmarkStart w:id="11" w:name="_Toc282531615"/>
      <w:bookmarkStart w:id="12" w:name="_Toc286616283"/>
      <w:r w:rsidRPr="00762161">
        <w:lastRenderedPageBreak/>
        <w:t>Efficient Market Hypothesis</w:t>
      </w:r>
      <w:bookmarkEnd w:id="11"/>
      <w:bookmarkEnd w:id="12"/>
    </w:p>
    <w:p w:rsidR="009D61A9" w:rsidRPr="00762161" w:rsidRDefault="009D61A9" w:rsidP="009D61A9"/>
    <w:p w:rsidR="008D3A7D" w:rsidRPr="00762161" w:rsidRDefault="008D3A7D" w:rsidP="002667CB">
      <w:pPr>
        <w:rPr>
          <w:rFonts w:cs="Times New Roman"/>
          <w:szCs w:val="24"/>
        </w:rPr>
      </w:pPr>
      <w:r w:rsidRPr="00762161">
        <w:rPr>
          <w:rFonts w:cs="Times New Roman"/>
          <w:szCs w:val="24"/>
        </w:rPr>
        <w:t>The idea of efficient markets is</w:t>
      </w:r>
      <w:r w:rsidR="007A41AD" w:rsidRPr="00762161">
        <w:rPr>
          <w:rFonts w:cs="Times New Roman"/>
          <w:szCs w:val="24"/>
        </w:rPr>
        <w:t xml:space="preserve"> an</w:t>
      </w:r>
      <w:r w:rsidRPr="00762161">
        <w:rPr>
          <w:rFonts w:cs="Times New Roman"/>
          <w:szCs w:val="24"/>
        </w:rPr>
        <w:t xml:space="preserve"> instrumental concept in finance, one that has allowed for substantial advancement in a number of core areas. The </w:t>
      </w:r>
      <w:r w:rsidR="009B608C" w:rsidRPr="00762161">
        <w:rPr>
          <w:rFonts w:cs="Times New Roman"/>
          <w:szCs w:val="24"/>
        </w:rPr>
        <w:t>concept</w:t>
      </w:r>
      <w:r w:rsidRPr="00762161">
        <w:rPr>
          <w:rFonts w:cs="Times New Roman"/>
          <w:szCs w:val="24"/>
        </w:rPr>
        <w:t xml:space="preserve"> has also filtered through the private sector allowing for greater comprehension </w:t>
      </w:r>
      <w:r w:rsidR="00E92283" w:rsidRPr="00762161">
        <w:rPr>
          <w:rFonts w:cs="Times New Roman"/>
          <w:szCs w:val="24"/>
        </w:rPr>
        <w:t xml:space="preserve">and understanding </w:t>
      </w:r>
      <w:r w:rsidRPr="00762161">
        <w:rPr>
          <w:rFonts w:cs="Times New Roman"/>
          <w:szCs w:val="24"/>
        </w:rPr>
        <w:t xml:space="preserve">of </w:t>
      </w:r>
      <w:r w:rsidR="009B608C" w:rsidRPr="00762161">
        <w:rPr>
          <w:rFonts w:cs="Times New Roman"/>
          <w:szCs w:val="24"/>
        </w:rPr>
        <w:t>the</w:t>
      </w:r>
      <w:r w:rsidRPr="00762161">
        <w:rPr>
          <w:rFonts w:cs="Times New Roman"/>
          <w:szCs w:val="24"/>
        </w:rPr>
        <w:t xml:space="preserve"> markets themselves as well as increased sophistication amongst investors, which in turn has helped markets to become even more efficient</w:t>
      </w:r>
      <w:r w:rsidR="003F61A1">
        <w:rPr>
          <w:rFonts w:cs="Times New Roman"/>
          <w:szCs w:val="24"/>
        </w:rPr>
        <w:t xml:space="preserve"> and somewhat of a self fulfilling prophecy</w:t>
      </w:r>
      <w:r w:rsidRPr="00762161">
        <w:rPr>
          <w:rFonts w:cs="Times New Roman"/>
          <w:szCs w:val="24"/>
        </w:rPr>
        <w:t>. As Ball (1995) explains, the theory and evidence o</w:t>
      </w:r>
      <w:r w:rsidR="00A84ECA">
        <w:rPr>
          <w:rFonts w:cs="Times New Roman"/>
          <w:szCs w:val="24"/>
        </w:rPr>
        <w:t>f market efficiency demonstrates</w:t>
      </w:r>
      <w:r w:rsidRPr="00762161">
        <w:rPr>
          <w:rFonts w:cs="Times New Roman"/>
          <w:szCs w:val="24"/>
        </w:rPr>
        <w:t xml:space="preserve"> that share price behaviour could be viewed as a</w:t>
      </w:r>
      <w:r w:rsidR="003F61A1">
        <w:rPr>
          <w:rFonts w:cs="Times New Roman"/>
          <w:szCs w:val="24"/>
        </w:rPr>
        <w:t xml:space="preserve"> rational economic phenomenon, which in turned helped make it quantifiable.</w:t>
      </w:r>
    </w:p>
    <w:p w:rsidR="002667CB" w:rsidRPr="00762161" w:rsidRDefault="002667CB" w:rsidP="002667CB">
      <w:pPr>
        <w:rPr>
          <w:rFonts w:cs="Times New Roman"/>
          <w:szCs w:val="24"/>
        </w:rPr>
      </w:pPr>
      <w:r w:rsidRPr="00762161">
        <w:rPr>
          <w:rFonts w:cs="Times New Roman"/>
          <w:szCs w:val="24"/>
        </w:rPr>
        <w:t xml:space="preserve">Kendall (1953) was one of the first authors to begin to document what was </w:t>
      </w:r>
      <w:r w:rsidR="009C3201" w:rsidRPr="00762161">
        <w:rPr>
          <w:rFonts w:cs="Times New Roman"/>
          <w:szCs w:val="24"/>
        </w:rPr>
        <w:t>to</w:t>
      </w:r>
      <w:r w:rsidR="002E73DC">
        <w:rPr>
          <w:rFonts w:cs="Times New Roman"/>
          <w:szCs w:val="24"/>
        </w:rPr>
        <w:t xml:space="preserve"> become the E</w:t>
      </w:r>
      <w:r w:rsidRPr="00762161">
        <w:rPr>
          <w:rFonts w:cs="Times New Roman"/>
          <w:szCs w:val="24"/>
        </w:rPr>
        <w:t xml:space="preserve">fficient </w:t>
      </w:r>
      <w:r w:rsidR="002E73DC">
        <w:rPr>
          <w:rFonts w:cs="Times New Roman"/>
          <w:szCs w:val="24"/>
        </w:rPr>
        <w:t>M</w:t>
      </w:r>
      <w:r w:rsidRPr="00762161">
        <w:rPr>
          <w:rFonts w:cs="Times New Roman"/>
          <w:szCs w:val="24"/>
        </w:rPr>
        <w:t xml:space="preserve">arket </w:t>
      </w:r>
      <w:r w:rsidR="002E73DC">
        <w:rPr>
          <w:rFonts w:cs="Times New Roman"/>
          <w:szCs w:val="24"/>
        </w:rPr>
        <w:t>H</w:t>
      </w:r>
      <w:r w:rsidRPr="00762161">
        <w:rPr>
          <w:rFonts w:cs="Times New Roman"/>
          <w:szCs w:val="24"/>
        </w:rPr>
        <w:t>ypothesis</w:t>
      </w:r>
      <w:r w:rsidR="00FE1744" w:rsidRPr="00762161">
        <w:rPr>
          <w:rFonts w:cs="Times New Roman"/>
          <w:szCs w:val="24"/>
        </w:rPr>
        <w:t xml:space="preserve"> (EMH)</w:t>
      </w:r>
      <w:r w:rsidRPr="00762161">
        <w:rPr>
          <w:rFonts w:cs="Times New Roman"/>
          <w:szCs w:val="24"/>
        </w:rPr>
        <w:t>. The author found that changes in the price of securities were statistically independent, and thus showed no reliance</w:t>
      </w:r>
      <w:r w:rsidR="007A41AD" w:rsidRPr="00762161">
        <w:rPr>
          <w:rFonts w:cs="Times New Roman"/>
          <w:szCs w:val="24"/>
        </w:rPr>
        <w:t xml:space="preserve"> on</w:t>
      </w:r>
      <w:r w:rsidRPr="00762161">
        <w:rPr>
          <w:rFonts w:cs="Times New Roman"/>
          <w:szCs w:val="24"/>
        </w:rPr>
        <w:t xml:space="preserve"> past history</w:t>
      </w:r>
      <w:r w:rsidR="00A84ECA">
        <w:rPr>
          <w:rFonts w:cs="Times New Roman"/>
          <w:szCs w:val="24"/>
        </w:rPr>
        <w:t>,</w:t>
      </w:r>
      <w:r w:rsidRPr="00762161">
        <w:rPr>
          <w:rFonts w:cs="Times New Roman"/>
          <w:szCs w:val="24"/>
        </w:rPr>
        <w:t xml:space="preserve"> and their relative frequencies were </w:t>
      </w:r>
      <w:r w:rsidR="003F61A1">
        <w:rPr>
          <w:rFonts w:cs="Times New Roman"/>
          <w:szCs w:val="24"/>
        </w:rPr>
        <w:t>quite</w:t>
      </w:r>
      <w:r w:rsidRPr="00762161">
        <w:rPr>
          <w:rFonts w:cs="Times New Roman"/>
          <w:szCs w:val="24"/>
        </w:rPr>
        <w:t xml:space="preserve"> st</w:t>
      </w:r>
      <w:r w:rsidR="0016529B" w:rsidRPr="00762161">
        <w:rPr>
          <w:rFonts w:cs="Times New Roman"/>
          <w:szCs w:val="24"/>
        </w:rPr>
        <w:t>able over time for each outcome</w:t>
      </w:r>
      <w:r w:rsidR="007A41AD" w:rsidRPr="00762161">
        <w:rPr>
          <w:rFonts w:cs="Times New Roman"/>
          <w:szCs w:val="24"/>
        </w:rPr>
        <w:t>,</w:t>
      </w:r>
      <w:r w:rsidRPr="00762161">
        <w:rPr>
          <w:rFonts w:cs="Times New Roman"/>
          <w:szCs w:val="24"/>
        </w:rPr>
        <w:t xml:space="preserve"> similar to that of the movement of a roulette wheel, which has no memory. Thus, once enough evidence to accurately estimate the relative frequencies (probabilities) of the various outcomes of the roulette wheel was </w:t>
      </w:r>
      <w:r w:rsidR="007A41AD" w:rsidRPr="00762161">
        <w:rPr>
          <w:rFonts w:cs="Times New Roman"/>
          <w:szCs w:val="24"/>
        </w:rPr>
        <w:t>gathered, forecasts c</w:t>
      </w:r>
      <w:r w:rsidRPr="00762161">
        <w:rPr>
          <w:rFonts w:cs="Times New Roman"/>
          <w:szCs w:val="24"/>
        </w:rPr>
        <w:t xml:space="preserve">ould be based solely on these relative frequencies while the pattern of the recent spins would be completely disregarded. The only role played by the recent spins is </w:t>
      </w:r>
      <w:r w:rsidR="00A84ECA">
        <w:rPr>
          <w:rFonts w:cs="Times New Roman"/>
          <w:szCs w:val="24"/>
        </w:rPr>
        <w:t>their</w:t>
      </w:r>
      <w:r w:rsidRPr="00762161">
        <w:rPr>
          <w:rFonts w:cs="Times New Roman"/>
          <w:szCs w:val="24"/>
        </w:rPr>
        <w:t xml:space="preserve"> contribution to a more precise estimation of the relative frequencies. </w:t>
      </w:r>
    </w:p>
    <w:p w:rsidR="002667CB" w:rsidRPr="00762161" w:rsidRDefault="002667CB" w:rsidP="00C5271E">
      <w:pPr>
        <w:rPr>
          <w:rFonts w:cs="Times New Roman"/>
          <w:szCs w:val="24"/>
        </w:rPr>
      </w:pPr>
      <w:r w:rsidRPr="00762161">
        <w:rPr>
          <w:rFonts w:cs="Times New Roman"/>
          <w:szCs w:val="24"/>
        </w:rPr>
        <w:t>The Chance Model</w:t>
      </w:r>
      <w:r w:rsidR="003E3F78" w:rsidRPr="00762161">
        <w:rPr>
          <w:rFonts w:cs="Times New Roman"/>
          <w:szCs w:val="24"/>
        </w:rPr>
        <w:t xml:space="preserve"> of Kendall (1953)</w:t>
      </w:r>
      <w:r w:rsidRPr="00762161">
        <w:rPr>
          <w:rFonts w:cs="Times New Roman"/>
          <w:szCs w:val="24"/>
        </w:rPr>
        <w:t xml:space="preserve"> requires independence, but does not impose restrictions on the relative frequencies or probabilities of various outcomes except that these remain stable over time. As long as the assumption of independence holds, a frequency distribution of past changes is sufficient to estimate these probabilities. </w:t>
      </w:r>
      <w:r w:rsidR="003E3F78" w:rsidRPr="00762161">
        <w:rPr>
          <w:rFonts w:cs="Times New Roman"/>
          <w:szCs w:val="24"/>
        </w:rPr>
        <w:t xml:space="preserve">Roberts (1959) found that the chance model in fact exhibited a similar spread to the Dow Jones Industrial Index, during the period December 1955 </w:t>
      </w:r>
      <w:r w:rsidR="003E3F78" w:rsidRPr="00762161">
        <w:rPr>
          <w:rFonts w:cs="Times New Roman"/>
          <w:szCs w:val="24"/>
        </w:rPr>
        <w:lastRenderedPageBreak/>
        <w:t>to December 1956, in multiple scenarios</w:t>
      </w:r>
      <w:r w:rsidR="007A41AD" w:rsidRPr="00762161">
        <w:rPr>
          <w:rFonts w:cs="Times New Roman"/>
          <w:szCs w:val="24"/>
        </w:rPr>
        <w:t xml:space="preserve"> as depicted by a 50% probability up down random event</w:t>
      </w:r>
      <w:r w:rsidR="003E3F78" w:rsidRPr="00762161">
        <w:rPr>
          <w:rFonts w:cs="Times New Roman"/>
          <w:szCs w:val="24"/>
        </w:rPr>
        <w:t>.</w:t>
      </w:r>
    </w:p>
    <w:p w:rsidR="00C5271E" w:rsidRPr="00762161" w:rsidRDefault="00C5271E" w:rsidP="00C5271E">
      <w:r w:rsidRPr="00762161">
        <w:t>The next step was to quantify</w:t>
      </w:r>
      <w:r w:rsidRPr="00762161">
        <w:rPr>
          <w:rFonts w:eastAsiaTheme="minorEastAsia"/>
        </w:rPr>
        <w:t xml:space="preserve"> the chance model relationship into fair game model which, as Fama (1970) explains, simply says that the conditions of market equilibrium can be stated in terms </w:t>
      </w:r>
      <w:r w:rsidR="003F61A1">
        <w:rPr>
          <w:rFonts w:eastAsiaTheme="minorEastAsia"/>
        </w:rPr>
        <w:t>of expec</w:t>
      </w:r>
      <w:r w:rsidR="00E300A2">
        <w:rPr>
          <w:rFonts w:eastAsiaTheme="minorEastAsia"/>
        </w:rPr>
        <w:t xml:space="preserve">ted returns, yet little is explained </w:t>
      </w:r>
      <w:r w:rsidRPr="00762161">
        <w:rPr>
          <w:rFonts w:eastAsiaTheme="minorEastAsia"/>
        </w:rPr>
        <w:t>about the details of the stochastic process generating returns.</w:t>
      </w:r>
      <w:r w:rsidR="0042379F" w:rsidRPr="00762161">
        <w:rPr>
          <w:rFonts w:eastAsiaTheme="minorEastAsia"/>
        </w:rPr>
        <w:t xml:space="preserve"> Fama (1991) </w:t>
      </w:r>
      <w:r w:rsidR="00E92283" w:rsidRPr="00762161">
        <w:rPr>
          <w:rFonts w:eastAsiaTheme="minorEastAsia"/>
        </w:rPr>
        <w:t>found that</w:t>
      </w:r>
      <w:r w:rsidR="0042379F" w:rsidRPr="00762161">
        <w:rPr>
          <w:rFonts w:eastAsiaTheme="minorEastAsia"/>
        </w:rPr>
        <w:t xml:space="preserve"> constant intertemporal expected returns</w:t>
      </w:r>
      <w:r w:rsidR="00E92283" w:rsidRPr="00762161">
        <w:rPr>
          <w:rFonts w:eastAsiaTheme="minorEastAsia"/>
        </w:rPr>
        <w:t xml:space="preserve"> should also fall within the conditions for market equilibrium. M</w:t>
      </w:r>
      <w:r w:rsidR="0042379F" w:rsidRPr="00762161">
        <w:rPr>
          <w:rFonts w:eastAsiaTheme="minorEastAsia"/>
        </w:rPr>
        <w:t xml:space="preserve">arket efficiency </w:t>
      </w:r>
      <w:r w:rsidR="00E92283" w:rsidRPr="00762161">
        <w:rPr>
          <w:rFonts w:eastAsiaTheme="minorEastAsia"/>
        </w:rPr>
        <w:t>therefore</w:t>
      </w:r>
      <w:r w:rsidR="0042379F" w:rsidRPr="00762161">
        <w:rPr>
          <w:rFonts w:eastAsiaTheme="minorEastAsia"/>
        </w:rPr>
        <w:t xml:space="preserve"> implies that returns are unpredictable on past returns or other past variables, and the optimal forecast of share price return</w:t>
      </w:r>
      <w:r w:rsidR="007A41AD" w:rsidRPr="00762161">
        <w:rPr>
          <w:rFonts w:eastAsiaTheme="minorEastAsia"/>
        </w:rPr>
        <w:t>s are their historical</w:t>
      </w:r>
      <w:r w:rsidR="0042379F" w:rsidRPr="00762161">
        <w:rPr>
          <w:rFonts w:eastAsiaTheme="minorEastAsia"/>
        </w:rPr>
        <w:t xml:space="preserve"> mean.</w:t>
      </w:r>
    </w:p>
    <w:p w:rsidR="00703E83" w:rsidRPr="00762161" w:rsidRDefault="00FE1744" w:rsidP="00703E83">
      <w:r w:rsidRPr="00762161">
        <w:t xml:space="preserve">The concept of efficient markets </w:t>
      </w:r>
      <w:r w:rsidR="00793120" w:rsidRPr="00762161">
        <w:t>was finally clarified by</w:t>
      </w:r>
      <w:r w:rsidRPr="00762161">
        <w:t xml:space="preserve"> Fama </w:t>
      </w:r>
      <w:r w:rsidR="00793120" w:rsidRPr="00762161">
        <w:t>in 1970 who</w:t>
      </w:r>
      <w:r w:rsidRPr="00762161">
        <w:t xml:space="preserve"> </w:t>
      </w:r>
      <w:r w:rsidR="00793120" w:rsidRPr="00762161">
        <w:t>put forward</w:t>
      </w:r>
      <w:r w:rsidR="006004A7" w:rsidRPr="00762161">
        <w:t xml:space="preserve"> that</w:t>
      </w:r>
      <w:r w:rsidRPr="00762161">
        <w:t xml:space="preserve"> the idea of efficient markets, or fair chance markets, </w:t>
      </w:r>
      <w:r w:rsidR="006004A7" w:rsidRPr="00762161">
        <w:t>and</w:t>
      </w:r>
      <w:r w:rsidRPr="00762161">
        <w:t xml:space="preserve"> their ability to fully reflect all available information </w:t>
      </w:r>
      <w:r w:rsidR="00367E23" w:rsidRPr="00762161">
        <w:t>was previously</w:t>
      </w:r>
      <w:r w:rsidRPr="00762161">
        <w:t xml:space="preserve"> incredibly vague. There was a need to quantify the relationship by testing </w:t>
      </w:r>
      <w:r w:rsidR="00E92283" w:rsidRPr="00762161">
        <w:t>if</w:t>
      </w:r>
      <w:r w:rsidRPr="00762161">
        <w:t xml:space="preserve"> the markets fully reflect</w:t>
      </w:r>
      <w:r w:rsidR="00E92283" w:rsidRPr="00762161">
        <w:t>ed</w:t>
      </w:r>
      <w:r w:rsidR="00C2024E" w:rsidRPr="00762161">
        <w:t xml:space="preserve"> all</w:t>
      </w:r>
      <w:r w:rsidRPr="00762161">
        <w:t xml:space="preserve"> </w:t>
      </w:r>
      <w:r w:rsidR="00E92283" w:rsidRPr="00762161">
        <w:t xml:space="preserve">incoming </w:t>
      </w:r>
      <w:r w:rsidRPr="00762161">
        <w:t>information. T</w:t>
      </w:r>
      <w:r w:rsidR="001914FB" w:rsidRPr="00762161">
        <w:t xml:space="preserve">he author explains that the primary role of the capital market is </w:t>
      </w:r>
      <w:r w:rsidR="00C2024E" w:rsidRPr="00762161">
        <w:t xml:space="preserve">the </w:t>
      </w:r>
      <w:r w:rsidR="001914FB" w:rsidRPr="00762161">
        <w:t>allocation of ownership of the economy’s capital stock. The ideal and most efficient market is one in which firms can make production investment decisions, and investors can choose among the securities that represent ownership of firms</w:t>
      </w:r>
      <w:r w:rsidR="00A84ECA">
        <w:t>’</w:t>
      </w:r>
      <w:r w:rsidR="001914FB" w:rsidRPr="00762161">
        <w:t xml:space="preserve"> activities under the assumption that security prices at any time fully reflect all available information.</w:t>
      </w:r>
      <w:r w:rsidR="00703E83" w:rsidRPr="00762161">
        <w:t xml:space="preserve"> Shiller (</w:t>
      </w:r>
      <w:r w:rsidR="002313F2" w:rsidRPr="00762161">
        <w:t>2003</w:t>
      </w:r>
      <w:r w:rsidR="00703E83" w:rsidRPr="00762161">
        <w:t xml:space="preserve">) claims that aggregate stock prices do not comply with the efficient market </w:t>
      </w:r>
      <w:r w:rsidR="00634027" w:rsidRPr="00762161">
        <w:t>theory;</w:t>
      </w:r>
      <w:r w:rsidR="00703E83" w:rsidRPr="00762161">
        <w:t xml:space="preserve"> however individual stock</w:t>
      </w:r>
      <w:r w:rsidR="00A84ECA">
        <w:t>s</w:t>
      </w:r>
      <w:r w:rsidR="00703E83" w:rsidRPr="00762161">
        <w:t xml:space="preserve"> do show some correspondence.</w:t>
      </w:r>
    </w:p>
    <w:p w:rsidR="007A41AD" w:rsidRPr="00762161" w:rsidRDefault="007A41AD" w:rsidP="007A41AD">
      <w:pPr>
        <w:spacing w:before="480"/>
        <w:rPr>
          <w:szCs w:val="24"/>
        </w:rPr>
      </w:pPr>
      <w:r w:rsidRPr="00762161">
        <w:t xml:space="preserve">The </w:t>
      </w:r>
      <w:r w:rsidR="00367E23" w:rsidRPr="00762161">
        <w:t>notion</w:t>
      </w:r>
      <w:r w:rsidRPr="00762161">
        <w:t xml:space="preserve"> of market efficiency is a core concept to this paper. For suitable information to be portrayed in the share price, such that it has the ability to act as a leading indicator for major economic variables, the market must have a necessary level of efficiency. Fischer &amp; Merton (1984) aptly explain that in a well functioning and rational stock market, changes in stock prices will echo the expectations and market sentiment about future corporate earnings and changes in </w:t>
      </w:r>
      <w:r w:rsidRPr="00762161">
        <w:lastRenderedPageBreak/>
        <w:t>the discount rate at which these expected earnings are capitalised. The forward looking nature of stock prices would, therefore, appear to qualify the stock market as a predictor of the business cycle. If the information, reflected in stock prices is of high quality then stock prices should provide very accurate predictions. The authors also found that the stock market</w:t>
      </w:r>
      <w:r w:rsidR="00A84ECA">
        <w:t>’</w:t>
      </w:r>
      <w:r w:rsidRPr="00762161">
        <w:t xml:space="preserve">s forecasting ability can be traced to the fact that stock prices lead the GNP components, investment and consumption. </w:t>
      </w:r>
      <w:r w:rsidRPr="00762161">
        <w:rPr>
          <w:szCs w:val="24"/>
        </w:rPr>
        <w:t>The correlation between changes in current stock prices and future changes in GNP arises from the market</w:t>
      </w:r>
      <w:r w:rsidR="00A84ECA">
        <w:rPr>
          <w:szCs w:val="24"/>
        </w:rPr>
        <w:t>’</w:t>
      </w:r>
      <w:r w:rsidRPr="00762161">
        <w:rPr>
          <w:szCs w:val="24"/>
        </w:rPr>
        <w:t xml:space="preserve">s attempt to forecast future earnings, which are correlated with GNP. </w:t>
      </w:r>
    </w:p>
    <w:p w:rsidR="000A6385" w:rsidRPr="00762161" w:rsidRDefault="000A6385" w:rsidP="000A6385">
      <w:pPr>
        <w:spacing w:before="480"/>
      </w:pPr>
      <w:r w:rsidRPr="00762161">
        <w:rPr>
          <w:szCs w:val="24"/>
        </w:rPr>
        <w:t xml:space="preserve">Taking into account this study’s variables, Kaul (1987) states that the positive relation between stock return and real activity should be found in all countries given that the stock market located within the specific country is an efficient capital market. However, </w:t>
      </w:r>
      <w:r w:rsidRPr="00762161">
        <w:t>Choi, Hauser, &amp; Kopecky (1999) find that there are fewer instances in which the information available in stock market prices can be shown to provide significant additional insight into the future movements of industrial production.</w:t>
      </w:r>
    </w:p>
    <w:p w:rsidR="00975AF0" w:rsidRPr="00762161" w:rsidRDefault="00975AF0" w:rsidP="001914FB"/>
    <w:p w:rsidR="00975AF0" w:rsidRPr="00762161" w:rsidRDefault="00975AF0" w:rsidP="00975AF0">
      <w:pPr>
        <w:pStyle w:val="ListParagraph"/>
        <w:keepNext/>
        <w:keepLines/>
        <w:numPr>
          <w:ilvl w:val="0"/>
          <w:numId w:val="32"/>
        </w:numPr>
        <w:spacing w:before="200"/>
        <w:contextualSpacing w:val="0"/>
        <w:outlineLvl w:val="1"/>
        <w:rPr>
          <w:rFonts w:asciiTheme="majorHAnsi" w:eastAsiaTheme="majorEastAsia" w:hAnsiTheme="majorHAnsi" w:cstheme="majorBidi"/>
          <w:b/>
          <w:bCs/>
          <w:vanish/>
          <w:color w:val="4F81BD" w:themeColor="accent1"/>
          <w:sz w:val="26"/>
          <w:szCs w:val="26"/>
        </w:rPr>
      </w:pPr>
      <w:bookmarkStart w:id="13" w:name="_Toc283473714"/>
      <w:bookmarkStart w:id="14" w:name="_Toc283549266"/>
      <w:bookmarkStart w:id="15" w:name="_Toc283572389"/>
      <w:bookmarkStart w:id="16" w:name="_Toc283809011"/>
      <w:bookmarkStart w:id="17" w:name="_Toc285272496"/>
      <w:bookmarkStart w:id="18" w:name="_Toc285273823"/>
      <w:bookmarkStart w:id="19" w:name="_Toc285274045"/>
      <w:bookmarkStart w:id="20" w:name="_Toc286584781"/>
      <w:bookmarkStart w:id="21" w:name="_Toc286603493"/>
      <w:bookmarkStart w:id="22" w:name="_Toc286616284"/>
      <w:bookmarkEnd w:id="13"/>
      <w:bookmarkEnd w:id="14"/>
      <w:bookmarkEnd w:id="15"/>
      <w:bookmarkEnd w:id="16"/>
      <w:bookmarkEnd w:id="17"/>
      <w:bookmarkEnd w:id="18"/>
      <w:bookmarkEnd w:id="19"/>
      <w:bookmarkEnd w:id="20"/>
      <w:bookmarkEnd w:id="21"/>
      <w:bookmarkEnd w:id="22"/>
    </w:p>
    <w:p w:rsidR="00975AF0" w:rsidRPr="00762161" w:rsidRDefault="00975AF0" w:rsidP="00975AF0">
      <w:pPr>
        <w:pStyle w:val="ListParagraph"/>
        <w:keepNext/>
        <w:keepLines/>
        <w:numPr>
          <w:ilvl w:val="0"/>
          <w:numId w:val="32"/>
        </w:numPr>
        <w:spacing w:before="200"/>
        <w:contextualSpacing w:val="0"/>
        <w:outlineLvl w:val="1"/>
        <w:rPr>
          <w:rFonts w:asciiTheme="majorHAnsi" w:eastAsiaTheme="majorEastAsia" w:hAnsiTheme="majorHAnsi" w:cstheme="majorBidi"/>
          <w:b/>
          <w:bCs/>
          <w:vanish/>
          <w:color w:val="4F81BD" w:themeColor="accent1"/>
          <w:sz w:val="26"/>
          <w:szCs w:val="26"/>
        </w:rPr>
      </w:pPr>
      <w:bookmarkStart w:id="23" w:name="_Toc283473715"/>
      <w:bookmarkStart w:id="24" w:name="_Toc283549267"/>
      <w:bookmarkStart w:id="25" w:name="_Toc283572390"/>
      <w:bookmarkStart w:id="26" w:name="_Toc283809012"/>
      <w:bookmarkStart w:id="27" w:name="_Toc285272497"/>
      <w:bookmarkStart w:id="28" w:name="_Toc285273824"/>
      <w:bookmarkStart w:id="29" w:name="_Toc285274046"/>
      <w:bookmarkStart w:id="30" w:name="_Toc286584782"/>
      <w:bookmarkStart w:id="31" w:name="_Toc286603494"/>
      <w:bookmarkStart w:id="32" w:name="_Toc286616285"/>
      <w:bookmarkEnd w:id="23"/>
      <w:bookmarkEnd w:id="24"/>
      <w:bookmarkEnd w:id="25"/>
      <w:bookmarkEnd w:id="26"/>
      <w:bookmarkEnd w:id="27"/>
      <w:bookmarkEnd w:id="28"/>
      <w:bookmarkEnd w:id="29"/>
      <w:bookmarkEnd w:id="30"/>
      <w:bookmarkEnd w:id="31"/>
      <w:bookmarkEnd w:id="32"/>
    </w:p>
    <w:p w:rsidR="00975AF0" w:rsidRPr="00762161" w:rsidRDefault="00975AF0" w:rsidP="00975AF0">
      <w:pPr>
        <w:pStyle w:val="ListParagraph"/>
        <w:keepNext/>
        <w:keepLines/>
        <w:numPr>
          <w:ilvl w:val="0"/>
          <w:numId w:val="32"/>
        </w:numPr>
        <w:spacing w:before="200"/>
        <w:contextualSpacing w:val="0"/>
        <w:outlineLvl w:val="1"/>
        <w:rPr>
          <w:rFonts w:asciiTheme="majorHAnsi" w:eastAsiaTheme="majorEastAsia" w:hAnsiTheme="majorHAnsi" w:cstheme="majorBidi"/>
          <w:b/>
          <w:bCs/>
          <w:vanish/>
          <w:color w:val="4F81BD" w:themeColor="accent1"/>
          <w:sz w:val="26"/>
          <w:szCs w:val="26"/>
        </w:rPr>
      </w:pPr>
      <w:bookmarkStart w:id="33" w:name="_Toc283473716"/>
      <w:bookmarkStart w:id="34" w:name="_Toc283549268"/>
      <w:bookmarkStart w:id="35" w:name="_Toc283572391"/>
      <w:bookmarkStart w:id="36" w:name="_Toc283809013"/>
      <w:bookmarkStart w:id="37" w:name="_Toc285272498"/>
      <w:bookmarkStart w:id="38" w:name="_Toc285273825"/>
      <w:bookmarkStart w:id="39" w:name="_Toc285274047"/>
      <w:bookmarkStart w:id="40" w:name="_Toc286584783"/>
      <w:bookmarkStart w:id="41" w:name="_Toc286603495"/>
      <w:bookmarkStart w:id="42" w:name="_Toc286616286"/>
      <w:bookmarkEnd w:id="33"/>
      <w:bookmarkEnd w:id="34"/>
      <w:bookmarkEnd w:id="35"/>
      <w:bookmarkEnd w:id="36"/>
      <w:bookmarkEnd w:id="37"/>
      <w:bookmarkEnd w:id="38"/>
      <w:bookmarkEnd w:id="39"/>
      <w:bookmarkEnd w:id="40"/>
      <w:bookmarkEnd w:id="41"/>
      <w:bookmarkEnd w:id="42"/>
    </w:p>
    <w:p w:rsidR="00975AF0" w:rsidRPr="00762161" w:rsidRDefault="00975AF0" w:rsidP="001F7826">
      <w:pPr>
        <w:pStyle w:val="Heading2"/>
        <w:numPr>
          <w:ilvl w:val="1"/>
          <w:numId w:val="32"/>
        </w:numPr>
        <w:ind w:left="810" w:hanging="450"/>
      </w:pPr>
      <w:bookmarkStart w:id="43" w:name="_Toc286616287"/>
      <w:r w:rsidRPr="00762161">
        <w:t>Forms of Market Efficiency</w:t>
      </w:r>
      <w:bookmarkEnd w:id="43"/>
    </w:p>
    <w:p w:rsidR="001914FB" w:rsidRPr="00762161" w:rsidRDefault="00D128D8" w:rsidP="001914FB">
      <w:r w:rsidRPr="00762161">
        <w:t xml:space="preserve">The concept of market efficiency, as Ball (1995) puts it, is the idea that investors will compete </w:t>
      </w:r>
      <w:r w:rsidR="00E300A2">
        <w:t>through</w:t>
      </w:r>
      <w:r w:rsidRPr="00762161">
        <w:t xml:space="preserve"> the use of public information</w:t>
      </w:r>
      <w:r w:rsidR="001C69CB" w:rsidRPr="00762161">
        <w:t>,</w:t>
      </w:r>
      <w:r w:rsidR="00020EFC" w:rsidRPr="00762161">
        <w:t xml:space="preserve"> consequently</w:t>
      </w:r>
      <w:r w:rsidRPr="00762161">
        <w:t xml:space="preserve"> bid</w:t>
      </w:r>
      <w:r w:rsidR="00020EFC" w:rsidRPr="00762161">
        <w:t>ding</w:t>
      </w:r>
      <w:r w:rsidRPr="00762161">
        <w:t xml:space="preserve"> away the value for earning additional returns. This</w:t>
      </w:r>
      <w:r w:rsidR="00020EFC" w:rsidRPr="00762161">
        <w:t xml:space="preserve"> behaviour</w:t>
      </w:r>
      <w:r w:rsidRPr="00762161">
        <w:t xml:space="preserve"> quickly incorporates all publically available information into prices. </w:t>
      </w:r>
      <w:r w:rsidR="001914FB" w:rsidRPr="00762161">
        <w:t xml:space="preserve">Fama (1970) breaks the problem of EMH into three key components: </w:t>
      </w:r>
    </w:p>
    <w:p w:rsidR="00A84ECA" w:rsidRPr="00762161" w:rsidRDefault="00A84ECA" w:rsidP="00A84ECA">
      <w:pPr>
        <w:pStyle w:val="ListParagraph"/>
        <w:numPr>
          <w:ilvl w:val="0"/>
          <w:numId w:val="20"/>
        </w:numPr>
      </w:pPr>
      <w:r w:rsidRPr="00762161">
        <w:t xml:space="preserve">Strong form is </w:t>
      </w:r>
      <w:r>
        <w:t>which c</w:t>
      </w:r>
      <w:r w:rsidRPr="00762161">
        <w:t>oncerned with whether given investors or groups have monopolistic access to any information relevant for price formation.</w:t>
      </w:r>
    </w:p>
    <w:p w:rsidR="00A84ECA" w:rsidRPr="00762161" w:rsidRDefault="00A84ECA" w:rsidP="00A84ECA">
      <w:pPr>
        <w:pStyle w:val="ListParagraph"/>
        <w:numPr>
          <w:ilvl w:val="0"/>
          <w:numId w:val="20"/>
        </w:numPr>
      </w:pPr>
      <w:r w:rsidRPr="00762161">
        <w:lastRenderedPageBreak/>
        <w:t>Semi strong form, in which the concern is whether prices efficiently adjust to other information that is publically available.</w:t>
      </w:r>
    </w:p>
    <w:p w:rsidR="001914FB" w:rsidRPr="00762161" w:rsidRDefault="001914FB" w:rsidP="001914FB">
      <w:pPr>
        <w:pStyle w:val="ListParagraph"/>
        <w:numPr>
          <w:ilvl w:val="0"/>
          <w:numId w:val="20"/>
        </w:numPr>
      </w:pPr>
      <w:r w:rsidRPr="00762161">
        <w:t xml:space="preserve">Weak form, in which the information </w:t>
      </w:r>
      <w:r w:rsidR="00A84ECA" w:rsidRPr="00762161">
        <w:t>set,</w:t>
      </w:r>
      <w:r w:rsidRPr="00762161">
        <w:t xml:space="preserve"> is just</w:t>
      </w:r>
      <w:r w:rsidR="001C69CB" w:rsidRPr="00762161">
        <w:t xml:space="preserve"> the</w:t>
      </w:r>
      <w:r w:rsidRPr="00762161">
        <w:t xml:space="preserve"> historical prices.</w:t>
      </w:r>
    </w:p>
    <w:p w:rsidR="002313F2" w:rsidRPr="00762161" w:rsidRDefault="00C5271E" w:rsidP="002313F2">
      <w:pPr>
        <w:rPr>
          <w:rFonts w:eastAsiaTheme="minorEastAsia"/>
        </w:rPr>
      </w:pPr>
      <w:r w:rsidRPr="00762161">
        <w:rPr>
          <w:szCs w:val="24"/>
        </w:rPr>
        <w:t xml:space="preserve">Another important </w:t>
      </w:r>
      <w:r w:rsidR="001C69CB" w:rsidRPr="00762161">
        <w:rPr>
          <w:szCs w:val="24"/>
        </w:rPr>
        <w:t>feature</w:t>
      </w:r>
      <w:r w:rsidRPr="00762161">
        <w:rPr>
          <w:szCs w:val="24"/>
        </w:rPr>
        <w:t xml:space="preserve"> which Fama (1970) simplifies is the random walk hypothesis</w:t>
      </w:r>
      <w:r w:rsidR="00E300A2">
        <w:rPr>
          <w:szCs w:val="24"/>
        </w:rPr>
        <w:t xml:space="preserve"> (weak form efficiency)</w:t>
      </w:r>
      <w:r w:rsidRPr="00762161">
        <w:rPr>
          <w:szCs w:val="24"/>
        </w:rPr>
        <w:t xml:space="preserve">. </w:t>
      </w:r>
      <w:r w:rsidRPr="00762161">
        <w:rPr>
          <w:rFonts w:eastAsiaTheme="minorEastAsia"/>
        </w:rPr>
        <w:t xml:space="preserve">It is best to regard the random walk model as an extension of the general expected return or fair game efficient markets model in the sense of making a more detailed statement about the economic environment. </w:t>
      </w:r>
      <w:r w:rsidR="00D70126" w:rsidRPr="00762161">
        <w:rPr>
          <w:rFonts w:eastAsiaTheme="minorEastAsia"/>
        </w:rPr>
        <w:t xml:space="preserve">Jensen </w:t>
      </w:r>
      <w:r w:rsidR="00345030">
        <w:rPr>
          <w:rFonts w:eastAsiaTheme="minorEastAsia"/>
        </w:rPr>
        <w:t>&amp;</w:t>
      </w:r>
      <w:r w:rsidR="00D70126" w:rsidRPr="00762161">
        <w:rPr>
          <w:rFonts w:eastAsiaTheme="minorEastAsia"/>
        </w:rPr>
        <w:t xml:space="preserve"> Benington (1970) states that the random walk theory of security price behaviour implies that stock market trading rules</w:t>
      </w:r>
      <w:r w:rsidR="00A84ECA">
        <w:rPr>
          <w:rFonts w:eastAsiaTheme="minorEastAsia"/>
        </w:rPr>
        <w:t>,</w:t>
      </w:r>
      <w:r w:rsidR="00D70126" w:rsidRPr="00762161">
        <w:rPr>
          <w:rFonts w:eastAsiaTheme="minorEastAsia"/>
        </w:rPr>
        <w:t xml:space="preserve"> based entirely on the past price series</w:t>
      </w:r>
      <w:r w:rsidR="00A84ECA">
        <w:rPr>
          <w:rFonts w:eastAsiaTheme="minorEastAsia"/>
        </w:rPr>
        <w:t>,</w:t>
      </w:r>
      <w:r w:rsidR="00D70126" w:rsidRPr="00762161">
        <w:rPr>
          <w:rFonts w:eastAsiaTheme="minorEastAsia"/>
        </w:rPr>
        <w:t xml:space="preserve"> cannot earn returns higher than those generated by a simple buy and hold policy.</w:t>
      </w:r>
    </w:p>
    <w:p w:rsidR="003609B4" w:rsidRPr="00762161" w:rsidRDefault="00E300A2" w:rsidP="003609B4">
      <w:pPr>
        <w:rPr>
          <w:szCs w:val="24"/>
        </w:rPr>
      </w:pPr>
      <w:r>
        <w:rPr>
          <w:szCs w:val="24"/>
        </w:rPr>
        <w:t xml:space="preserve">From a historical viewpoint, </w:t>
      </w:r>
      <w:r w:rsidR="003609B4" w:rsidRPr="00762161">
        <w:rPr>
          <w:szCs w:val="24"/>
        </w:rPr>
        <w:t>EMH became the accepted theory in the early 1970’s. Markets were consider</w:t>
      </w:r>
      <w:r w:rsidR="00A84ECA">
        <w:rPr>
          <w:szCs w:val="24"/>
        </w:rPr>
        <w:t>ed to be remarkably efficient</w:t>
      </w:r>
      <w:r w:rsidR="003609B4" w:rsidRPr="00762161">
        <w:rPr>
          <w:szCs w:val="24"/>
        </w:rPr>
        <w:t xml:space="preserve"> due to historical prices not being an accurate measure of prediction for future price movements and stock prices incorporating all fundamental information on a timely basis</w:t>
      </w:r>
      <w:r w:rsidR="00020EFC" w:rsidRPr="00762161">
        <w:rPr>
          <w:szCs w:val="24"/>
        </w:rPr>
        <w:t>. T</w:t>
      </w:r>
      <w:r w:rsidR="003609B4" w:rsidRPr="00762161">
        <w:rPr>
          <w:szCs w:val="24"/>
        </w:rPr>
        <w:t xml:space="preserve">his allowed uninformed investors to potentially earn the same return as their informed counterparts. Cracks </w:t>
      </w:r>
      <w:r w:rsidR="001C69CB" w:rsidRPr="00762161">
        <w:rPr>
          <w:szCs w:val="24"/>
        </w:rPr>
        <w:t xml:space="preserve">began to emerge </w:t>
      </w:r>
      <w:r w:rsidR="003609B4" w:rsidRPr="00762161">
        <w:rPr>
          <w:szCs w:val="24"/>
        </w:rPr>
        <w:t>in the 1980’s. Empirical studies began to show that returns were in fact not independent of one another and strong positive correlation began to emerge. Seasonal and day-of-the-week patterns started to come into view (Malkiel, 1995). Yet, Malkiel (2003) still advocates that markets are efficient</w:t>
      </w:r>
      <w:r w:rsidR="001C69CB" w:rsidRPr="00762161">
        <w:rPr>
          <w:szCs w:val="24"/>
        </w:rPr>
        <w:t>,</w:t>
      </w:r>
      <w:r w:rsidR="003609B4" w:rsidRPr="00762161">
        <w:rPr>
          <w:szCs w:val="24"/>
        </w:rPr>
        <w:t xml:space="preserve"> </w:t>
      </w:r>
      <w:r w:rsidR="001C69CB" w:rsidRPr="00762161">
        <w:rPr>
          <w:szCs w:val="24"/>
        </w:rPr>
        <w:t>and</w:t>
      </w:r>
      <w:r w:rsidR="003609B4" w:rsidRPr="00762161">
        <w:rPr>
          <w:szCs w:val="24"/>
        </w:rPr>
        <w:t xml:space="preserve"> information is generally reflected in stock prices </w:t>
      </w:r>
      <w:r w:rsidR="00A84ECA">
        <w:rPr>
          <w:szCs w:val="24"/>
        </w:rPr>
        <w:t>immediately.</w:t>
      </w:r>
    </w:p>
    <w:p w:rsidR="00B75216" w:rsidRPr="00762161" w:rsidRDefault="00B75216" w:rsidP="001014E7">
      <w:r w:rsidRPr="00762161">
        <w:t>Fama (1970) empirically divided the EMH study into the three</w:t>
      </w:r>
      <w:r w:rsidR="00E300A2">
        <w:t>,</w:t>
      </w:r>
      <w:r w:rsidRPr="00762161">
        <w:t xml:space="preserve"> previously mentioned</w:t>
      </w:r>
      <w:r w:rsidR="00E300A2">
        <w:t>,</w:t>
      </w:r>
      <w:r w:rsidRPr="00762161">
        <w:t xml:space="preserve"> categories depending on the nature of the information subset of interest.</w:t>
      </w:r>
    </w:p>
    <w:p w:rsidR="00FA11F4" w:rsidRPr="00762161" w:rsidRDefault="00B75216" w:rsidP="001014E7">
      <w:pPr>
        <w:pStyle w:val="ListParagraph"/>
        <w:numPr>
          <w:ilvl w:val="0"/>
          <w:numId w:val="27"/>
        </w:numPr>
      </w:pPr>
      <w:r w:rsidRPr="00762161">
        <w:t xml:space="preserve">Strong form tests are essentially concerned with whether individual investors or groups have monopolistic access to any information relevant to price formation. </w:t>
      </w:r>
    </w:p>
    <w:p w:rsidR="00B75216" w:rsidRPr="00762161" w:rsidRDefault="00B75216" w:rsidP="00FA11F4">
      <w:pPr>
        <w:ind w:left="360"/>
      </w:pPr>
      <w:r w:rsidRPr="00762161">
        <w:lastRenderedPageBreak/>
        <w:t>One would not expect such an extreme model to be an exact description of the world, and it is probably best viewed as a benchmark against which the importance of deviations from market efficiency can be judged. Niederhoffer &amp; Osborne (1966) found that specialists</w:t>
      </w:r>
      <w:r w:rsidR="00B051F2">
        <w:t xml:space="preserve"> </w:t>
      </w:r>
      <w:r w:rsidRPr="00762161">
        <w:t xml:space="preserve">apparently use their monopolistic access to information concerning unfilled limit orders to generate </w:t>
      </w:r>
      <w:r w:rsidR="001C69CB" w:rsidRPr="00762161">
        <w:t>monopolistic</w:t>
      </w:r>
      <w:r w:rsidRPr="00762161">
        <w:t xml:space="preserve"> profits. The author finds this a complete contradiction of the strong form EMH. Additionally, Scholes (1969) finds that, not unexpectedly, corporate insiders often have monopolistic access to information about their firms.</w:t>
      </w:r>
      <w:r w:rsidR="001014E7" w:rsidRPr="00762161">
        <w:t xml:space="preserve"> Therefore the hypothesis of strong form efficiency is refuted due to substantial evidence against it.</w:t>
      </w:r>
    </w:p>
    <w:p w:rsidR="00FA11F4" w:rsidRPr="00762161" w:rsidRDefault="00B75216" w:rsidP="001014E7">
      <w:pPr>
        <w:pStyle w:val="ListParagraph"/>
        <w:numPr>
          <w:ilvl w:val="0"/>
          <w:numId w:val="27"/>
        </w:numPr>
      </w:pPr>
      <w:r w:rsidRPr="00762161">
        <w:t>In semi strong tests the information subset of interest includes all obviously publically available information.</w:t>
      </w:r>
      <w:r w:rsidR="001014E7" w:rsidRPr="00762161">
        <w:t xml:space="preserve"> </w:t>
      </w:r>
    </w:p>
    <w:p w:rsidR="00B75216" w:rsidRPr="00762161" w:rsidRDefault="001014E7" w:rsidP="00FA11F4">
      <w:pPr>
        <w:ind w:left="360"/>
      </w:pPr>
      <w:r w:rsidRPr="00762161">
        <w:rPr>
          <w:szCs w:val="24"/>
        </w:rPr>
        <w:t xml:space="preserve">Fama, Fisher, Jensen &amp; Roll’s (1969) </w:t>
      </w:r>
      <w:r w:rsidR="00B75216" w:rsidRPr="00762161">
        <w:t>find that the information in stock splits concerning the firm’s future dividend payments is on average fully reflected in the price of a split share at the time of the split.</w:t>
      </w:r>
      <w:r w:rsidRPr="00762161">
        <w:t xml:space="preserve"> </w:t>
      </w:r>
      <w:r w:rsidR="00B75216" w:rsidRPr="00762161">
        <w:t xml:space="preserve">Ball </w:t>
      </w:r>
      <w:r w:rsidR="00B051F2">
        <w:t>&amp;</w:t>
      </w:r>
      <w:r w:rsidR="00B75216" w:rsidRPr="00762161">
        <w:t xml:space="preserve"> Brown (1968) and Scholes (1969) come to similar conclusions with respect to the information contained in (i) annual earnings announcements by firms and (ii) new issues and large block secondary issues of common stock.</w:t>
      </w:r>
      <w:r w:rsidRPr="00762161">
        <w:t xml:space="preserve"> Fama (1970) also reaches similar </w:t>
      </w:r>
      <w:r w:rsidR="00FE7E01" w:rsidRPr="00762161">
        <w:t>conclusions</w:t>
      </w:r>
      <w:r w:rsidRPr="00762161">
        <w:t>.</w:t>
      </w:r>
    </w:p>
    <w:p w:rsidR="00E716FC" w:rsidRPr="00762161" w:rsidRDefault="00E716FC" w:rsidP="00FA11F4">
      <w:pPr>
        <w:ind w:left="360"/>
      </w:pPr>
      <w:r w:rsidRPr="00762161">
        <w:t xml:space="preserve">Ball &amp; Brown (1968) evaluated the speed at which the market incorporates earnings announcements into stock prices. The authors found that the market had already anticipated close to 80% of the initial shock factor in annual earnings by the time that earnings were announced. The authors did find some upward drift following the announcements of earnings increases and small downward movements following decreases. The six month period following the announcement was analysed and investor returns, from holding stocks of firms with unexpected </w:t>
      </w:r>
      <w:r w:rsidR="00AE4774">
        <w:t>Earnings per Share (</w:t>
      </w:r>
      <w:r w:rsidRPr="00762161">
        <w:t>EPS</w:t>
      </w:r>
      <w:r w:rsidR="00AE4774">
        <w:t>)</w:t>
      </w:r>
      <w:r w:rsidRPr="00762161">
        <w:t xml:space="preserve"> increases and those with decreases, were close to zero. The authors conclude that the stock prices had incorporated the information released in </w:t>
      </w:r>
      <w:r w:rsidRPr="00762161">
        <w:lastRenderedPageBreak/>
        <w:t>annual earnings reports, such that future opportunities to profit from the news had been almost completely eliminated</w:t>
      </w:r>
      <w:r w:rsidR="00A33D5E" w:rsidRPr="00762161">
        <w:t>.</w:t>
      </w:r>
    </w:p>
    <w:p w:rsidR="00FA11F4" w:rsidRPr="00762161" w:rsidRDefault="00B75216" w:rsidP="001014E7">
      <w:pPr>
        <w:pStyle w:val="ListParagraph"/>
        <w:numPr>
          <w:ilvl w:val="0"/>
          <w:numId w:val="27"/>
        </w:numPr>
      </w:pPr>
      <w:r w:rsidRPr="00762161">
        <w:t>While in the weak form tests the information subset is just</w:t>
      </w:r>
      <w:r w:rsidR="001C69CB" w:rsidRPr="00762161">
        <w:t xml:space="preserve"> the</w:t>
      </w:r>
      <w:r w:rsidRPr="00762161">
        <w:t xml:space="preserve"> historical price or return sequences.</w:t>
      </w:r>
      <w:r w:rsidR="001014E7" w:rsidRPr="00762161">
        <w:t xml:space="preserve"> </w:t>
      </w:r>
    </w:p>
    <w:p w:rsidR="00022E02" w:rsidRDefault="001014E7" w:rsidP="00D11599">
      <w:pPr>
        <w:ind w:left="360"/>
        <w:rPr>
          <w:rFonts w:eastAsiaTheme="minorEastAsia"/>
        </w:rPr>
      </w:pPr>
      <w:r w:rsidRPr="00762161">
        <w:t>Fama (1970) finds</w:t>
      </w:r>
      <w:r w:rsidR="00B75216" w:rsidRPr="00762161">
        <w:t xml:space="preserve"> empirical results </w:t>
      </w:r>
      <w:r w:rsidRPr="00762161">
        <w:t xml:space="preserve">that </w:t>
      </w:r>
      <w:r w:rsidR="00B75216" w:rsidRPr="00762161">
        <w:t>are mostly in support</w:t>
      </w:r>
      <w:r w:rsidR="005A0646">
        <w:t xml:space="preserve"> of weak form efficiency</w:t>
      </w:r>
      <w:r w:rsidR="00A84ECA">
        <w:t xml:space="preserve"> and</w:t>
      </w:r>
      <w:r w:rsidR="00B75216" w:rsidRPr="00762161">
        <w:t xml:space="preserve"> included in this</w:t>
      </w:r>
      <w:r w:rsidR="00A84ECA">
        <w:t xml:space="preserve"> finding</w:t>
      </w:r>
      <w:r w:rsidR="00B75216" w:rsidRPr="00762161">
        <w:t xml:space="preserve"> is the acceptance of the random walk theory.</w:t>
      </w:r>
      <w:r w:rsidRPr="00762161">
        <w:t xml:space="preserve"> </w:t>
      </w:r>
      <w:r w:rsidR="00D11599" w:rsidRPr="00762161">
        <w:rPr>
          <w:rFonts w:eastAsiaTheme="minorEastAsia"/>
        </w:rPr>
        <w:t xml:space="preserve">A random walk arises within the context of the fair game model when the environment is such that the evolution of investor tastes and the process by which new information is generated combine to produce the level equilibria in which the return distributions repeat themselves through time. </w:t>
      </w:r>
    </w:p>
    <w:p w:rsidR="00D11599" w:rsidRPr="00762161" w:rsidRDefault="00D11599" w:rsidP="00D11599">
      <w:pPr>
        <w:ind w:left="360"/>
      </w:pPr>
      <w:r w:rsidRPr="00762161">
        <w:rPr>
          <w:rFonts w:eastAsiaTheme="minorEastAsia"/>
        </w:rPr>
        <w:t>Shiller (2003) introduces the concept of the feedback model, which</w:t>
      </w:r>
      <w:r w:rsidRPr="00762161">
        <w:t xml:space="preserve"> seeks to quantify the rumour mill effect as fuelling the rising bubble effect on stock prices</w:t>
      </w:r>
      <w:r w:rsidR="005A0646">
        <w:t>, which refutes random walk and therefore weak form efficiency</w:t>
      </w:r>
      <w:r w:rsidRPr="00762161">
        <w:t>. The author explains</w:t>
      </w:r>
      <w:r w:rsidR="001C69CB" w:rsidRPr="00762161">
        <w:t xml:space="preserve"> that</w:t>
      </w:r>
      <w:r w:rsidRPr="00762161">
        <w:t xml:space="preserve"> when speculative prices go up, creating successes for some </w:t>
      </w:r>
      <w:r w:rsidR="00553DB8" w:rsidRPr="00762161">
        <w:t>investors</w:t>
      </w:r>
      <w:r w:rsidR="001C69CB" w:rsidRPr="00762161">
        <w:t>,</w:t>
      </w:r>
      <w:r w:rsidRPr="00762161">
        <w:t xml:space="preserve"> public attention</w:t>
      </w:r>
      <w:r w:rsidR="001C69CB" w:rsidRPr="00762161">
        <w:t xml:space="preserve"> is attracted</w:t>
      </w:r>
      <w:r w:rsidRPr="00762161">
        <w:t>, word-of-mouth enthusiasm</w:t>
      </w:r>
      <w:r w:rsidR="001C69CB" w:rsidRPr="00762161">
        <w:t xml:space="preserve"> is promoted</w:t>
      </w:r>
      <w:r w:rsidRPr="00762161">
        <w:t>, and expectations for further price increases</w:t>
      </w:r>
      <w:r w:rsidR="001C69CB" w:rsidRPr="00762161">
        <w:t xml:space="preserve"> are heightened</w:t>
      </w:r>
      <w:r w:rsidRPr="00762161">
        <w:t xml:space="preserve">. The general problem with the feedback theories is that the theory </w:t>
      </w:r>
      <w:r w:rsidR="009571D9" w:rsidRPr="00762161">
        <w:t>implies</w:t>
      </w:r>
      <w:r w:rsidRPr="00762161">
        <w:t xml:space="preserve"> that speculative price changes are strongly serially correlated through time, that prices show strong momentum, continuing uniformly in one direction day after day. This seems inconsistent with the evidence that stock prices are a random walk. The authors do not, however, find sufficient evidence to refute the random walk hypothesis.</w:t>
      </w:r>
    </w:p>
    <w:p w:rsidR="00AD2C6A" w:rsidRPr="00762161" w:rsidRDefault="003609B4" w:rsidP="00375E82">
      <w:pPr>
        <w:ind w:left="360"/>
        <w:rPr>
          <w:szCs w:val="24"/>
        </w:rPr>
      </w:pPr>
      <w:r w:rsidRPr="00762161">
        <w:rPr>
          <w:szCs w:val="24"/>
        </w:rPr>
        <w:t>Fama (1965</w:t>
      </w:r>
      <w:r w:rsidR="00553DB8" w:rsidRPr="00762161">
        <w:rPr>
          <w:szCs w:val="24"/>
        </w:rPr>
        <w:t>)</w:t>
      </w:r>
      <w:r w:rsidRPr="00762161">
        <w:rPr>
          <w:szCs w:val="24"/>
        </w:rPr>
        <w:t xml:space="preserve"> conducts a vast amount of statistical testing on the behaviour of security prices and finds very little evidence of any important dependencies in security price changes over time. Technical analysts however, have insisted that this evidence does not imply that their methods are invalid, and ha</w:t>
      </w:r>
      <w:r w:rsidR="00A84ECA">
        <w:rPr>
          <w:szCs w:val="24"/>
        </w:rPr>
        <w:t xml:space="preserve">ve argued that the </w:t>
      </w:r>
      <w:r w:rsidR="00634027">
        <w:rPr>
          <w:szCs w:val="24"/>
        </w:rPr>
        <w:t>dependencies,</w:t>
      </w:r>
      <w:r w:rsidRPr="00762161">
        <w:rPr>
          <w:szCs w:val="24"/>
        </w:rPr>
        <w:t xml:space="preserve"> upon which their rules are </w:t>
      </w:r>
      <w:r w:rsidRPr="00762161">
        <w:rPr>
          <w:szCs w:val="24"/>
        </w:rPr>
        <w:lastRenderedPageBreak/>
        <w:t>based, are much too subtle to be captured by a simple statistical test.</w:t>
      </w:r>
      <w:r w:rsidR="001C69CB" w:rsidRPr="00762161">
        <w:rPr>
          <w:szCs w:val="24"/>
        </w:rPr>
        <w:t xml:space="preserve"> </w:t>
      </w:r>
      <w:r w:rsidR="00AD2C6A" w:rsidRPr="00762161">
        <w:rPr>
          <w:szCs w:val="24"/>
        </w:rPr>
        <w:t xml:space="preserve">Fama (1991) </w:t>
      </w:r>
      <w:r w:rsidR="00AD2C6A">
        <w:rPr>
          <w:szCs w:val="24"/>
        </w:rPr>
        <w:t xml:space="preserve">interestingly shows evidence supporting the technical analysts by </w:t>
      </w:r>
      <w:r w:rsidR="00AD2C6A" w:rsidRPr="00762161">
        <w:rPr>
          <w:szCs w:val="24"/>
        </w:rPr>
        <w:t>illustrat</w:t>
      </w:r>
      <w:r w:rsidR="00AD2C6A">
        <w:rPr>
          <w:szCs w:val="24"/>
        </w:rPr>
        <w:t>ing</w:t>
      </w:r>
      <w:r w:rsidR="00AD2C6A" w:rsidRPr="00762161">
        <w:rPr>
          <w:szCs w:val="24"/>
        </w:rPr>
        <w:t xml:space="preserve"> that there is a considerable degree of predictability in stock returns on the basis of fundamental variables, such as market capitalisation, price-earnings ratios and price-to-book ratios. </w:t>
      </w:r>
      <w:r w:rsidRPr="00762161">
        <w:rPr>
          <w:szCs w:val="24"/>
        </w:rPr>
        <w:t xml:space="preserve">However, Van Horne &amp; Parker (1967) found that various trading rules, based upon the moving averages of past prices, do not yield profits greater than those of a buy-and-hold strategy. </w:t>
      </w:r>
      <w:r w:rsidR="001C69CB" w:rsidRPr="00762161">
        <w:rPr>
          <w:szCs w:val="24"/>
        </w:rPr>
        <w:t>Jensen &amp; Benington (1969) support this</w:t>
      </w:r>
      <w:r w:rsidR="0010327C" w:rsidRPr="00762161">
        <w:rPr>
          <w:szCs w:val="24"/>
        </w:rPr>
        <w:t xml:space="preserve">, through their critical debunking of Levy’s 1966 trading rule. The authors conclude that the behaviour of security prices are remarkably close to that predicted by the efficient market theories of security market behaviour. </w:t>
      </w:r>
    </w:p>
    <w:p w:rsidR="0010327C" w:rsidRPr="00762161" w:rsidRDefault="0010327C" w:rsidP="0010327C">
      <w:pPr>
        <w:ind w:left="360"/>
      </w:pPr>
      <w:r w:rsidRPr="00762161">
        <w:t>According to theory, any trading rule which attempts to turn short term historical price dependence into trading profits will generate so many transactions that the expected profits would be absorbed by even the lowest commissions that floor traders on major exchanges must pay. Thus</w:t>
      </w:r>
      <w:r w:rsidR="00A84ECA">
        <w:t>,</w:t>
      </w:r>
      <w:r w:rsidRPr="00762161">
        <w:t xml:space="preserve"> by using a less than completely strict interpretation of market efficiency, this positive dependence does not seem of sufficient importance to warrant rejection of the efficient markets model. Fama (1965) shows that large daily price changes tend to be followed by large changes, but of unpredictable sign. This suggests that important information cannot be completely evaluated immediately, but that the initial first day</w:t>
      </w:r>
      <w:r w:rsidR="00A84ECA">
        <w:t>’</w:t>
      </w:r>
      <w:r w:rsidRPr="00762161">
        <w:t xml:space="preserve">s adjustment of prices to the information </w:t>
      </w:r>
      <w:r w:rsidR="005A0646">
        <w:t>are</w:t>
      </w:r>
      <w:r w:rsidRPr="00762161">
        <w:t xml:space="preserve"> unbiased. </w:t>
      </w:r>
    </w:p>
    <w:p w:rsidR="00262860" w:rsidRPr="00762161" w:rsidRDefault="00F30420" w:rsidP="006920FD">
      <w:pPr>
        <w:ind w:left="360"/>
      </w:pPr>
      <w:r w:rsidRPr="00762161">
        <w:t xml:space="preserve">The presence of momentum in stock price movements has been well documented to refute random walk hypothesis. Jegadeesh and Titman (1993) found that winning stocks </w:t>
      </w:r>
      <w:r w:rsidR="00A84ECA">
        <w:t>which</w:t>
      </w:r>
      <w:r w:rsidRPr="00762161">
        <w:t xml:space="preserve"> showed exceptionally high six-month </w:t>
      </w:r>
      <w:r w:rsidR="00A84ECA" w:rsidRPr="00762161">
        <w:t>returns</w:t>
      </w:r>
      <w:r w:rsidRPr="00762161">
        <w:t xml:space="preserve"> beat losing stocks, which showed exceptionally low six-month returns, by </w:t>
      </w:r>
      <w:r w:rsidR="007A6B4B">
        <w:t>12%</w:t>
      </w:r>
      <w:r w:rsidRPr="00762161">
        <w:t xml:space="preserve"> over the following year. In contrast, De Bondt and Tha</w:t>
      </w:r>
      <w:r w:rsidR="00022E02">
        <w:t>ler (1985) found that over the p</w:t>
      </w:r>
      <w:r w:rsidR="00A84ECA">
        <w:t>eriod 1926-1</w:t>
      </w:r>
      <w:r w:rsidRPr="00762161">
        <w:t xml:space="preserve">982, stocks whose returns had been in the top </w:t>
      </w:r>
      <w:r w:rsidR="00A84ECA">
        <w:t>decile</w:t>
      </w:r>
      <w:r w:rsidRPr="00762161">
        <w:t xml:space="preserve"> across firms over three years, that being winner stocks, tended to show negative cumulative returns in the succeeding three years. They also found that loser stocks whose returns had </w:t>
      </w:r>
      <w:r w:rsidRPr="00762161">
        <w:lastRenderedPageBreak/>
        <w:t xml:space="preserve">been in the bottom </w:t>
      </w:r>
      <w:r w:rsidR="00A84ECA">
        <w:t>decile</w:t>
      </w:r>
      <w:r w:rsidRPr="00762161">
        <w:t xml:space="preserve"> over the prior three years tended to show positive returns over the succeeding three years. These authors show that stocks can thus exhibit some </w:t>
      </w:r>
      <w:r w:rsidR="00A84ECA">
        <w:t>directional movements over a 6-</w:t>
      </w:r>
      <w:r w:rsidRPr="00762161">
        <w:t>12 month period, after which they can reverse direction; this is consistent with Shiller’s (2003) feedback model and other demand factors driving the stock market independently of fundamentals.</w:t>
      </w:r>
      <w:r w:rsidR="002A2B4F" w:rsidRPr="00762161">
        <w:t xml:space="preserve"> </w:t>
      </w:r>
    </w:p>
    <w:p w:rsidR="00262860" w:rsidRPr="00762161" w:rsidRDefault="00022E02" w:rsidP="00A34B1C">
      <w:pPr>
        <w:ind w:left="360"/>
      </w:pPr>
      <w:r>
        <w:rPr>
          <w:szCs w:val="24"/>
        </w:rPr>
        <w:t>From a JSE point of view, Muller (1999), u</w:t>
      </w:r>
      <w:r w:rsidR="002A2B4F" w:rsidRPr="00762161">
        <w:rPr>
          <w:szCs w:val="24"/>
        </w:rPr>
        <w:t xml:space="preserve">sing a similar methodology </w:t>
      </w:r>
      <w:r w:rsidR="00262860" w:rsidRPr="00762161">
        <w:rPr>
          <w:szCs w:val="24"/>
        </w:rPr>
        <w:t xml:space="preserve">to </w:t>
      </w:r>
      <w:r w:rsidR="00262860" w:rsidRPr="00762161">
        <w:t xml:space="preserve">De Bondt and Thaler (1985), </w:t>
      </w:r>
      <w:r w:rsidR="002A2B4F" w:rsidRPr="00762161">
        <w:rPr>
          <w:szCs w:val="24"/>
        </w:rPr>
        <w:t>examined the JSE over the period 1985</w:t>
      </w:r>
      <w:r w:rsidR="005A0646">
        <w:rPr>
          <w:szCs w:val="24"/>
        </w:rPr>
        <w:t>-</w:t>
      </w:r>
      <w:r w:rsidR="002A2B4F" w:rsidRPr="00762161">
        <w:rPr>
          <w:szCs w:val="24"/>
        </w:rPr>
        <w:t xml:space="preserve">1997 and found clear evidence supporting the concept of overreaction on the JSE. </w:t>
      </w:r>
      <w:r w:rsidR="0010327C" w:rsidRPr="00762161">
        <w:rPr>
          <w:szCs w:val="24"/>
        </w:rPr>
        <w:t>The author concludes that t</w:t>
      </w:r>
      <w:r w:rsidR="002A2B4F" w:rsidRPr="00762161">
        <w:rPr>
          <w:szCs w:val="24"/>
        </w:rPr>
        <w:t xml:space="preserve">his clearly shows long term inefficiency on the JSE. Page &amp; Way (1992) </w:t>
      </w:r>
      <w:r w:rsidR="00D45010" w:rsidRPr="00762161">
        <w:rPr>
          <w:szCs w:val="24"/>
        </w:rPr>
        <w:t xml:space="preserve">also </w:t>
      </w:r>
      <w:r w:rsidR="002A2B4F" w:rsidRPr="00762161">
        <w:rPr>
          <w:szCs w:val="24"/>
        </w:rPr>
        <w:t>found evidence, over the period 1974</w:t>
      </w:r>
      <w:r w:rsidR="005A0646">
        <w:rPr>
          <w:szCs w:val="24"/>
        </w:rPr>
        <w:t>-</w:t>
      </w:r>
      <w:r w:rsidR="002A2B4F" w:rsidRPr="00762161">
        <w:rPr>
          <w:szCs w:val="24"/>
        </w:rPr>
        <w:t xml:space="preserve">1989, of the overreaction hypothesis, concluding that there </w:t>
      </w:r>
      <w:r w:rsidR="00D45010" w:rsidRPr="00762161">
        <w:rPr>
          <w:szCs w:val="24"/>
        </w:rPr>
        <w:t>are</w:t>
      </w:r>
      <w:r w:rsidR="002A2B4F" w:rsidRPr="00762161">
        <w:rPr>
          <w:szCs w:val="24"/>
        </w:rPr>
        <w:t xml:space="preserve"> substantial weak form inefficiencies on the JSE in the long term.</w:t>
      </w:r>
      <w:r w:rsidR="00262860" w:rsidRPr="00762161">
        <w:rPr>
          <w:szCs w:val="24"/>
        </w:rPr>
        <w:t xml:space="preserve"> </w:t>
      </w:r>
      <w:r w:rsidR="00262860" w:rsidRPr="00762161">
        <w:t>However Affleck-Graves &amp; Money (1975) performed an analysis of the JSE by evaluating the presence of auto</w:t>
      </w:r>
      <w:r w:rsidR="00A84ECA">
        <w:t>correlation on the stock market</w:t>
      </w:r>
      <w:r w:rsidR="00262860" w:rsidRPr="00762161">
        <w:t xml:space="preserve"> and found slight autocorrelation yet an insufficient amount for the rejection of weak form efficiency.</w:t>
      </w:r>
    </w:p>
    <w:p w:rsidR="00B75216" w:rsidRPr="00762161" w:rsidRDefault="001014E7" w:rsidP="00A34B1C">
      <w:pPr>
        <w:ind w:left="360"/>
      </w:pPr>
      <w:r w:rsidRPr="00762161">
        <w:t xml:space="preserve">Niederhoffer &amp; </w:t>
      </w:r>
      <w:r w:rsidR="00B75216" w:rsidRPr="00762161">
        <w:t>Osborne</w:t>
      </w:r>
      <w:r w:rsidRPr="00762161">
        <w:t xml:space="preserve"> (1966)</w:t>
      </w:r>
      <w:r w:rsidR="00B75216" w:rsidRPr="00762161">
        <w:t xml:space="preserve"> </w:t>
      </w:r>
      <w:r w:rsidR="00A84ECA">
        <w:t>found</w:t>
      </w:r>
      <w:r w:rsidR="00B75216" w:rsidRPr="00762161">
        <w:t xml:space="preserve"> a tendency towards excessive reversals in common stock price changes from transaction to transaction.</w:t>
      </w:r>
      <w:r w:rsidRPr="00762161">
        <w:t xml:space="preserve"> </w:t>
      </w:r>
      <w:r w:rsidR="005A0646">
        <w:t>The author’s</w:t>
      </w:r>
      <w:r w:rsidR="00643A1A" w:rsidRPr="00762161">
        <w:t xml:space="preserve"> data indicate</w:t>
      </w:r>
      <w:r w:rsidR="00D45010" w:rsidRPr="00762161">
        <w:t>s</w:t>
      </w:r>
      <w:r w:rsidR="00643A1A" w:rsidRPr="00762161">
        <w:t xml:space="preserve"> that reversals are </w:t>
      </w:r>
      <w:r w:rsidR="00D45010" w:rsidRPr="00762161">
        <w:t>between</w:t>
      </w:r>
      <w:r w:rsidR="00643A1A" w:rsidRPr="00762161">
        <w:t xml:space="preserve"> two </w:t>
      </w:r>
      <w:r w:rsidR="00D45010" w:rsidRPr="00762161">
        <w:t>or</w:t>
      </w:r>
      <w:r w:rsidR="00643A1A" w:rsidRPr="00762161">
        <w:t xml:space="preserve"> three times </w:t>
      </w:r>
      <w:r w:rsidR="00F24BAB">
        <w:t>more</w:t>
      </w:r>
      <w:r w:rsidR="00643A1A" w:rsidRPr="00762161">
        <w:t xml:space="preserve"> likely </w:t>
      </w:r>
      <w:r w:rsidR="00F24BAB">
        <w:t>than</w:t>
      </w:r>
      <w:r w:rsidR="00643A1A" w:rsidRPr="00762161">
        <w:t xml:space="preserve"> </w:t>
      </w:r>
      <w:r w:rsidR="00F24BAB">
        <w:t>the stock moving in the same direction day to day</w:t>
      </w:r>
      <w:r w:rsidR="00643A1A" w:rsidRPr="00762161">
        <w:t>.</w:t>
      </w:r>
      <w:r w:rsidR="00A34B1C" w:rsidRPr="00762161">
        <w:t xml:space="preserve"> </w:t>
      </w:r>
      <w:r w:rsidRPr="00762161">
        <w:t>The author e</w:t>
      </w:r>
      <w:r w:rsidR="00B75216" w:rsidRPr="00762161">
        <w:t>xplain</w:t>
      </w:r>
      <w:r w:rsidR="00D70126" w:rsidRPr="00762161">
        <w:t>s</w:t>
      </w:r>
      <w:r w:rsidR="00B75216" w:rsidRPr="00762161">
        <w:t xml:space="preserve"> this </w:t>
      </w:r>
      <w:r w:rsidR="005A0646">
        <w:t>to be</w:t>
      </w:r>
      <w:r w:rsidR="00B75216" w:rsidRPr="00762161">
        <w:t xml:space="preserve"> a logical result of the mechanism whereby one orders to buy and sell at market</w:t>
      </w:r>
      <w:r w:rsidR="00D45010" w:rsidRPr="00762161">
        <w:t xml:space="preserve"> prices which</w:t>
      </w:r>
      <w:r w:rsidR="00B75216" w:rsidRPr="00762161">
        <w:t xml:space="preserve"> </w:t>
      </w:r>
      <w:r w:rsidR="00D45010" w:rsidRPr="00762161">
        <w:t>are</w:t>
      </w:r>
      <w:r w:rsidR="00B75216" w:rsidRPr="00762161">
        <w:t xml:space="preserve"> matched against existing limit orders on the books of the specialist.</w:t>
      </w:r>
      <w:r w:rsidRPr="00762161">
        <w:t xml:space="preserve"> </w:t>
      </w:r>
      <w:r w:rsidR="00A34B1C" w:rsidRPr="00762161">
        <w:t xml:space="preserve">The excessive tendency toward reversal for consecutive non-zero price changes could result from bunching of unexecuted buy and sell limit orders. </w:t>
      </w:r>
      <w:r w:rsidR="00B75216" w:rsidRPr="00762161">
        <w:t>Given the way this tendency t</w:t>
      </w:r>
      <w:r w:rsidR="00A84ECA">
        <w:t>oward excessive reversals arise</w:t>
      </w:r>
      <w:r w:rsidR="00B75216" w:rsidRPr="00762161">
        <w:t xml:space="preserve">, there </w:t>
      </w:r>
      <w:r w:rsidR="00D45010" w:rsidRPr="00762161">
        <w:t>appears</w:t>
      </w:r>
      <w:r w:rsidR="00B75216" w:rsidRPr="00762161">
        <w:t xml:space="preserve"> to be no way it can be used as the basis for a profitable trading rule.</w:t>
      </w:r>
      <w:r w:rsidRPr="00762161">
        <w:t xml:space="preserve"> </w:t>
      </w:r>
      <w:r w:rsidR="00B75216" w:rsidRPr="00762161">
        <w:t xml:space="preserve">The authors rightly claim that their results are a strong refutation of the theory of random walks, at least as applied to price changes from transaction </w:t>
      </w:r>
      <w:r w:rsidR="00B75216" w:rsidRPr="00762161">
        <w:lastRenderedPageBreak/>
        <w:t>to transaction, but they do not constitute refutation of the economically more relevant fair game efficient markets model.</w:t>
      </w:r>
    </w:p>
    <w:p w:rsidR="001F7826" w:rsidRPr="00762161" w:rsidRDefault="001F7826" w:rsidP="001914FB">
      <w:pPr>
        <w:rPr>
          <w:szCs w:val="24"/>
        </w:rPr>
      </w:pPr>
    </w:p>
    <w:p w:rsidR="001F7826" w:rsidRPr="00762161" w:rsidRDefault="001F7826" w:rsidP="001F7826">
      <w:pPr>
        <w:pStyle w:val="Heading2"/>
        <w:numPr>
          <w:ilvl w:val="1"/>
          <w:numId w:val="32"/>
        </w:numPr>
      </w:pPr>
      <w:bookmarkStart w:id="44" w:name="_Toc286616288"/>
      <w:r w:rsidRPr="00762161">
        <w:t>The Contrasting Views of Market Efficiency</w:t>
      </w:r>
      <w:bookmarkEnd w:id="44"/>
    </w:p>
    <w:p w:rsidR="009D61A9" w:rsidRPr="00762161" w:rsidRDefault="009D61A9" w:rsidP="001914FB">
      <w:pPr>
        <w:rPr>
          <w:szCs w:val="24"/>
        </w:rPr>
      </w:pPr>
      <w:r w:rsidRPr="00762161">
        <w:rPr>
          <w:szCs w:val="24"/>
        </w:rPr>
        <w:t>In a theoretical sense, an efficient market will rapidly adjust to the information within stock prices and the blend of new information. Mullins (1982) explains that efficient markets rely on two key assumptions:</w:t>
      </w:r>
    </w:p>
    <w:p w:rsidR="003765BE" w:rsidRPr="00762161" w:rsidRDefault="009D61A9" w:rsidP="00B15513">
      <w:pPr>
        <w:pStyle w:val="ListParagraph"/>
        <w:numPr>
          <w:ilvl w:val="0"/>
          <w:numId w:val="5"/>
        </w:numPr>
        <w:spacing w:before="0" w:after="0"/>
        <w:contextualSpacing w:val="0"/>
        <w:rPr>
          <w:szCs w:val="24"/>
        </w:rPr>
      </w:pPr>
      <w:r w:rsidRPr="00762161">
        <w:rPr>
          <w:szCs w:val="24"/>
        </w:rPr>
        <w:t xml:space="preserve">Securities markets are very competitive and efficient, </w:t>
      </w:r>
      <w:r w:rsidR="00A84ECA">
        <w:rPr>
          <w:szCs w:val="24"/>
        </w:rPr>
        <w:t>i.e.</w:t>
      </w:r>
      <w:r w:rsidRPr="00762161">
        <w:rPr>
          <w:szCs w:val="24"/>
        </w:rPr>
        <w:t xml:space="preserve">, relevant information about the companies </w:t>
      </w:r>
      <w:r w:rsidR="005A0646">
        <w:rPr>
          <w:szCs w:val="24"/>
        </w:rPr>
        <w:t>are</w:t>
      </w:r>
      <w:r w:rsidRPr="00762161">
        <w:rPr>
          <w:szCs w:val="24"/>
        </w:rPr>
        <w:t xml:space="preserve"> quickly and globally distributed and absorbed.</w:t>
      </w:r>
    </w:p>
    <w:p w:rsidR="009D61A9" w:rsidRPr="00762161" w:rsidRDefault="009D61A9" w:rsidP="00B15513">
      <w:pPr>
        <w:pStyle w:val="ListParagraph"/>
        <w:numPr>
          <w:ilvl w:val="0"/>
          <w:numId w:val="5"/>
        </w:numPr>
        <w:spacing w:before="0" w:after="0"/>
        <w:contextualSpacing w:val="0"/>
        <w:rPr>
          <w:szCs w:val="24"/>
        </w:rPr>
      </w:pPr>
      <w:r w:rsidRPr="00762161">
        <w:rPr>
          <w:szCs w:val="24"/>
        </w:rPr>
        <w:t xml:space="preserve">These markets are dominated by </w:t>
      </w:r>
      <w:r w:rsidR="00A84ECA">
        <w:rPr>
          <w:szCs w:val="24"/>
        </w:rPr>
        <w:t>rational, risk averse investors</w:t>
      </w:r>
      <w:r w:rsidRPr="00762161">
        <w:rPr>
          <w:szCs w:val="24"/>
        </w:rPr>
        <w:t xml:space="preserve"> who seek to maximise satisfaction from returns on their investment.</w:t>
      </w:r>
    </w:p>
    <w:p w:rsidR="009D61A9" w:rsidRPr="00762161" w:rsidRDefault="009D61A9" w:rsidP="00B15513">
      <w:pPr>
        <w:rPr>
          <w:szCs w:val="24"/>
        </w:rPr>
      </w:pPr>
      <w:r w:rsidRPr="00762161">
        <w:rPr>
          <w:szCs w:val="24"/>
        </w:rPr>
        <w:t>The initial assumption relies on a financial market being populated by highly sophisticated, well informed buyers and sellers. The second assumption describes rational investors who care about wealth and prefer more of it to less. In addition, the hypothetical investors of modern financial theory demand a premium in the form of higher expected returns for the risks that they assume. Given these assumptions, the markets should quickly and easily react to the introduction of new information.</w:t>
      </w:r>
    </w:p>
    <w:p w:rsidR="00887065" w:rsidRPr="00762161" w:rsidRDefault="00887065" w:rsidP="00887065">
      <w:r w:rsidRPr="00762161">
        <w:rPr>
          <w:szCs w:val="24"/>
        </w:rPr>
        <w:t xml:space="preserve">Fama (1970) </w:t>
      </w:r>
      <w:r w:rsidRPr="00762161">
        <w:t>determine</w:t>
      </w:r>
      <w:r w:rsidR="00EB0944" w:rsidRPr="00762161">
        <w:t>s</w:t>
      </w:r>
      <w:r w:rsidRPr="00762161">
        <w:t xml:space="preserve"> the sufficient conditions for capital market efficiency, so that the security market will fully reflect all available information:</w:t>
      </w:r>
    </w:p>
    <w:p w:rsidR="00887065" w:rsidRPr="00762161" w:rsidRDefault="00887065" w:rsidP="00A141F0">
      <w:pPr>
        <w:pStyle w:val="ListParagraph"/>
        <w:numPr>
          <w:ilvl w:val="0"/>
          <w:numId w:val="23"/>
        </w:numPr>
      </w:pPr>
      <w:r w:rsidRPr="00762161">
        <w:t>There are no transaction costs in trading securities.</w:t>
      </w:r>
    </w:p>
    <w:p w:rsidR="00887065" w:rsidRPr="00762161" w:rsidRDefault="00887065" w:rsidP="00A141F0">
      <w:pPr>
        <w:pStyle w:val="ListParagraph"/>
        <w:numPr>
          <w:ilvl w:val="0"/>
          <w:numId w:val="23"/>
        </w:numPr>
      </w:pPr>
      <w:r w:rsidRPr="00762161">
        <w:t>All available information is costlessly available to all market participants.</w:t>
      </w:r>
    </w:p>
    <w:p w:rsidR="00887065" w:rsidRPr="00762161" w:rsidRDefault="00887065" w:rsidP="00A141F0">
      <w:pPr>
        <w:pStyle w:val="ListParagraph"/>
        <w:numPr>
          <w:ilvl w:val="0"/>
          <w:numId w:val="23"/>
        </w:numPr>
      </w:pPr>
      <w:r w:rsidRPr="00762161">
        <w:lastRenderedPageBreak/>
        <w:t xml:space="preserve">All </w:t>
      </w:r>
      <w:r w:rsidR="00345D0E" w:rsidRPr="00762161">
        <w:t xml:space="preserve">market participants </w:t>
      </w:r>
      <w:r w:rsidRPr="00762161">
        <w:t>agree on the implications of current information for the current price and distributions of future prices of each security.</w:t>
      </w:r>
    </w:p>
    <w:p w:rsidR="00887065" w:rsidRPr="00762161" w:rsidRDefault="00DF4E45" w:rsidP="00887065">
      <w:r w:rsidRPr="00762161">
        <w:t xml:space="preserve">According to </w:t>
      </w:r>
      <w:r w:rsidR="00E8328C" w:rsidRPr="00762161">
        <w:t>Fama (1970)</w:t>
      </w:r>
      <w:r w:rsidR="00887065" w:rsidRPr="00762161">
        <w:t xml:space="preserve"> this is simply </w:t>
      </w:r>
      <w:r w:rsidR="00345D0E" w:rsidRPr="00762161">
        <w:t xml:space="preserve">not </w:t>
      </w:r>
      <w:r w:rsidR="00887065" w:rsidRPr="00762161">
        <w:t>practical</w:t>
      </w:r>
      <w:r w:rsidRPr="00762161">
        <w:t>.</w:t>
      </w:r>
      <w:r w:rsidR="00887065" w:rsidRPr="00762161">
        <w:t xml:space="preserve"> </w:t>
      </w:r>
      <w:r w:rsidRPr="00762161">
        <w:t>T</w:t>
      </w:r>
      <w:r w:rsidR="00887065" w:rsidRPr="00762161">
        <w:t xml:space="preserve">hese conditions are sufficient for market efficiency </w:t>
      </w:r>
      <w:r w:rsidR="00B035F8">
        <w:t>but</w:t>
      </w:r>
      <w:r w:rsidR="00887065" w:rsidRPr="00762161">
        <w:t xml:space="preserve"> not necessary. Additionally, transaction costs, information not being freely available, and disagreement among investors about the implications of given information are not necessary sources of market inefficiency, they are potential sources. The market may be efficient if </w:t>
      </w:r>
      <w:r w:rsidR="00B035F8">
        <w:t xml:space="preserve">a </w:t>
      </w:r>
      <w:r w:rsidR="00887065" w:rsidRPr="00762161">
        <w:t>sufficient number of investors find that the available information is easily accessible.</w:t>
      </w:r>
    </w:p>
    <w:p w:rsidR="00A33D5E" w:rsidRPr="00762161" w:rsidRDefault="00A33D5E" w:rsidP="00887065">
      <w:pPr>
        <w:rPr>
          <w:szCs w:val="24"/>
        </w:rPr>
      </w:pPr>
      <w:r w:rsidRPr="00762161">
        <w:rPr>
          <w:szCs w:val="24"/>
        </w:rPr>
        <w:t xml:space="preserve">Despite its insights, Ball (1995) states that EMH has some serious limitations. The fact that information is treated like a commodity </w:t>
      </w:r>
      <w:r w:rsidR="00DF4E45" w:rsidRPr="00762161">
        <w:rPr>
          <w:szCs w:val="24"/>
        </w:rPr>
        <w:t xml:space="preserve">as stated in condition three, </w:t>
      </w:r>
      <w:r w:rsidRPr="00762161">
        <w:rPr>
          <w:szCs w:val="24"/>
        </w:rPr>
        <w:t xml:space="preserve">in the sense that it means the same to all investors, brings about serious concerns for the concept of behavioural finance which vindicates the irrationality prevalent in almost every investor. </w:t>
      </w:r>
      <w:r w:rsidR="000A40A2" w:rsidRPr="00762161">
        <w:rPr>
          <w:szCs w:val="24"/>
        </w:rPr>
        <w:t>The idea that investor sentiment and confidence play no role</w:t>
      </w:r>
      <w:r w:rsidR="006E2C0E" w:rsidRPr="00762161">
        <w:rPr>
          <w:szCs w:val="24"/>
        </w:rPr>
        <w:t xml:space="preserve"> in market efficiency</w:t>
      </w:r>
      <w:r w:rsidR="00B035F8">
        <w:rPr>
          <w:szCs w:val="24"/>
        </w:rPr>
        <w:t>,</w:t>
      </w:r>
      <w:r w:rsidR="000A40A2" w:rsidRPr="00762161">
        <w:rPr>
          <w:szCs w:val="24"/>
        </w:rPr>
        <w:t xml:space="preserve"> and public information is assumed to have similar implications for all</w:t>
      </w:r>
      <w:r w:rsidR="00B035F8">
        <w:rPr>
          <w:szCs w:val="24"/>
        </w:rPr>
        <w:t>,</w:t>
      </w:r>
      <w:r w:rsidR="000A40A2" w:rsidRPr="00762161">
        <w:rPr>
          <w:szCs w:val="24"/>
        </w:rPr>
        <w:t xml:space="preserve"> is not practical.</w:t>
      </w:r>
      <w:r w:rsidR="00DF4E45" w:rsidRPr="00762161">
        <w:rPr>
          <w:szCs w:val="24"/>
        </w:rPr>
        <w:t xml:space="preserve"> Put simply, investors do not have homogeneous expectations.</w:t>
      </w:r>
      <w:r w:rsidR="000A40A2" w:rsidRPr="00762161">
        <w:rPr>
          <w:szCs w:val="24"/>
        </w:rPr>
        <w:t xml:space="preserve"> </w:t>
      </w:r>
      <w:r w:rsidRPr="00762161">
        <w:rPr>
          <w:szCs w:val="24"/>
        </w:rPr>
        <w:t xml:space="preserve">The theory also assumes costless incorporation of information into stock prices, as stated </w:t>
      </w:r>
      <w:r w:rsidR="0036211A" w:rsidRPr="00762161">
        <w:rPr>
          <w:szCs w:val="24"/>
        </w:rPr>
        <w:t>in condition two</w:t>
      </w:r>
      <w:r w:rsidRPr="00762161">
        <w:rPr>
          <w:szCs w:val="24"/>
        </w:rPr>
        <w:t xml:space="preserve">. The author explains that in reality investors interpret events differently, they also face large uncertainty about why other investors are trading, especially in the case of the less liquid smaller firms, </w:t>
      </w:r>
      <w:r w:rsidR="008C089A" w:rsidRPr="00762161">
        <w:rPr>
          <w:szCs w:val="24"/>
        </w:rPr>
        <w:t xml:space="preserve">and </w:t>
      </w:r>
      <w:r w:rsidRPr="00762161">
        <w:rPr>
          <w:szCs w:val="24"/>
        </w:rPr>
        <w:t xml:space="preserve">they face high costs in acquiring and processing the information. </w:t>
      </w:r>
      <w:r w:rsidR="000A40A2" w:rsidRPr="00762161">
        <w:rPr>
          <w:szCs w:val="24"/>
        </w:rPr>
        <w:t xml:space="preserve">The investor cannot </w:t>
      </w:r>
      <w:r w:rsidR="008C089A" w:rsidRPr="00762161">
        <w:rPr>
          <w:szCs w:val="24"/>
        </w:rPr>
        <w:t>be expected</w:t>
      </w:r>
      <w:r w:rsidR="00AD2C6A">
        <w:rPr>
          <w:szCs w:val="24"/>
        </w:rPr>
        <w:t xml:space="preserve"> to</w:t>
      </w:r>
      <w:r w:rsidR="008C089A" w:rsidRPr="00762161">
        <w:rPr>
          <w:szCs w:val="24"/>
        </w:rPr>
        <w:t xml:space="preserve"> </w:t>
      </w:r>
      <w:r w:rsidR="000A40A2" w:rsidRPr="00762161">
        <w:rPr>
          <w:szCs w:val="24"/>
        </w:rPr>
        <w:t>know with certainty the extent to which a particular piece of information or belief is shared by others</w:t>
      </w:r>
      <w:r w:rsidR="008C089A" w:rsidRPr="00762161">
        <w:rPr>
          <w:szCs w:val="24"/>
        </w:rPr>
        <w:t xml:space="preserve"> in the market</w:t>
      </w:r>
      <w:r w:rsidR="000A40A2" w:rsidRPr="00762161">
        <w:rPr>
          <w:szCs w:val="24"/>
        </w:rPr>
        <w:t xml:space="preserve"> and how much of it is already reflected in the share price. </w:t>
      </w:r>
      <w:r w:rsidR="00A35DD2" w:rsidRPr="00762161">
        <w:rPr>
          <w:szCs w:val="24"/>
        </w:rPr>
        <w:t xml:space="preserve">The role of transactions costs </w:t>
      </w:r>
      <w:r w:rsidR="0051762B" w:rsidRPr="00762161">
        <w:rPr>
          <w:szCs w:val="24"/>
        </w:rPr>
        <w:t xml:space="preserve">also </w:t>
      </w:r>
      <w:r w:rsidR="00A35DD2" w:rsidRPr="00762161">
        <w:rPr>
          <w:szCs w:val="24"/>
        </w:rPr>
        <w:t>remains largely unresolved, as Ball (1995) explains. Firstly there must be some level of transactions costs at which the market would be deemed inefficient. If transactions costs were large</w:t>
      </w:r>
      <w:r w:rsidR="00B035F8">
        <w:rPr>
          <w:szCs w:val="24"/>
        </w:rPr>
        <w:t>,</w:t>
      </w:r>
      <w:r w:rsidR="00A35DD2" w:rsidRPr="00762161">
        <w:rPr>
          <w:szCs w:val="24"/>
        </w:rPr>
        <w:t xml:space="preserve"> then there would be hardly any opportunities with which to profit from pricing errors, net of costs. Thus, one cannot call a market efficient if the transaction costs are relatively too high. Secondly, transactions costs vary across investors, and defining efficiency according to transactions costs </w:t>
      </w:r>
      <w:r w:rsidR="00A35DD2" w:rsidRPr="00762161">
        <w:rPr>
          <w:szCs w:val="24"/>
        </w:rPr>
        <w:lastRenderedPageBreak/>
        <w:t>can bring as many definitions as there are investors. Given these important flaws, it is not surprising that t</w:t>
      </w:r>
      <w:r w:rsidR="00B035F8">
        <w:rPr>
          <w:szCs w:val="24"/>
        </w:rPr>
        <w:t>here are gaps within the theory</w:t>
      </w:r>
      <w:r w:rsidR="00A35DD2" w:rsidRPr="00762161">
        <w:rPr>
          <w:szCs w:val="24"/>
        </w:rPr>
        <w:t xml:space="preserve"> wh</w:t>
      </w:r>
      <w:r w:rsidR="00B035F8">
        <w:rPr>
          <w:szCs w:val="24"/>
        </w:rPr>
        <w:t>ich needs to be plugged</w:t>
      </w:r>
      <w:r w:rsidR="00AD2C6A">
        <w:rPr>
          <w:szCs w:val="24"/>
        </w:rPr>
        <w:t xml:space="preserve"> by relevant future research.</w:t>
      </w:r>
    </w:p>
    <w:p w:rsidR="00871FB0" w:rsidRPr="00762161" w:rsidRDefault="00871FB0" w:rsidP="00887065">
      <w:pPr>
        <w:rPr>
          <w:szCs w:val="24"/>
        </w:rPr>
      </w:pPr>
      <w:r w:rsidRPr="00762161">
        <w:rPr>
          <w:szCs w:val="24"/>
        </w:rPr>
        <w:t xml:space="preserve">The </w:t>
      </w:r>
      <w:r w:rsidR="00EA495E" w:rsidRPr="00762161">
        <w:rPr>
          <w:szCs w:val="24"/>
        </w:rPr>
        <w:t xml:space="preserve">pivotal </w:t>
      </w:r>
      <w:r w:rsidRPr="00762161">
        <w:rPr>
          <w:szCs w:val="24"/>
        </w:rPr>
        <w:t xml:space="preserve">event study of </w:t>
      </w:r>
      <w:r w:rsidR="009D61A9" w:rsidRPr="00762161">
        <w:rPr>
          <w:szCs w:val="24"/>
        </w:rPr>
        <w:t>Fama, Fisher, Jensen &amp; Roll’s (1969) on the New York Stock Exchange (NYSE), finds that the speed of adjustment of stocks to the information content in stock splits lends</w:t>
      </w:r>
      <w:r w:rsidR="00B035F8">
        <w:rPr>
          <w:szCs w:val="24"/>
        </w:rPr>
        <w:t>,</w:t>
      </w:r>
      <w:r w:rsidR="009D61A9" w:rsidRPr="00762161">
        <w:rPr>
          <w:szCs w:val="24"/>
        </w:rPr>
        <w:t xml:space="preserve"> considerable evidence to the conclusion that the stock market is efficient in the sense that stock prices adjust very rapidly to new information. </w:t>
      </w:r>
      <w:r w:rsidRPr="00762161">
        <w:rPr>
          <w:szCs w:val="24"/>
        </w:rPr>
        <w:t xml:space="preserve">In attempting to isolate the market’s reaction to stock splits, the authors took many instances of the same event occurring in many different companies at different times and standardised them all into a single event date, thus providing an event time view of the market’s reaction. The authors found that announcements of new public stock offerings </w:t>
      </w:r>
      <w:r w:rsidR="005C24B6" w:rsidRPr="00762161">
        <w:rPr>
          <w:szCs w:val="24"/>
        </w:rPr>
        <w:t>were</w:t>
      </w:r>
      <w:r w:rsidRPr="00762161">
        <w:rPr>
          <w:szCs w:val="24"/>
        </w:rPr>
        <w:t xml:space="preserve"> associated with an immediate 3% average stock price reduction. Investors therefore recognised that managers, as representatives of existing shareholders</w:t>
      </w:r>
      <w:r w:rsidR="005C24B6" w:rsidRPr="00762161">
        <w:rPr>
          <w:szCs w:val="24"/>
        </w:rPr>
        <w:t>,</w:t>
      </w:r>
      <w:r w:rsidRPr="00762161">
        <w:rPr>
          <w:szCs w:val="24"/>
        </w:rPr>
        <w:t xml:space="preserve"> are more likely to issue new stock when they think that the company is overvalued. Announcements of New York stock offerings are thus interpreted as conveying the manager</w:t>
      </w:r>
      <w:r w:rsidR="00B035F8">
        <w:rPr>
          <w:szCs w:val="24"/>
        </w:rPr>
        <w:t>’</w:t>
      </w:r>
      <w:r w:rsidRPr="00762161">
        <w:rPr>
          <w:szCs w:val="24"/>
        </w:rPr>
        <w:t>s own personal assessment of the firm</w:t>
      </w:r>
      <w:r w:rsidR="00B035F8">
        <w:rPr>
          <w:szCs w:val="24"/>
        </w:rPr>
        <w:t>’</w:t>
      </w:r>
      <w:r w:rsidRPr="00762161">
        <w:rPr>
          <w:szCs w:val="24"/>
        </w:rPr>
        <w:t>s prospects relative to its current valuation.</w:t>
      </w:r>
      <w:r w:rsidR="000A6385" w:rsidRPr="00762161">
        <w:rPr>
          <w:szCs w:val="24"/>
        </w:rPr>
        <w:t xml:space="preserve"> </w:t>
      </w:r>
      <w:r w:rsidR="00AD2C6A">
        <w:rPr>
          <w:szCs w:val="24"/>
        </w:rPr>
        <w:t>This leads</w:t>
      </w:r>
      <w:r w:rsidR="000A6385" w:rsidRPr="00762161">
        <w:rPr>
          <w:szCs w:val="24"/>
        </w:rPr>
        <w:t xml:space="preserve"> Barclay &amp; Smith (1999) </w:t>
      </w:r>
      <w:r w:rsidR="00AD2C6A">
        <w:rPr>
          <w:szCs w:val="24"/>
        </w:rPr>
        <w:t xml:space="preserve">to put forward </w:t>
      </w:r>
      <w:r w:rsidR="000A6385" w:rsidRPr="00762161">
        <w:rPr>
          <w:szCs w:val="24"/>
        </w:rPr>
        <w:t>t</w:t>
      </w:r>
      <w:r w:rsidR="000A6385" w:rsidRPr="00762161">
        <w:t>he signalling theory suggest</w:t>
      </w:r>
      <w:r w:rsidR="00AD2C6A">
        <w:t>ing</w:t>
      </w:r>
      <w:r w:rsidR="000A6385" w:rsidRPr="00762161">
        <w:t xml:space="preserve"> that a firm’s capital structure will be influenced by whether the company is perceived by management to be undervalued or overvalued</w:t>
      </w:r>
      <w:r w:rsidR="00B035F8">
        <w:t>.</w:t>
      </w:r>
    </w:p>
    <w:p w:rsidR="00DE5D0B" w:rsidRPr="00762161" w:rsidRDefault="00E6595E" w:rsidP="00DE5D0B">
      <w:r w:rsidRPr="00762161">
        <w:rPr>
          <w:szCs w:val="24"/>
        </w:rPr>
        <w:t>I</w:t>
      </w:r>
      <w:r w:rsidR="009D61A9" w:rsidRPr="00762161">
        <w:rPr>
          <w:szCs w:val="24"/>
        </w:rPr>
        <w:t>f thin trading was found to be present</w:t>
      </w:r>
      <w:r w:rsidR="00B035F8">
        <w:rPr>
          <w:szCs w:val="24"/>
        </w:rPr>
        <w:t>,</w:t>
      </w:r>
      <w:r w:rsidR="009D61A9" w:rsidRPr="00762161">
        <w:rPr>
          <w:szCs w:val="24"/>
        </w:rPr>
        <w:t xml:space="preserve"> then the power and efficiency of markets would be severely diminished. </w:t>
      </w:r>
      <w:r w:rsidR="00D675A3" w:rsidRPr="00762161">
        <w:rPr>
          <w:szCs w:val="24"/>
        </w:rPr>
        <w:t>If a share isn’t traded then the price recorded is the closing transaction price when the share was last traded</w:t>
      </w:r>
      <w:r w:rsidRPr="00762161">
        <w:rPr>
          <w:szCs w:val="24"/>
        </w:rPr>
        <w:t xml:space="preserve">, </w:t>
      </w:r>
      <w:r w:rsidR="005A0646">
        <w:rPr>
          <w:szCs w:val="24"/>
        </w:rPr>
        <w:t>translating into</w:t>
      </w:r>
      <w:r w:rsidRPr="00762161">
        <w:rPr>
          <w:szCs w:val="24"/>
        </w:rPr>
        <w:t xml:space="preserve"> </w:t>
      </w:r>
      <w:r w:rsidR="005A0646">
        <w:rPr>
          <w:szCs w:val="24"/>
        </w:rPr>
        <w:t>minimal</w:t>
      </w:r>
      <w:r w:rsidRPr="00762161">
        <w:rPr>
          <w:szCs w:val="24"/>
        </w:rPr>
        <w:t xml:space="preserve"> information integration into the share over the completely illiquid period</w:t>
      </w:r>
      <w:r w:rsidR="00D675A3" w:rsidRPr="00762161">
        <w:rPr>
          <w:szCs w:val="24"/>
        </w:rPr>
        <w:t xml:space="preserve">. In the same light, Fisher (1966) explains that the bias caused by thin trading filters into stock prices as these securities are not necessarily equal to their underlying theoretical value. The result is that share indices are simply the equally weighted average of the temporarily ordered underlying values of the shares. </w:t>
      </w:r>
      <w:r w:rsidR="009D61A9" w:rsidRPr="00762161">
        <w:rPr>
          <w:szCs w:val="24"/>
        </w:rPr>
        <w:t xml:space="preserve">Roux &amp; Gilbertson </w:t>
      </w:r>
      <w:r w:rsidRPr="00762161">
        <w:rPr>
          <w:szCs w:val="24"/>
        </w:rPr>
        <w:t xml:space="preserve">in their </w:t>
      </w:r>
      <w:r w:rsidR="009D61A9" w:rsidRPr="00762161">
        <w:rPr>
          <w:szCs w:val="24"/>
        </w:rPr>
        <w:lastRenderedPageBreak/>
        <w:t>1978</w:t>
      </w:r>
      <w:r w:rsidRPr="00762161">
        <w:rPr>
          <w:szCs w:val="24"/>
        </w:rPr>
        <w:t xml:space="preserve"> study</w:t>
      </w:r>
      <w:r w:rsidR="009D61A9" w:rsidRPr="00762161">
        <w:rPr>
          <w:szCs w:val="24"/>
        </w:rPr>
        <w:t xml:space="preserve"> recognise</w:t>
      </w:r>
      <w:r w:rsidR="00101434" w:rsidRPr="00762161">
        <w:rPr>
          <w:szCs w:val="24"/>
        </w:rPr>
        <w:t>d</w:t>
      </w:r>
      <w:r w:rsidR="009D61A9" w:rsidRPr="00762161">
        <w:rPr>
          <w:szCs w:val="24"/>
        </w:rPr>
        <w:t xml:space="preserve"> the presence of thin or infrequent trading on the JSE, compared to the NYSE. Lakonishok &amp; Smidt (1984) further emphasize that thin trading may disable the market</w:t>
      </w:r>
      <w:r w:rsidR="00B035F8">
        <w:rPr>
          <w:szCs w:val="24"/>
        </w:rPr>
        <w:t>’</w:t>
      </w:r>
      <w:r w:rsidR="009D61A9" w:rsidRPr="00762161">
        <w:rPr>
          <w:szCs w:val="24"/>
        </w:rPr>
        <w:t xml:space="preserve">s adjustment abilities. </w:t>
      </w:r>
      <w:r w:rsidR="004E0A29" w:rsidRPr="00762161">
        <w:rPr>
          <w:szCs w:val="24"/>
        </w:rPr>
        <w:t>Mlambo, Biekpe &amp; Smit (2003), as cited in Mlambo &amp; Biekpe (200</w:t>
      </w:r>
      <w:r w:rsidR="00775515">
        <w:rPr>
          <w:szCs w:val="24"/>
        </w:rPr>
        <w:t>3</w:t>
      </w:r>
      <w:r w:rsidR="004E0A29" w:rsidRPr="00762161">
        <w:rPr>
          <w:szCs w:val="24"/>
        </w:rPr>
        <w:t>), found a positive relation between the duration of non-trading and the return magnitudes. This was taken by the authors to suggest that returns following a period of non-trading tend to reflect information arriving in the market over a period longer than a day.</w:t>
      </w:r>
      <w:r w:rsidR="003863CB" w:rsidRPr="00762161">
        <w:rPr>
          <w:szCs w:val="24"/>
        </w:rPr>
        <w:t xml:space="preserve"> </w:t>
      </w:r>
      <w:r w:rsidR="003863CB" w:rsidRPr="00762161">
        <w:t xml:space="preserve">Thinly traded </w:t>
      </w:r>
      <w:r w:rsidR="00634027" w:rsidRPr="00762161">
        <w:t>markets</w:t>
      </w:r>
      <w:r w:rsidR="003863CB" w:rsidRPr="00762161">
        <w:t xml:space="preserve"> are troublesome from an alternative perspective, such as those in Africa </w:t>
      </w:r>
      <w:r w:rsidR="005A0646">
        <w:t xml:space="preserve">and </w:t>
      </w:r>
      <w:r w:rsidR="003863CB" w:rsidRPr="00762161">
        <w:t>are often viewed as being subject to manipulation by insiders at the expense of other investors. It is therefore important, that stock markets in developing countries are able to have at least weak form efficiency (Magnusson &amp; Wydick, 2002).</w:t>
      </w:r>
      <w:r w:rsidR="00DE5D0B" w:rsidRPr="00762161">
        <w:t xml:space="preserve"> The author did however find that the JSE did contain serial correlation in returns, which implies that prices may be driven by insider manipulation or a lack of investor liquidity over longer time periods. </w:t>
      </w:r>
    </w:p>
    <w:p w:rsidR="001621AA" w:rsidRPr="00762161" w:rsidRDefault="00E6595E" w:rsidP="001621AA">
      <w:r w:rsidRPr="00762161">
        <w:t xml:space="preserve">In the same light, </w:t>
      </w:r>
      <w:r w:rsidR="001621AA" w:rsidRPr="00762161">
        <w:t>French &amp; Roll (1986) inte</w:t>
      </w:r>
      <w:r w:rsidR="00B035F8">
        <w:t>restingly found that on average</w:t>
      </w:r>
      <w:r w:rsidR="001621AA" w:rsidRPr="00762161">
        <w:t xml:space="preserve"> approximately 4</w:t>
      </w:r>
      <w:r w:rsidR="00DF5C93" w:rsidRPr="00762161">
        <w:t>%</w:t>
      </w:r>
      <w:r w:rsidR="001621AA" w:rsidRPr="00762161">
        <w:t xml:space="preserve"> to 12% of the daily variance of stocks is caused by price mispricing. However, even if an assumption is made that pricing errors are generated only when the stock exchange is open, these errors have a negligible effect on the difference between trading and non trading variances. The authors conclude that this difference is caused by differences in the flow of information during trading and non trading hours. Moreover, small return variances over exchange holidays suggest that most of this information is private. The authors found that on an hourly basis, the variance of price changes is 72 times higher during trading hours than during weekend non trading hours. Similarly, the hourly variance during trading hours is 13 times the overnight non trading hourly variance during the trading week. The authors therefore make an extremely convincing argument that the flow of information is anything but smooth.</w:t>
      </w:r>
    </w:p>
    <w:p w:rsidR="00975AF0" w:rsidRPr="00762161" w:rsidRDefault="009D61A9" w:rsidP="00975AF0">
      <w:pPr>
        <w:rPr>
          <w:szCs w:val="24"/>
        </w:rPr>
      </w:pPr>
      <w:r w:rsidRPr="00762161">
        <w:rPr>
          <w:szCs w:val="24"/>
        </w:rPr>
        <w:t>Fama (1991) explains that common variation in expected returns may just mean that irrational bubbles are correlated across assets and markets (domestic and international). Th</w:t>
      </w:r>
      <w:r w:rsidR="00DF5C93" w:rsidRPr="00762161">
        <w:rPr>
          <w:szCs w:val="24"/>
        </w:rPr>
        <w:t>is</w:t>
      </w:r>
      <w:r w:rsidRPr="00762161">
        <w:rPr>
          <w:szCs w:val="24"/>
        </w:rPr>
        <w:t xml:space="preserve"> correlation </w:t>
      </w:r>
      <w:r w:rsidRPr="00762161">
        <w:rPr>
          <w:szCs w:val="24"/>
        </w:rPr>
        <w:lastRenderedPageBreak/>
        <w:t xml:space="preserve">may simply imply that common bubbles, in different markets, are related to business conditions. </w:t>
      </w:r>
      <w:r w:rsidR="00DF5C93" w:rsidRPr="00762161">
        <w:rPr>
          <w:szCs w:val="24"/>
        </w:rPr>
        <w:t>Therefore, the</w:t>
      </w:r>
      <w:r w:rsidRPr="00762161">
        <w:rPr>
          <w:szCs w:val="24"/>
        </w:rPr>
        <w:t xml:space="preserve"> </w:t>
      </w:r>
      <w:r w:rsidR="00AD2C6A">
        <w:rPr>
          <w:szCs w:val="24"/>
        </w:rPr>
        <w:t>decision</w:t>
      </w:r>
      <w:r w:rsidR="00DF5C93" w:rsidRPr="00762161">
        <w:rPr>
          <w:szCs w:val="24"/>
        </w:rPr>
        <w:t xml:space="preserve"> on</w:t>
      </w:r>
      <w:r w:rsidRPr="00762161">
        <w:rPr>
          <w:szCs w:val="24"/>
        </w:rPr>
        <w:t xml:space="preserve"> whether return predictability in stock returns is the result of rational variation in expected returns or</w:t>
      </w:r>
      <w:r w:rsidR="00DF5C93" w:rsidRPr="00762161">
        <w:rPr>
          <w:szCs w:val="24"/>
        </w:rPr>
        <w:t xml:space="preserve"> the presence of</w:t>
      </w:r>
      <w:r w:rsidRPr="00762161">
        <w:rPr>
          <w:szCs w:val="24"/>
        </w:rPr>
        <w:t xml:space="preserve"> irrational bubbles is never clear cut. </w:t>
      </w:r>
      <w:r w:rsidR="001B1C56" w:rsidRPr="00762161">
        <w:t>Fischer &amp; Merton (1984) agree</w:t>
      </w:r>
      <w:r w:rsidRPr="00762161">
        <w:t xml:space="preserve"> that such </w:t>
      </w:r>
      <w:r w:rsidR="001B1C56" w:rsidRPr="00762161">
        <w:t xml:space="preserve">irrational </w:t>
      </w:r>
      <w:r w:rsidRPr="00762161">
        <w:t>speculative behaviour produces excess volatility of asset prices relative to their fundamental value.</w:t>
      </w:r>
      <w:r w:rsidR="00975AF0" w:rsidRPr="00762161">
        <w:rPr>
          <w:szCs w:val="24"/>
        </w:rPr>
        <w:t xml:space="preserve"> </w:t>
      </w:r>
    </w:p>
    <w:p w:rsidR="009D61A9" w:rsidRPr="00762161" w:rsidRDefault="009D61A9" w:rsidP="009D61A9">
      <w:r w:rsidRPr="00762161">
        <w:t xml:space="preserve">When there are speculative bubbles, the probability of a return to the true fundamental value is </w:t>
      </w:r>
      <w:r w:rsidR="00712C99" w:rsidRPr="00762161">
        <w:t>such</w:t>
      </w:r>
      <w:r w:rsidRPr="00762161">
        <w:t xml:space="preserve"> that the capital loss that will occur if the stock price falls is offset by the probability of the gain obtained by the rapidly rising share price. In the case of multiple equilibria, changes in expectations by market participants cause resource reallocations and move the economy to a new equilibrium in which there are no excess profits. The self fulfilling prophecy becomes apparent</w:t>
      </w:r>
      <w:r w:rsidR="00B035F8">
        <w:t>,</w:t>
      </w:r>
      <w:r w:rsidRPr="00762161">
        <w:t xml:space="preserve"> </w:t>
      </w:r>
      <w:r w:rsidR="00712C99" w:rsidRPr="00762161">
        <w:t>as</w:t>
      </w:r>
      <w:r w:rsidRPr="00762161">
        <w:t xml:space="preserve"> an increase in investor pessimism could result in lower investment rates that produce the lower output levels </w:t>
      </w:r>
      <w:r w:rsidR="00B035F8">
        <w:t>which</w:t>
      </w:r>
      <w:r w:rsidRPr="00762161">
        <w:t xml:space="preserve"> generate the lower profits that will then justify the pessimism.</w:t>
      </w:r>
      <w:r w:rsidR="008A6A87" w:rsidRPr="00762161">
        <w:t xml:space="preserve"> (Fischer &amp; Merton, 1984)</w:t>
      </w:r>
    </w:p>
    <w:p w:rsidR="004C1ADD" w:rsidRPr="00762161" w:rsidRDefault="009D61A9" w:rsidP="009D61A9">
      <w:pPr>
        <w:rPr>
          <w:szCs w:val="24"/>
        </w:rPr>
      </w:pPr>
      <w:r w:rsidRPr="00762161">
        <w:rPr>
          <w:szCs w:val="24"/>
        </w:rPr>
        <w:t>De Bondt &amp; Thaler (1985) critically discussed the inaccuracy of market efficiency, intending to uncover the presence of irrational bubbles. Stocks identified on</w:t>
      </w:r>
      <w:r w:rsidR="007A6B4B">
        <w:rPr>
          <w:szCs w:val="24"/>
        </w:rPr>
        <w:t xml:space="preserve"> </w:t>
      </w:r>
      <w:r w:rsidR="00B035F8">
        <w:rPr>
          <w:szCs w:val="24"/>
        </w:rPr>
        <w:t>NYSE</w:t>
      </w:r>
      <w:r w:rsidR="007A6B4B">
        <w:rPr>
          <w:szCs w:val="24"/>
        </w:rPr>
        <w:t xml:space="preserve"> </w:t>
      </w:r>
      <w:r w:rsidRPr="00762161">
        <w:rPr>
          <w:szCs w:val="24"/>
        </w:rPr>
        <w:t>as the most extreme losers, over a 3 to 5 year period tended to have strong returns relative to the market during the following years, especially in January of those following years. C</w:t>
      </w:r>
      <w:r w:rsidR="005A0646">
        <w:rPr>
          <w:szCs w:val="24"/>
        </w:rPr>
        <w:t>onversely, those stocks that were</w:t>
      </w:r>
      <w:r w:rsidRPr="00762161">
        <w:rPr>
          <w:szCs w:val="24"/>
        </w:rPr>
        <w:t xml:space="preserve"> identified as extreme winners tended to have weak returns relative to the market in subsequent years. This is primarily attributed to the over-or-under reaction of the market to either extremely good or extremely bad news regarding firms. Chan </w:t>
      </w:r>
      <w:r w:rsidR="005A0646">
        <w:rPr>
          <w:szCs w:val="24"/>
        </w:rPr>
        <w:t>(1986) argues that these winner-</w:t>
      </w:r>
      <w:r w:rsidRPr="00762161">
        <w:rPr>
          <w:szCs w:val="24"/>
        </w:rPr>
        <w:t>loser results are due to a failure in risk-adjusted returns, as opposed to market inefficiency.</w:t>
      </w:r>
      <w:r w:rsidR="005A0646">
        <w:rPr>
          <w:szCs w:val="24"/>
        </w:rPr>
        <w:t xml:space="preserve"> The winner-</w:t>
      </w:r>
      <w:r w:rsidR="00975AF0" w:rsidRPr="00762161">
        <w:rPr>
          <w:szCs w:val="24"/>
        </w:rPr>
        <w:t>loser effect may als</w:t>
      </w:r>
      <w:r w:rsidR="00B035F8">
        <w:rPr>
          <w:szCs w:val="24"/>
        </w:rPr>
        <w:t>o be related to the size effect</w:t>
      </w:r>
      <w:r w:rsidR="00975AF0" w:rsidRPr="00762161">
        <w:rPr>
          <w:szCs w:val="24"/>
        </w:rPr>
        <w:t xml:space="preserve"> as put forward by Banz in 1981, where small stocks, which were often grouped under the loser category, have higher expected returns than larger stocks.</w:t>
      </w:r>
      <w:r w:rsidR="004A11FE" w:rsidRPr="00762161">
        <w:rPr>
          <w:szCs w:val="24"/>
        </w:rPr>
        <w:t xml:space="preserve"> </w:t>
      </w:r>
      <w:r w:rsidR="004C1ADD" w:rsidRPr="00762161">
        <w:rPr>
          <w:szCs w:val="24"/>
        </w:rPr>
        <w:t xml:space="preserve">As Page &amp; Way (1992) state, since weak form </w:t>
      </w:r>
      <w:r w:rsidR="004C1ADD" w:rsidRPr="00762161">
        <w:rPr>
          <w:szCs w:val="24"/>
        </w:rPr>
        <w:lastRenderedPageBreak/>
        <w:t>efficiency implies abnormal returns cannot be consistently earned on the basis of their historical returns, evidence of market overreaction is contrary to weak form EMH.</w:t>
      </w:r>
    </w:p>
    <w:p w:rsidR="009D61A9" w:rsidRPr="00762161" w:rsidRDefault="004C1ADD" w:rsidP="009D61A9">
      <w:pPr>
        <w:rPr>
          <w:szCs w:val="24"/>
        </w:rPr>
      </w:pPr>
      <w:r w:rsidRPr="00762161">
        <w:rPr>
          <w:szCs w:val="24"/>
        </w:rPr>
        <w:t xml:space="preserve">Using a similar methodology, </w:t>
      </w:r>
      <w:r w:rsidR="004A11FE" w:rsidRPr="00762161">
        <w:rPr>
          <w:szCs w:val="24"/>
        </w:rPr>
        <w:t xml:space="preserve">Muller (1999) examined the JSE </w:t>
      </w:r>
      <w:r w:rsidR="00093D9B" w:rsidRPr="00762161">
        <w:rPr>
          <w:szCs w:val="24"/>
        </w:rPr>
        <w:t>over the period 1985</w:t>
      </w:r>
      <w:r w:rsidR="005A0646">
        <w:rPr>
          <w:szCs w:val="24"/>
        </w:rPr>
        <w:t>-</w:t>
      </w:r>
      <w:r w:rsidR="00093D9B" w:rsidRPr="00762161">
        <w:rPr>
          <w:szCs w:val="24"/>
        </w:rPr>
        <w:t xml:space="preserve">1997 </w:t>
      </w:r>
      <w:r w:rsidR="004A11FE" w:rsidRPr="00762161">
        <w:rPr>
          <w:szCs w:val="24"/>
        </w:rPr>
        <w:t xml:space="preserve">and found clear evidence supporting the concept of overreaction on the JSE. Loser strategy portfolios clearly yielded higher excess market returns with increasing holding period. Winner strategy portfolios showed lower excess market returns with increasing holding period. Although there was a </w:t>
      </w:r>
      <w:r w:rsidR="005A0646">
        <w:rPr>
          <w:szCs w:val="24"/>
        </w:rPr>
        <w:t>reversion</w:t>
      </w:r>
      <w:r w:rsidR="004A11FE" w:rsidRPr="00762161">
        <w:rPr>
          <w:szCs w:val="24"/>
        </w:rPr>
        <w:t xml:space="preserve"> to the mean in both cases, the price momentum of the winner strategy portfolio took prices beyond their intrinsic value. The author also found the presence of arbitrage opportunities given this evidence. Adopting a winner strategy with a three month holding period and a portfolio containing between twenty and forty equally weighted shares over the investment horizon of 198</w:t>
      </w:r>
      <w:r w:rsidR="002A2B4F" w:rsidRPr="00762161">
        <w:rPr>
          <w:szCs w:val="24"/>
        </w:rPr>
        <w:t>5</w:t>
      </w:r>
      <w:r w:rsidR="005A0646">
        <w:rPr>
          <w:szCs w:val="24"/>
        </w:rPr>
        <w:t>-1</w:t>
      </w:r>
      <w:r w:rsidR="004A11FE" w:rsidRPr="00762161">
        <w:rPr>
          <w:szCs w:val="24"/>
        </w:rPr>
        <w:t>997, provided excess returns of 15% per annum. This was in contrast to De Bondt &amp; Thaler (1985), but may simply be due to the short investment horizon</w:t>
      </w:r>
      <w:r w:rsidR="008F52BB" w:rsidRPr="00762161">
        <w:rPr>
          <w:szCs w:val="24"/>
        </w:rPr>
        <w:t>.</w:t>
      </w:r>
      <w:r w:rsidR="004A11FE" w:rsidRPr="00762161">
        <w:rPr>
          <w:szCs w:val="24"/>
        </w:rPr>
        <w:t xml:space="preserve"> Adopting a loser strategy over a similar investment horizon, with a one year or greater holding period and a portfolio containing between twenty and thirty shares, provided excess returns of 20% per annum. This clearly shows long term inefficiency on the JSE.</w:t>
      </w:r>
      <w:r w:rsidRPr="00762161">
        <w:rPr>
          <w:szCs w:val="24"/>
        </w:rPr>
        <w:t xml:space="preserve"> Page &amp; Way (1992) found evidence, </w:t>
      </w:r>
      <w:r w:rsidR="00093D9B" w:rsidRPr="00762161">
        <w:rPr>
          <w:szCs w:val="24"/>
        </w:rPr>
        <w:t>over the period 1974 to 1989</w:t>
      </w:r>
      <w:r w:rsidRPr="00762161">
        <w:rPr>
          <w:szCs w:val="24"/>
        </w:rPr>
        <w:t xml:space="preserve">, of the overreaction hypothesis, </w:t>
      </w:r>
      <w:r w:rsidR="00AD2C6A">
        <w:rPr>
          <w:szCs w:val="24"/>
        </w:rPr>
        <w:t xml:space="preserve">also </w:t>
      </w:r>
      <w:r w:rsidRPr="00762161">
        <w:rPr>
          <w:szCs w:val="24"/>
        </w:rPr>
        <w:t>concluding that there is substantial weak form inefficiencies on the JSE in the long term.</w:t>
      </w:r>
    </w:p>
    <w:p w:rsidR="009D61A9" w:rsidRPr="00762161" w:rsidRDefault="009D61A9" w:rsidP="009D61A9">
      <w:pPr>
        <w:rPr>
          <w:szCs w:val="24"/>
        </w:rPr>
      </w:pPr>
      <w:r w:rsidRPr="00762161">
        <w:rPr>
          <w:szCs w:val="24"/>
        </w:rPr>
        <w:t>Fama &amp; French (1989) suggest a different way to view the possible propositions of return predictability for the concept of market efficiency. The authors argue that if variation in expected returns is common to varying types of securities, then it is probably a rational result of variation in tastes for current-versus-future consumption</w:t>
      </w:r>
      <w:r w:rsidR="001439B9" w:rsidRPr="00762161">
        <w:rPr>
          <w:szCs w:val="24"/>
        </w:rPr>
        <w:t>,</w:t>
      </w:r>
      <w:r w:rsidRPr="00762161">
        <w:rPr>
          <w:szCs w:val="24"/>
        </w:rPr>
        <w:t xml:space="preserve"> </w:t>
      </w:r>
      <w:r w:rsidR="001439B9" w:rsidRPr="00762161">
        <w:rPr>
          <w:szCs w:val="24"/>
        </w:rPr>
        <w:t>intertemporal consumption,</w:t>
      </w:r>
      <w:r w:rsidR="00B035F8">
        <w:rPr>
          <w:szCs w:val="24"/>
        </w:rPr>
        <w:t xml:space="preserve"> or it</w:t>
      </w:r>
      <w:r w:rsidRPr="00762161">
        <w:rPr>
          <w:szCs w:val="24"/>
        </w:rPr>
        <w:t xml:space="preserve"> is the result of the investment opportunities of the actual firm.</w:t>
      </w:r>
    </w:p>
    <w:p w:rsidR="009D61A9" w:rsidRPr="00762161" w:rsidRDefault="009D61A9" w:rsidP="009D61A9">
      <w:pPr>
        <w:spacing w:before="480"/>
      </w:pPr>
      <w:r w:rsidRPr="00762161">
        <w:t xml:space="preserve">Fischer &amp; Merton (1984) state that the failure of the Efficient Market Hypothesis has implications far beyond wealth transfers between sophisticated and unsophisticated investors. It </w:t>
      </w:r>
      <w:r w:rsidRPr="00762161">
        <w:lastRenderedPageBreak/>
        <w:t>implies broadly that decentralised production decisions based on stock prices as signals will lead to inefficient capital allocations. Moreover, irrational stock prices can cause inefficient corporate investment decisions</w:t>
      </w:r>
      <w:r w:rsidR="00B035F8">
        <w:t>,</w:t>
      </w:r>
      <w:r w:rsidRPr="00762161">
        <w:t xml:space="preserve"> even if managers are rational and do not rely on stock prices as an accurate assessment of future earnings.</w:t>
      </w:r>
      <w:r w:rsidR="008A6A87" w:rsidRPr="00762161">
        <w:t xml:space="preserve"> Stein (2009) empirically finds that the presence of sophisticated investors does in no way add to the presumption of increased market efficiency, although the author does find that unsophisticated investors are playing an increasingly prevalent role in the market than they used to. Increasing irrationality can surely </w:t>
      </w:r>
      <w:r w:rsidR="001A2447">
        <w:t>only decrease market efficiency, from a semi strong perspective.</w:t>
      </w:r>
    </w:p>
    <w:p w:rsidR="001A2447" w:rsidRDefault="001A2447" w:rsidP="001A2447">
      <w:pPr>
        <w:spacing w:before="480"/>
      </w:pPr>
      <w:r w:rsidRPr="00762161">
        <w:t>The studies of Shiller (1981) and LeRoy &amp; Porter (1981) are a serious attack on market efficiency because the apparent violations are so large and because the data are extended over a long sample period. These studies measures stock price volatility relative to the movements in an estimate of correctly and fundamentally valued stock prices. However a major pitfall is the notion of a joint hyp</w:t>
      </w:r>
      <w:r w:rsidR="00B035F8">
        <w:t>othesis which these authors use</w:t>
      </w:r>
      <w:r w:rsidRPr="00762161">
        <w:t>, thus to interpret their findings as stock market irrationality requires that an investor have more faith in t</w:t>
      </w:r>
      <w:r w:rsidR="00B035F8">
        <w:t>he author’s model’s assessments</w:t>
      </w:r>
      <w:r w:rsidRPr="00762161">
        <w:t xml:space="preserve"> of the fundamentals than the markets. Kleidon (1986) re-examined these same variance bond tests and concluded that the seeming violations are entirely consistent with market efficiency. Fama (1991), who concurs with the above authors, by stating that the ambiguous information levels and the pr</w:t>
      </w:r>
      <w:r w:rsidR="00B035F8">
        <w:t>esence of trading costs are not</w:t>
      </w:r>
      <w:r w:rsidRPr="00762161">
        <w:t xml:space="preserve"> the main obstacle to the making inferences about market efficienc</w:t>
      </w:r>
      <w:r w:rsidR="00B035F8">
        <w:t>y. The joint hypothesis problem</w:t>
      </w:r>
      <w:r w:rsidRPr="00762161">
        <w:t xml:space="preserve"> therefore, is that market efficiency is not actually directly testable, and it must be tested jointly with some as</w:t>
      </w:r>
      <w:r w:rsidR="00B035F8">
        <w:t>set pricing model. According to</w:t>
      </w:r>
      <w:r w:rsidRPr="00762161">
        <w:t xml:space="preserve"> Fama (1970) a pricing model needs to be somewhat of a perfect predictor such that one can test whether information is properly reflected in security prices through the joint hypothesis path. Thus, when anomalous evidence is found in share price data on the behaviour of the returns themselves, deciphering whether the model or market efficiency is to blame is ambiguous at best.</w:t>
      </w:r>
    </w:p>
    <w:p w:rsidR="001A2447" w:rsidRDefault="001A2447" w:rsidP="001A2447">
      <w:pPr>
        <w:rPr>
          <w:szCs w:val="24"/>
        </w:rPr>
      </w:pPr>
      <w:r w:rsidRPr="00762161">
        <w:rPr>
          <w:szCs w:val="24"/>
        </w:rPr>
        <w:lastRenderedPageBreak/>
        <w:t>Seyhun (1986) investigates insider’s ability to earn abnormal returns, due to their superior information. The ability to earn abnormal returns on the basis of publically available information would contradict the EMH</w:t>
      </w:r>
      <w:r w:rsidR="005A0646">
        <w:rPr>
          <w:szCs w:val="24"/>
        </w:rPr>
        <w:t>, under strong form,</w:t>
      </w:r>
      <w:r w:rsidRPr="00762161">
        <w:rPr>
          <w:szCs w:val="24"/>
        </w:rPr>
        <w:t xml:space="preserve"> since it assumes that stock prices reflect all available information. Further findings indicate that insiders could earn abnormal returns; however, no significant positive abnormal returns were earned by outsiders, who followed insiders, after transaction costs. Fama (1970) states the strong form EMH would not be expected to be an exact description of the world, but rather a benchmark against which deviations from market efficiency should be judged. Seyhun (1986) documented that corporate insiders and specialists on major exchanges are the only groups with monopolistic access to information. Although this last point seems to contradict an assumption of the strong form EMH, weak and semi strong form EMH are still a good approximation of reality.</w:t>
      </w:r>
    </w:p>
    <w:p w:rsidR="001A2447" w:rsidRPr="00762161" w:rsidRDefault="001A2447" w:rsidP="001A2447">
      <w:r w:rsidRPr="00762161">
        <w:t>Perhaps the only empirical test which would reject market rationality is the existence of persistent and true arbitrage (Fischer &amp; Merton, 1984). Yet, one could assume that any violations of efficiency would imply that individuals or firms could make large profits</w:t>
      </w:r>
      <w:r w:rsidR="00B035F8">
        <w:t xml:space="preserve"> by trading on the inefficiency</w:t>
      </w:r>
      <w:r w:rsidRPr="00762161">
        <w:t xml:space="preserve"> and in the process restore the market to efficiency. Malkiel (2005) questions the possible rejection of the EMH. Surely, if market prices often failed to reflect rational expectations of the prospects of companies, and if markets consistently overreacted (or under reacted) to underlying conditions, then sophisticated and informed investors should be </w:t>
      </w:r>
      <w:r w:rsidR="005A0646">
        <w:t>able to produce excess returns?</w:t>
      </w:r>
      <w:r w:rsidRPr="00762161">
        <w:t xml:space="preserve"> The most telling of evidence lies in the underperformance of actively managed funds relative to passive portfolios. If prices were often irrational and if market returns were as predictable as some critics of the EMH argue, then surely actively managed funds should easily be able to outperform a passive funds that simply buys</w:t>
      </w:r>
      <w:r w:rsidR="00B035F8">
        <w:t xml:space="preserve"> and holds the market portfolio?</w:t>
      </w:r>
    </w:p>
    <w:p w:rsidR="00433A63" w:rsidRPr="00762161" w:rsidRDefault="00433A63" w:rsidP="009D61A9">
      <w:pPr>
        <w:spacing w:before="480"/>
      </w:pPr>
    </w:p>
    <w:p w:rsidR="00433A63" w:rsidRPr="00762161" w:rsidRDefault="00433A63" w:rsidP="00433A63">
      <w:pPr>
        <w:pStyle w:val="Heading2"/>
        <w:numPr>
          <w:ilvl w:val="1"/>
          <w:numId w:val="32"/>
        </w:numPr>
      </w:pPr>
      <w:bookmarkStart w:id="45" w:name="_Toc286616289"/>
      <w:r w:rsidRPr="00762161">
        <w:lastRenderedPageBreak/>
        <w:t>Stock Price Anomalies</w:t>
      </w:r>
      <w:bookmarkEnd w:id="45"/>
    </w:p>
    <w:p w:rsidR="00EA027A" w:rsidRPr="00762161" w:rsidRDefault="00201B85" w:rsidP="00EA027A">
      <w:pPr>
        <w:rPr>
          <w:szCs w:val="24"/>
        </w:rPr>
      </w:pPr>
      <w:r w:rsidRPr="00762161">
        <w:rPr>
          <w:szCs w:val="24"/>
        </w:rPr>
        <w:t xml:space="preserve">The presence of anomalies began to emerge in the 1980s through definitive papers by </w:t>
      </w:r>
      <w:r w:rsidR="008306F4" w:rsidRPr="00762161">
        <w:rPr>
          <w:szCs w:val="24"/>
        </w:rPr>
        <w:t xml:space="preserve">Banz (1981) and </w:t>
      </w:r>
      <w:r w:rsidRPr="00762161">
        <w:rPr>
          <w:szCs w:val="24"/>
        </w:rPr>
        <w:t xml:space="preserve">Keim (1983) who spoke about the size </w:t>
      </w:r>
      <w:r w:rsidR="009443C0" w:rsidRPr="00762161">
        <w:rPr>
          <w:szCs w:val="24"/>
        </w:rPr>
        <w:t>effect;</w:t>
      </w:r>
      <w:r w:rsidRPr="00762161">
        <w:rPr>
          <w:szCs w:val="24"/>
        </w:rPr>
        <w:t xml:space="preserve"> Re</w:t>
      </w:r>
      <w:r w:rsidR="009443C0" w:rsidRPr="00762161">
        <w:rPr>
          <w:szCs w:val="24"/>
        </w:rPr>
        <w:t>inganum (1983)</w:t>
      </w:r>
      <w:r w:rsidRPr="00762161">
        <w:rPr>
          <w:szCs w:val="24"/>
        </w:rPr>
        <w:t xml:space="preserve"> and Roll (1983) who</w:t>
      </w:r>
      <w:r w:rsidR="009443C0" w:rsidRPr="00762161">
        <w:rPr>
          <w:szCs w:val="24"/>
        </w:rPr>
        <w:t xml:space="preserve"> both</w:t>
      </w:r>
      <w:r w:rsidRPr="00762161">
        <w:rPr>
          <w:szCs w:val="24"/>
        </w:rPr>
        <w:t xml:space="preserve"> helped define the January effect</w:t>
      </w:r>
      <w:r w:rsidR="009443C0" w:rsidRPr="00762161">
        <w:rPr>
          <w:szCs w:val="24"/>
        </w:rPr>
        <w:t xml:space="preserve">, or turn-of-the-year effect; </w:t>
      </w:r>
      <w:r w:rsidR="00833874">
        <w:rPr>
          <w:szCs w:val="24"/>
        </w:rPr>
        <w:t>the earnings price anomaly of Basu (19</w:t>
      </w:r>
      <w:r w:rsidR="00B035F8">
        <w:rPr>
          <w:szCs w:val="24"/>
        </w:rPr>
        <w:t>8</w:t>
      </w:r>
      <w:r w:rsidR="00833874">
        <w:rPr>
          <w:szCs w:val="24"/>
        </w:rPr>
        <w:t xml:space="preserve">3); </w:t>
      </w:r>
      <w:r w:rsidR="00E66F59" w:rsidRPr="00762161">
        <w:rPr>
          <w:szCs w:val="24"/>
        </w:rPr>
        <w:t xml:space="preserve">and lastly </w:t>
      </w:r>
      <w:r w:rsidR="009443C0" w:rsidRPr="00762161">
        <w:rPr>
          <w:szCs w:val="24"/>
        </w:rPr>
        <w:t>Lakonishok &amp; Smidt (1988) who tested January, Monday, holiday and end of the month seasonal. These anomalies all directly, or indirectly, attacked the idea of efficient markets.</w:t>
      </w:r>
      <w:r w:rsidR="00D162BD" w:rsidRPr="00762161">
        <w:rPr>
          <w:szCs w:val="24"/>
        </w:rPr>
        <w:t xml:space="preserve"> As Keim (1983) points out, by ignoring transaction costs, the presence of this seasonal pattern strongly suggests market inefficiency. Fountas &amp; </w:t>
      </w:r>
      <w:r w:rsidR="00634027" w:rsidRPr="00762161">
        <w:rPr>
          <w:szCs w:val="24"/>
        </w:rPr>
        <w:t>Segredakis</w:t>
      </w:r>
      <w:r w:rsidR="00634027">
        <w:rPr>
          <w:szCs w:val="24"/>
        </w:rPr>
        <w:t xml:space="preserve"> </w:t>
      </w:r>
      <w:r w:rsidR="00634027" w:rsidRPr="00762161">
        <w:rPr>
          <w:szCs w:val="24"/>
        </w:rPr>
        <w:t>(</w:t>
      </w:r>
      <w:r w:rsidR="00D162BD" w:rsidRPr="00762161">
        <w:rPr>
          <w:szCs w:val="24"/>
        </w:rPr>
        <w:t>2002) also crucially emphasise, evidence in favour of seasonality in returns implies that informational efficiency does not hold. However, Fama (1991) argues that seasonal in returns are anomalies in the sense that asset pricing models do not predict them, but they are not necessarily embarrassments of market efficiency.</w:t>
      </w:r>
      <w:r w:rsidR="00EA027A" w:rsidRPr="00762161">
        <w:rPr>
          <w:szCs w:val="24"/>
        </w:rPr>
        <w:t xml:space="preserve"> </w:t>
      </w:r>
    </w:p>
    <w:p w:rsidR="00433A63" w:rsidRPr="00762161" w:rsidRDefault="00433A63" w:rsidP="00433A63">
      <w:pPr>
        <w:rPr>
          <w:szCs w:val="24"/>
        </w:rPr>
      </w:pPr>
      <w:r w:rsidRPr="00762161">
        <w:rPr>
          <w:szCs w:val="24"/>
        </w:rPr>
        <w:t>The turn-of-the-year effect, as defined by Roll (1983), refers to the</w:t>
      </w:r>
      <w:r w:rsidR="00B035F8">
        <w:rPr>
          <w:szCs w:val="24"/>
        </w:rPr>
        <w:t xml:space="preserve"> annual decrease in stock price</w:t>
      </w:r>
      <w:r w:rsidRPr="00762161">
        <w:rPr>
          <w:szCs w:val="24"/>
        </w:rPr>
        <w:t xml:space="preserve"> for sm</w:t>
      </w:r>
      <w:r w:rsidR="00B035F8">
        <w:rPr>
          <w:szCs w:val="24"/>
        </w:rPr>
        <w:t>all market capitalisation firms</w:t>
      </w:r>
      <w:r w:rsidRPr="00762161">
        <w:rPr>
          <w:szCs w:val="24"/>
        </w:rPr>
        <w:t xml:space="preserve"> during the month of December</w:t>
      </w:r>
      <w:r w:rsidR="00B035F8">
        <w:rPr>
          <w:szCs w:val="24"/>
        </w:rPr>
        <w:t>,</w:t>
      </w:r>
      <w:r w:rsidRPr="00762161">
        <w:rPr>
          <w:szCs w:val="24"/>
        </w:rPr>
        <w:t xml:space="preserve"> followed by abnormal returns during January. This anomaly has occurred with unrelenting consistency and is in direct contradiction with the theory set forth by the EMH. Surprisingly this phenomenon has not been traded out by investors. </w:t>
      </w:r>
      <w:r w:rsidR="00EA027A" w:rsidRPr="00762161">
        <w:rPr>
          <w:szCs w:val="24"/>
        </w:rPr>
        <w:t xml:space="preserve">Furthermore </w:t>
      </w:r>
      <w:r w:rsidR="009571D9" w:rsidRPr="00762161">
        <w:rPr>
          <w:szCs w:val="24"/>
        </w:rPr>
        <w:t>the author</w:t>
      </w:r>
      <w:r w:rsidR="00EA027A" w:rsidRPr="00762161">
        <w:rPr>
          <w:szCs w:val="24"/>
        </w:rPr>
        <w:t xml:space="preserve"> documents that about 37% of the entire yearly differential appears to occur during the first five trading days of the year with the first twenty trading days (which is almost the entire month) explaining around 67% of the annual return differential. </w:t>
      </w:r>
      <w:r w:rsidR="00BB208E">
        <w:rPr>
          <w:szCs w:val="24"/>
        </w:rPr>
        <w:t xml:space="preserve">However, from a JSE perspective </w:t>
      </w:r>
      <w:r w:rsidR="00BB208E" w:rsidRPr="0075744E">
        <w:rPr>
          <w:noProof/>
          <w:szCs w:val="24"/>
        </w:rPr>
        <w:t>Bradfield (1990)</w:t>
      </w:r>
      <w:r w:rsidR="00BB208E" w:rsidRPr="0075744E">
        <w:rPr>
          <w:szCs w:val="24"/>
        </w:rPr>
        <w:t xml:space="preserve"> did not find any evidence of a Janu</w:t>
      </w:r>
      <w:r w:rsidR="00E62956">
        <w:rPr>
          <w:szCs w:val="24"/>
        </w:rPr>
        <w:t>ary effect over the period 1974-</w:t>
      </w:r>
      <w:r w:rsidR="00BB208E" w:rsidRPr="0075744E">
        <w:rPr>
          <w:szCs w:val="24"/>
        </w:rPr>
        <w:t xml:space="preserve">1984, but instead </w:t>
      </w:r>
      <w:r w:rsidR="00E62956">
        <w:rPr>
          <w:szCs w:val="24"/>
        </w:rPr>
        <w:t xml:space="preserve">found </w:t>
      </w:r>
      <w:r w:rsidR="00BB208E" w:rsidRPr="0075744E">
        <w:rPr>
          <w:szCs w:val="24"/>
        </w:rPr>
        <w:t>a December effect.</w:t>
      </w:r>
    </w:p>
    <w:p w:rsidR="008306F4" w:rsidRDefault="008306F4" w:rsidP="008306F4">
      <w:r w:rsidRPr="00762161">
        <w:rPr>
          <w:szCs w:val="24"/>
        </w:rPr>
        <w:t>Banz (1981) was one of the first</w:t>
      </w:r>
      <w:r w:rsidR="00E62956">
        <w:rPr>
          <w:szCs w:val="24"/>
        </w:rPr>
        <w:t xml:space="preserve"> authors</w:t>
      </w:r>
      <w:r w:rsidRPr="00762161">
        <w:rPr>
          <w:szCs w:val="24"/>
        </w:rPr>
        <w:t xml:space="preserve"> to introduce the idea of a size effect. The author explained that the differences in returns between small and large firms, based upon market capitalisation, were not completely expla</w:t>
      </w:r>
      <w:r w:rsidR="00E62956">
        <w:rPr>
          <w:szCs w:val="24"/>
        </w:rPr>
        <w:t>ined by the traditionally used C</w:t>
      </w:r>
      <w:r w:rsidRPr="00762161">
        <w:rPr>
          <w:szCs w:val="24"/>
        </w:rPr>
        <w:t xml:space="preserve">apital </w:t>
      </w:r>
      <w:r w:rsidR="00E62956">
        <w:rPr>
          <w:szCs w:val="24"/>
        </w:rPr>
        <w:t>A</w:t>
      </w:r>
      <w:r w:rsidRPr="00762161">
        <w:rPr>
          <w:szCs w:val="24"/>
        </w:rPr>
        <w:t xml:space="preserve">sset </w:t>
      </w:r>
      <w:r w:rsidR="00E62956">
        <w:rPr>
          <w:szCs w:val="24"/>
        </w:rPr>
        <w:t>P</w:t>
      </w:r>
      <w:r w:rsidRPr="00762161">
        <w:rPr>
          <w:szCs w:val="24"/>
        </w:rPr>
        <w:t xml:space="preserve">ricing </w:t>
      </w:r>
      <w:r w:rsidR="00E62956">
        <w:rPr>
          <w:szCs w:val="24"/>
        </w:rPr>
        <w:lastRenderedPageBreak/>
        <w:t>M</w:t>
      </w:r>
      <w:r w:rsidRPr="00762161">
        <w:rPr>
          <w:szCs w:val="24"/>
        </w:rPr>
        <w:t>odel (</w:t>
      </w:r>
      <w:r w:rsidRPr="00762161">
        <w:rPr>
          <w:rFonts w:eastAsia="Times New Roman"/>
          <w:szCs w:val="24"/>
        </w:rPr>
        <w:t>CAPM</w:t>
      </w:r>
      <w:r w:rsidRPr="00762161">
        <w:rPr>
          <w:szCs w:val="24"/>
        </w:rPr>
        <w:t xml:space="preserve">) betas </w:t>
      </w:r>
      <w:r w:rsidRPr="00762161">
        <w:rPr>
          <w:rFonts w:eastAsia="Times New Roman"/>
          <w:szCs w:val="24"/>
        </w:rPr>
        <w:t>(β)</w:t>
      </w:r>
      <w:r w:rsidRPr="00762161">
        <w:rPr>
          <w:szCs w:val="24"/>
        </w:rPr>
        <w:t xml:space="preserve">. These long-established </w:t>
      </w:r>
      <w:r w:rsidRPr="00762161">
        <w:rPr>
          <w:rFonts w:eastAsia="Times New Roman"/>
          <w:szCs w:val="24"/>
        </w:rPr>
        <w:t>β’s</w:t>
      </w:r>
      <w:r w:rsidRPr="00762161">
        <w:rPr>
          <w:szCs w:val="24"/>
        </w:rPr>
        <w:t>, are not an accurate description of the factors prod</w:t>
      </w:r>
      <w:r w:rsidR="00B035F8">
        <w:rPr>
          <w:szCs w:val="24"/>
        </w:rPr>
        <w:t>ucing equilibrium asset returns,</w:t>
      </w:r>
      <w:r w:rsidRPr="00762161">
        <w:rPr>
          <w:szCs w:val="24"/>
        </w:rPr>
        <w:t xml:space="preserve"> therefore the market is simply compensating investors for any additional unforeseen risks. Roll (1983) also states that the long term average return premium of small firms is due to some type of risk, which is as yet, unmeasured. Small firms are simply deemed to be more sensitive to these unseen risks. Ritter (1988) explains that this theory has great academic appeal because market efficiency </w:t>
      </w:r>
      <w:r w:rsidR="00EA027A" w:rsidRPr="00762161">
        <w:rPr>
          <w:szCs w:val="24"/>
        </w:rPr>
        <w:t>i</w:t>
      </w:r>
      <w:r w:rsidRPr="00762161">
        <w:rPr>
          <w:szCs w:val="24"/>
        </w:rPr>
        <w:t xml:space="preserve">s built upon the pretence of </w:t>
      </w:r>
      <w:r w:rsidR="00553DB8" w:rsidRPr="00762161">
        <w:rPr>
          <w:szCs w:val="24"/>
        </w:rPr>
        <w:t>risk;</w:t>
      </w:r>
      <w:r w:rsidRPr="00762161">
        <w:rPr>
          <w:szCs w:val="24"/>
        </w:rPr>
        <w:t xml:space="preserve"> the possibility that asset pricing models cannot quantify it does not mean the market is inefficient, it simply means that the asset pricing model is incorrectly specified. Once again the joint hypothesis, as discussed by Fama (1991)</w:t>
      </w:r>
      <w:r w:rsidR="009571D9" w:rsidRPr="00762161">
        <w:rPr>
          <w:szCs w:val="24"/>
        </w:rPr>
        <w:t>,</w:t>
      </w:r>
      <w:r w:rsidRPr="00762161">
        <w:rPr>
          <w:szCs w:val="24"/>
        </w:rPr>
        <w:t xml:space="preserve"> surfaces </w:t>
      </w:r>
      <w:r w:rsidR="00B035F8" w:rsidRPr="00762161">
        <w:rPr>
          <w:szCs w:val="24"/>
        </w:rPr>
        <w:t>since</w:t>
      </w:r>
      <w:r w:rsidRPr="00762161">
        <w:rPr>
          <w:szCs w:val="24"/>
        </w:rPr>
        <w:t xml:space="preserve"> </w:t>
      </w:r>
      <w:r w:rsidRPr="00762161">
        <w:t xml:space="preserve">market efficiency is not actually directly testable, </w:t>
      </w:r>
      <w:r w:rsidR="00B035F8">
        <w:t xml:space="preserve">as </w:t>
      </w:r>
      <w:r w:rsidRPr="00762161">
        <w:t xml:space="preserve">it </w:t>
      </w:r>
      <w:r w:rsidR="00B035F8">
        <w:t>should</w:t>
      </w:r>
      <w:r w:rsidRPr="00762161">
        <w:t xml:space="preserve"> be tested jointly with some asset pricing model.</w:t>
      </w:r>
    </w:p>
    <w:p w:rsidR="007135C6" w:rsidRDefault="007135C6" w:rsidP="007135C6">
      <w:pPr>
        <w:rPr>
          <w:szCs w:val="24"/>
        </w:rPr>
      </w:pPr>
      <w:r w:rsidRPr="00762161">
        <w:rPr>
          <w:szCs w:val="24"/>
        </w:rPr>
        <w:t>Fama (1991) offers caution when dealing with small stocks. Small stock returns, and the existence of the January bias in favour of small stocks, are sensitive to small changes in the way that small stock portfolios are defined. The author suggests that until more is known about the pri</w:t>
      </w:r>
      <w:r w:rsidR="00B035F8">
        <w:rPr>
          <w:szCs w:val="24"/>
        </w:rPr>
        <w:t>cing, and economic fundamentals</w:t>
      </w:r>
      <w:r w:rsidRPr="00762161">
        <w:rPr>
          <w:szCs w:val="24"/>
        </w:rPr>
        <w:t xml:space="preserve"> of small stocks, inferences should be cautious for the many anomalies where small stocks play a large role.</w:t>
      </w:r>
    </w:p>
    <w:p w:rsidR="008306F4" w:rsidRPr="00762161" w:rsidRDefault="008306F4" w:rsidP="008306F4">
      <w:pPr>
        <w:rPr>
          <w:szCs w:val="24"/>
        </w:rPr>
      </w:pPr>
      <w:r w:rsidRPr="00762161">
        <w:rPr>
          <w:szCs w:val="24"/>
        </w:rPr>
        <w:t xml:space="preserve">Fama (1991) explains that a common argument for the advent of anomalies is primarily based on the estimates of </w:t>
      </w:r>
      <w:r w:rsidRPr="00762161">
        <w:rPr>
          <w:rFonts w:eastAsia="Times New Roman"/>
          <w:szCs w:val="24"/>
        </w:rPr>
        <w:t>β</w:t>
      </w:r>
      <w:r w:rsidR="001920C4">
        <w:rPr>
          <w:rFonts w:eastAsia="Times New Roman"/>
          <w:szCs w:val="24"/>
        </w:rPr>
        <w:t>,</w:t>
      </w:r>
      <w:r w:rsidR="001920C4" w:rsidRPr="001920C4">
        <w:rPr>
          <w:szCs w:val="24"/>
        </w:rPr>
        <w:t xml:space="preserve"> </w:t>
      </w:r>
      <w:r w:rsidRPr="00762161">
        <w:rPr>
          <w:rFonts w:eastAsia="Times New Roman"/>
          <w:szCs w:val="24"/>
        </w:rPr>
        <w:t>being noisy</w:t>
      </w:r>
      <w:r w:rsidRPr="00762161">
        <w:rPr>
          <w:szCs w:val="24"/>
        </w:rPr>
        <w:t xml:space="preserve"> and instead the variables of these anomalies are correlated with th</w:t>
      </w:r>
      <w:r w:rsidR="001B643F">
        <w:rPr>
          <w:szCs w:val="24"/>
        </w:rPr>
        <w:t xml:space="preserve">e true β’s. Chan &amp; Chen (1988) </w:t>
      </w:r>
      <w:r w:rsidRPr="00762161">
        <w:rPr>
          <w:szCs w:val="24"/>
        </w:rPr>
        <w:t>find that when portfolios are formed on a size adjusted basis, the estimated β’s of the portfolios are perfectly correlated with the average size of stocks in the portfolios. Thus distinguishing between the roles of size and β in the expected returns on size portfolios is likely to be near impossible. Likewise, theory predicts that, given a firm’s business activities, the β (or systematic risk) of its stock increases with leverage. Thus leverage might, in fact, be somewhat of a proxy for true β when β estimates are potentially noisy.</w:t>
      </w:r>
    </w:p>
    <w:p w:rsidR="007D2C8C" w:rsidRPr="00762161" w:rsidRDefault="007D2C8C" w:rsidP="007D2C8C">
      <w:r w:rsidRPr="00762161">
        <w:lastRenderedPageBreak/>
        <w:t>As Ferson &amp; Harvey in their 1991 paper explain, the asset pricing models imply that the expected st</w:t>
      </w:r>
      <w:r w:rsidR="00E62956">
        <w:t>ock returns are related to the</w:t>
      </w:r>
      <w:r w:rsidRPr="00762161">
        <w:t xml:space="preserve"> sensitivity to changes in the state of the economy. Th</w:t>
      </w:r>
      <w:r w:rsidR="00E62956">
        <w:t>is</w:t>
      </w:r>
      <w:r w:rsidRPr="00762161">
        <w:t xml:space="preserve"> sensitivity </w:t>
      </w:r>
      <w:r w:rsidR="00E62956">
        <w:t>is</w:t>
      </w:r>
      <w:r w:rsidRPr="00762161">
        <w:t xml:space="preserve"> measured by β coefficients. For each of the relevant variables, there is a market wide price of β measured in the form of an increment to the expected return per unit of β. Chen, Roll &amp; Ross (1986) state that by the diversification theory that is implicit in capital market theory, only the broad and general economic state variables will influence the pricing of large stock market aggregates. Any systematic variables that affect the economy’s pricing operator or that influence dividends would also influence the stock market’s returns.</w:t>
      </w:r>
    </w:p>
    <w:p w:rsidR="00EA027A" w:rsidRPr="00762161" w:rsidRDefault="00EA027A" w:rsidP="00EA027A">
      <w:pPr>
        <w:rPr>
          <w:szCs w:val="24"/>
        </w:rPr>
      </w:pPr>
      <w:r w:rsidRPr="00762161">
        <w:rPr>
          <w:szCs w:val="24"/>
        </w:rPr>
        <w:t xml:space="preserve">Ritter (1988) explains that in the CAPM equation, and many alternative asset pricing models, </w:t>
      </w:r>
      <w:r w:rsidR="009571D9" w:rsidRPr="00762161">
        <w:rPr>
          <w:szCs w:val="24"/>
        </w:rPr>
        <w:t>β</w:t>
      </w:r>
      <w:r w:rsidRPr="00762161">
        <w:rPr>
          <w:szCs w:val="24"/>
        </w:rPr>
        <w:t xml:space="preserve"> is the measure of the asset pricing model which incorporates its risk component, so any divergence from the true portfolio or stock </w:t>
      </w:r>
      <w:r w:rsidR="009571D9" w:rsidRPr="00762161">
        <w:rPr>
          <w:szCs w:val="24"/>
        </w:rPr>
        <w:t>β</w:t>
      </w:r>
      <w:r w:rsidRPr="00762161">
        <w:rPr>
          <w:szCs w:val="24"/>
        </w:rPr>
        <w:t xml:space="preserve"> can substantially misstate the potential stock or portfolio return. However </w:t>
      </w:r>
      <w:r w:rsidR="009571D9" w:rsidRPr="00762161">
        <w:rPr>
          <w:szCs w:val="24"/>
        </w:rPr>
        <w:t>β</w:t>
      </w:r>
      <w:r w:rsidRPr="00762161">
        <w:rPr>
          <w:szCs w:val="24"/>
        </w:rPr>
        <w:t xml:space="preserve"> does become more stable as the size of the portfolio increases (over 50 stocks) and the time period under consideration become</w:t>
      </w:r>
      <w:r w:rsidR="00B035F8">
        <w:rPr>
          <w:szCs w:val="24"/>
        </w:rPr>
        <w:t>s</w:t>
      </w:r>
      <w:r w:rsidRPr="00762161">
        <w:rPr>
          <w:szCs w:val="24"/>
        </w:rPr>
        <w:t xml:space="preserve"> longer (over 26 weeks). As the number of observations increases allowing </w:t>
      </w:r>
      <w:r w:rsidR="009571D9" w:rsidRPr="00762161">
        <w:rPr>
          <w:szCs w:val="24"/>
        </w:rPr>
        <w:t>β</w:t>
      </w:r>
      <w:r w:rsidRPr="00762161">
        <w:rPr>
          <w:szCs w:val="24"/>
        </w:rPr>
        <w:t xml:space="preserve"> to tend towards normality, </w:t>
      </w:r>
      <w:r w:rsidR="009571D9" w:rsidRPr="00762161">
        <w:rPr>
          <w:szCs w:val="24"/>
        </w:rPr>
        <w:t>β</w:t>
      </w:r>
      <w:r w:rsidRPr="00762161">
        <w:rPr>
          <w:szCs w:val="24"/>
        </w:rPr>
        <w:t xml:space="preserve"> will become mean reverting. Specifically, high </w:t>
      </w:r>
      <w:r w:rsidR="009571D9" w:rsidRPr="00762161">
        <w:rPr>
          <w:szCs w:val="24"/>
        </w:rPr>
        <w:t>β</w:t>
      </w:r>
      <w:r w:rsidRPr="00762161">
        <w:rPr>
          <w:szCs w:val="24"/>
        </w:rPr>
        <w:t xml:space="preserve"> portfolios tended to decline over time toward unity, while low </w:t>
      </w:r>
      <w:r w:rsidR="009571D9" w:rsidRPr="00762161">
        <w:rPr>
          <w:szCs w:val="24"/>
        </w:rPr>
        <w:t>β</w:t>
      </w:r>
      <w:r w:rsidRPr="00762161">
        <w:rPr>
          <w:szCs w:val="24"/>
        </w:rPr>
        <w:t xml:space="preserve"> portfolio tended to increase over time, also towards unity. </w:t>
      </w:r>
      <w:r w:rsidR="00FD710E" w:rsidRPr="00762161">
        <w:rPr>
          <w:szCs w:val="24"/>
        </w:rPr>
        <w:t xml:space="preserve">Ball (1995) also explains that high </w:t>
      </w:r>
      <w:r w:rsidR="009571D9" w:rsidRPr="00762161">
        <w:rPr>
          <w:szCs w:val="24"/>
        </w:rPr>
        <w:t>β</w:t>
      </w:r>
      <w:r w:rsidR="00FD710E" w:rsidRPr="00762161">
        <w:rPr>
          <w:szCs w:val="24"/>
        </w:rPr>
        <w:t xml:space="preserve"> stocks do not earn higher returns than low </w:t>
      </w:r>
      <w:r w:rsidR="009571D9" w:rsidRPr="00762161">
        <w:rPr>
          <w:szCs w:val="24"/>
        </w:rPr>
        <w:t>β</w:t>
      </w:r>
      <w:r w:rsidR="00FD710E" w:rsidRPr="00762161">
        <w:rPr>
          <w:szCs w:val="24"/>
        </w:rPr>
        <w:t xml:space="preserve"> stocks, showing misspecification.</w:t>
      </w:r>
    </w:p>
    <w:p w:rsidR="007D2C8C" w:rsidRPr="00762161" w:rsidRDefault="007D2C8C" w:rsidP="007D2C8C">
      <w:r w:rsidRPr="00762161">
        <w:t>Ferson &amp; Harvey (1991) explain that through the time variation in β coefficients of individual stocks, changes in the different β’s can be incredibly important at firm level. This is further clarified by Chan (1988) and Ball &amp; Kothari (1989) who show that the changes in market β coefficients can, in actual fact, explain much of the mean reversion of individual stocks that have been found to be previo</w:t>
      </w:r>
      <w:r w:rsidR="00E62956">
        <w:t>us winner</w:t>
      </w:r>
      <w:r w:rsidRPr="00762161">
        <w:t xml:space="preserve"> and loser</w:t>
      </w:r>
      <w:r w:rsidR="00E62956">
        <w:t xml:space="preserve"> stocks</w:t>
      </w:r>
      <w:r w:rsidRPr="00762161">
        <w:t xml:space="preserve"> in terms of De Bondt &amp; Thaler’s (1985) study. Ball &amp; Kothari (1989) find that the market β’s of individual firms typically halve or double after a period of unusually large price increases or declines. Ferson &amp; Harvey (1991) </w:t>
      </w:r>
      <w:r w:rsidRPr="00762161">
        <w:lastRenderedPageBreak/>
        <w:t>state, as one would expect, that portfolios of common stocks are more stable in terms of relative risk, than individual stocks. This implies that the portfolio β’s are also more stable.</w:t>
      </w:r>
    </w:p>
    <w:p w:rsidR="00833874" w:rsidRPr="0075744E" w:rsidRDefault="00833874" w:rsidP="00833874">
      <w:pPr>
        <w:rPr>
          <w:szCs w:val="24"/>
        </w:rPr>
      </w:pPr>
      <w:r>
        <w:rPr>
          <w:szCs w:val="24"/>
        </w:rPr>
        <w:t>Lastly, Basu</w:t>
      </w:r>
      <w:r w:rsidRPr="0075744E">
        <w:rPr>
          <w:noProof/>
          <w:szCs w:val="24"/>
        </w:rPr>
        <w:t xml:space="preserve"> (1983)</w:t>
      </w:r>
      <w:r w:rsidRPr="0075744E">
        <w:rPr>
          <w:szCs w:val="24"/>
        </w:rPr>
        <w:t xml:space="preserve"> discovers that the returns to stocks of smaller companies are riskier than the much larger ones. In one of the tests conducted, the author derives a matrix and sorts stocks into portfolios with different </w:t>
      </w:r>
      <m:oMath>
        <m:f>
          <m:fPr>
            <m:ctrlPr>
              <w:rPr>
                <w:rFonts w:ascii="Cambria Math" w:eastAsiaTheme="minorEastAsia" w:hAnsi="Cambria Math"/>
                <w:i/>
                <w:szCs w:val="24"/>
              </w:rPr>
            </m:ctrlPr>
          </m:fPr>
          <m:num>
            <m:r>
              <w:rPr>
                <w:rFonts w:ascii="Cambria Math" w:eastAsiaTheme="minorEastAsia" w:hAnsi="Cambria Math"/>
                <w:szCs w:val="24"/>
              </w:rPr>
              <m:t>Earnings</m:t>
            </m:r>
          </m:num>
          <m:den>
            <m:r>
              <w:rPr>
                <w:rFonts w:ascii="Cambria Math" w:eastAsiaTheme="minorEastAsia" w:hAnsi="Cambria Math"/>
                <w:szCs w:val="24"/>
              </w:rPr>
              <m:t>Price</m:t>
            </m:r>
          </m:den>
        </m:f>
      </m:oMath>
      <w:r w:rsidR="00B035F8">
        <w:rPr>
          <w:rFonts w:eastAsiaTheme="minorEastAsia"/>
          <w:szCs w:val="24"/>
        </w:rPr>
        <w:t xml:space="preserve"> </w:t>
      </w:r>
      <m:oMath>
        <m:r>
          <w:rPr>
            <w:rFonts w:ascii="Cambria Math" w:eastAsiaTheme="minorEastAsia"/>
            <w:szCs w:val="24"/>
          </w:rPr>
          <m:t>(</m:t>
        </m:r>
        <m:f>
          <m:fPr>
            <m:ctrlPr>
              <w:rPr>
                <w:rFonts w:ascii="Cambria Math" w:eastAsiaTheme="minorEastAsia" w:hAnsi="Cambria Math"/>
                <w:i/>
                <w:szCs w:val="24"/>
              </w:rPr>
            </m:ctrlPr>
          </m:fPr>
          <m:num>
            <m:r>
              <w:rPr>
                <w:rFonts w:ascii="Cambria Math" w:eastAsiaTheme="minorEastAsia" w:hAnsi="Cambria Math"/>
                <w:szCs w:val="24"/>
              </w:rPr>
              <m:t>E</m:t>
            </m:r>
          </m:num>
          <m:den>
            <m:r>
              <w:rPr>
                <w:rFonts w:ascii="Cambria Math" w:eastAsiaTheme="minorEastAsia" w:hAnsi="Cambria Math"/>
                <w:szCs w:val="24"/>
              </w:rPr>
              <m:t>P</m:t>
            </m:r>
          </m:den>
        </m:f>
        <m:r>
          <w:rPr>
            <w:rFonts w:ascii="Cambria Math" w:eastAsiaTheme="minorEastAsia"/>
            <w:szCs w:val="24"/>
          </w:rPr>
          <m:t>)</m:t>
        </m:r>
      </m:oMath>
      <w:r w:rsidRPr="0075744E">
        <w:rPr>
          <w:rFonts w:eastAsiaTheme="minorEastAsia"/>
          <w:szCs w:val="24"/>
        </w:rPr>
        <w:t xml:space="preserve"> </w:t>
      </w:r>
      <w:r w:rsidRPr="0075744E">
        <w:rPr>
          <w:szCs w:val="24"/>
        </w:rPr>
        <w:t xml:space="preserve">ratios but with similar market capitalisation values. The findings show that there is a significantly positive risk-adjusted return for companies with higher </w:t>
      </w:r>
      <m:oMath>
        <m:r>
          <w:rPr>
            <w:rFonts w:ascii="Cambria Math" w:eastAsiaTheme="minorEastAsia"/>
            <w:szCs w:val="24"/>
          </w:rPr>
          <m:t>(</m:t>
        </m:r>
        <m:f>
          <m:fPr>
            <m:ctrlPr>
              <w:rPr>
                <w:rFonts w:ascii="Cambria Math" w:eastAsiaTheme="minorEastAsia" w:hAnsi="Cambria Math"/>
                <w:i/>
                <w:szCs w:val="24"/>
              </w:rPr>
            </m:ctrlPr>
          </m:fPr>
          <m:num>
            <m:r>
              <w:rPr>
                <w:rFonts w:ascii="Cambria Math" w:eastAsiaTheme="minorEastAsia" w:hAnsi="Cambria Math"/>
                <w:szCs w:val="24"/>
              </w:rPr>
              <m:t>E</m:t>
            </m:r>
          </m:num>
          <m:den>
            <m:r>
              <w:rPr>
                <w:rFonts w:ascii="Cambria Math" w:eastAsiaTheme="minorEastAsia" w:hAnsi="Cambria Math"/>
                <w:szCs w:val="24"/>
              </w:rPr>
              <m:t>P</m:t>
            </m:r>
          </m:den>
        </m:f>
        <m:r>
          <w:rPr>
            <w:rFonts w:ascii="Cambria Math" w:eastAsiaTheme="minorEastAsia"/>
            <w:szCs w:val="24"/>
          </w:rPr>
          <m:t>)</m:t>
        </m:r>
      </m:oMath>
      <w:r w:rsidRPr="0075744E">
        <w:rPr>
          <w:rFonts w:eastAsiaTheme="minorEastAsia"/>
          <w:szCs w:val="24"/>
        </w:rPr>
        <w:t xml:space="preserve"> </w:t>
      </w:r>
      <w:r w:rsidRPr="0075744E">
        <w:rPr>
          <w:szCs w:val="24"/>
        </w:rPr>
        <w:t xml:space="preserve">ratios (value firms). However </w:t>
      </w:r>
      <w:r>
        <w:rPr>
          <w:szCs w:val="24"/>
        </w:rPr>
        <w:t>the author</w:t>
      </w:r>
      <w:r w:rsidRPr="0075744E">
        <w:rPr>
          <w:szCs w:val="24"/>
        </w:rPr>
        <w:t xml:space="preserve"> finds no significant risk-adjusted ret</w:t>
      </w:r>
      <w:r w:rsidR="00B035F8">
        <w:rPr>
          <w:szCs w:val="24"/>
        </w:rPr>
        <w:t>urn</w:t>
      </w:r>
      <w:r w:rsidRPr="0075744E">
        <w:rPr>
          <w:szCs w:val="24"/>
        </w:rPr>
        <w:t xml:space="preserve"> relating to the market values of companies, when the stocks are sorted into portfolios with different market values, but with similar </w:t>
      </w:r>
      <m:oMath>
        <m:r>
          <w:rPr>
            <w:rFonts w:ascii="Cambria Math" w:eastAsiaTheme="minorEastAsia"/>
            <w:szCs w:val="24"/>
          </w:rPr>
          <m:t>(</m:t>
        </m:r>
        <m:f>
          <m:fPr>
            <m:ctrlPr>
              <w:rPr>
                <w:rFonts w:ascii="Cambria Math" w:eastAsiaTheme="minorEastAsia" w:hAnsi="Cambria Math"/>
                <w:i/>
                <w:szCs w:val="24"/>
              </w:rPr>
            </m:ctrlPr>
          </m:fPr>
          <m:num>
            <m:r>
              <w:rPr>
                <w:rFonts w:ascii="Cambria Math" w:eastAsiaTheme="minorEastAsia" w:hAnsi="Cambria Math"/>
                <w:szCs w:val="24"/>
              </w:rPr>
              <m:t>E</m:t>
            </m:r>
          </m:num>
          <m:den>
            <m:r>
              <w:rPr>
                <w:rFonts w:ascii="Cambria Math" w:eastAsiaTheme="minorEastAsia" w:hAnsi="Cambria Math"/>
                <w:szCs w:val="24"/>
              </w:rPr>
              <m:t>P</m:t>
            </m:r>
          </m:den>
        </m:f>
        <m:r>
          <w:rPr>
            <w:rFonts w:ascii="Cambria Math" w:eastAsiaTheme="minorEastAsia"/>
            <w:szCs w:val="24"/>
          </w:rPr>
          <m:t>)</m:t>
        </m:r>
      </m:oMath>
      <w:r w:rsidRPr="0075744E">
        <w:rPr>
          <w:rFonts w:eastAsiaTheme="minorEastAsia"/>
          <w:szCs w:val="24"/>
        </w:rPr>
        <w:t xml:space="preserve"> </w:t>
      </w:r>
      <w:r w:rsidRPr="0075744E">
        <w:rPr>
          <w:szCs w:val="24"/>
        </w:rPr>
        <w:t xml:space="preserve">ratios. Finally, the author also finds that the risk-adjusted returns are higher for smaller companies with stronger </w:t>
      </w:r>
      <m:oMath>
        <m:r>
          <w:rPr>
            <w:rFonts w:ascii="Cambria Math" w:eastAsiaTheme="minorEastAsia"/>
            <w:szCs w:val="24"/>
          </w:rPr>
          <m:t>(</m:t>
        </m:r>
        <m:f>
          <m:fPr>
            <m:ctrlPr>
              <w:rPr>
                <w:rFonts w:ascii="Cambria Math" w:eastAsiaTheme="minorEastAsia" w:hAnsi="Cambria Math"/>
                <w:i/>
                <w:szCs w:val="24"/>
              </w:rPr>
            </m:ctrlPr>
          </m:fPr>
          <m:num>
            <m:r>
              <w:rPr>
                <w:rFonts w:ascii="Cambria Math" w:eastAsiaTheme="minorEastAsia" w:hAnsi="Cambria Math"/>
                <w:szCs w:val="24"/>
              </w:rPr>
              <m:t>E</m:t>
            </m:r>
          </m:num>
          <m:den>
            <m:r>
              <w:rPr>
                <w:rFonts w:ascii="Cambria Math" w:eastAsiaTheme="minorEastAsia" w:hAnsi="Cambria Math"/>
                <w:szCs w:val="24"/>
              </w:rPr>
              <m:t>P</m:t>
            </m:r>
          </m:den>
        </m:f>
        <m:r>
          <w:rPr>
            <w:rFonts w:ascii="Cambria Math" w:eastAsiaTheme="minorEastAsia"/>
            <w:szCs w:val="24"/>
          </w:rPr>
          <m:t>)</m:t>
        </m:r>
      </m:oMath>
      <w:r w:rsidRPr="0075744E">
        <w:rPr>
          <w:szCs w:val="24"/>
        </w:rPr>
        <w:t xml:space="preserve"> ratios, and concludes that the </w:t>
      </w:r>
      <m:oMath>
        <m:r>
          <w:rPr>
            <w:rFonts w:ascii="Cambria Math" w:eastAsiaTheme="minorEastAsia"/>
            <w:szCs w:val="24"/>
          </w:rPr>
          <m:t>(</m:t>
        </m:r>
        <m:f>
          <m:fPr>
            <m:ctrlPr>
              <w:rPr>
                <w:rFonts w:ascii="Cambria Math" w:eastAsiaTheme="minorEastAsia" w:hAnsi="Cambria Math"/>
                <w:i/>
                <w:szCs w:val="24"/>
              </w:rPr>
            </m:ctrlPr>
          </m:fPr>
          <m:num>
            <m:r>
              <w:rPr>
                <w:rFonts w:ascii="Cambria Math" w:eastAsiaTheme="minorEastAsia" w:hAnsi="Cambria Math"/>
                <w:szCs w:val="24"/>
              </w:rPr>
              <m:t>E</m:t>
            </m:r>
          </m:num>
          <m:den>
            <m:r>
              <w:rPr>
                <w:rFonts w:ascii="Cambria Math" w:eastAsiaTheme="minorEastAsia" w:hAnsi="Cambria Math"/>
                <w:szCs w:val="24"/>
              </w:rPr>
              <m:t>P</m:t>
            </m:r>
          </m:den>
        </m:f>
        <m:r>
          <w:rPr>
            <w:rFonts w:ascii="Cambria Math" w:eastAsiaTheme="minorEastAsia"/>
            <w:szCs w:val="24"/>
          </w:rPr>
          <m:t>)</m:t>
        </m:r>
      </m:oMath>
      <w:r w:rsidRPr="0075744E">
        <w:rPr>
          <w:rFonts w:eastAsiaTheme="minorEastAsia"/>
          <w:szCs w:val="24"/>
        </w:rPr>
        <w:t xml:space="preserve"> </w:t>
      </w:r>
      <w:r w:rsidRPr="0075744E">
        <w:rPr>
          <w:szCs w:val="24"/>
        </w:rPr>
        <w:t>effects and size effects are an indication of deficiencies in the CAPM and not necessarily a sign of market inefficiencies.</w:t>
      </w:r>
    </w:p>
    <w:p w:rsidR="004D1050" w:rsidRPr="00762161" w:rsidRDefault="004D1050" w:rsidP="00682B23">
      <w:pPr>
        <w:tabs>
          <w:tab w:val="left" w:pos="0"/>
        </w:tabs>
        <w:ind w:right="-720"/>
        <w:rPr>
          <w:szCs w:val="24"/>
        </w:rPr>
      </w:pPr>
    </w:p>
    <w:p w:rsidR="004D1050" w:rsidRPr="00762161" w:rsidRDefault="004D1050" w:rsidP="004D1050">
      <w:pPr>
        <w:pStyle w:val="ListParagraph"/>
        <w:keepNext/>
        <w:keepLines/>
        <w:numPr>
          <w:ilvl w:val="0"/>
          <w:numId w:val="35"/>
        </w:numPr>
        <w:spacing w:before="200"/>
        <w:contextualSpacing w:val="0"/>
        <w:outlineLvl w:val="1"/>
        <w:rPr>
          <w:rFonts w:asciiTheme="majorHAnsi" w:eastAsiaTheme="majorEastAsia" w:hAnsiTheme="majorHAnsi" w:cstheme="majorBidi"/>
          <w:b/>
          <w:bCs/>
          <w:vanish/>
          <w:color w:val="4F81BD" w:themeColor="accent1"/>
          <w:sz w:val="26"/>
          <w:szCs w:val="26"/>
        </w:rPr>
      </w:pPr>
      <w:bookmarkStart w:id="46" w:name="_Toc283572395"/>
      <w:bookmarkStart w:id="47" w:name="_Toc283809017"/>
      <w:bookmarkStart w:id="48" w:name="_Toc285272502"/>
      <w:bookmarkStart w:id="49" w:name="_Toc285273829"/>
      <w:bookmarkStart w:id="50" w:name="_Toc285274051"/>
      <w:bookmarkStart w:id="51" w:name="_Toc286584787"/>
      <w:bookmarkStart w:id="52" w:name="_Toc286603499"/>
      <w:bookmarkStart w:id="53" w:name="_Toc286616290"/>
      <w:bookmarkEnd w:id="46"/>
      <w:bookmarkEnd w:id="47"/>
      <w:bookmarkEnd w:id="48"/>
      <w:bookmarkEnd w:id="49"/>
      <w:bookmarkEnd w:id="50"/>
      <w:bookmarkEnd w:id="51"/>
      <w:bookmarkEnd w:id="52"/>
      <w:bookmarkEnd w:id="53"/>
    </w:p>
    <w:p w:rsidR="004D1050" w:rsidRPr="00762161" w:rsidRDefault="004D1050" w:rsidP="004D1050">
      <w:pPr>
        <w:pStyle w:val="ListParagraph"/>
        <w:keepNext/>
        <w:keepLines/>
        <w:numPr>
          <w:ilvl w:val="0"/>
          <w:numId w:val="35"/>
        </w:numPr>
        <w:spacing w:before="200"/>
        <w:contextualSpacing w:val="0"/>
        <w:outlineLvl w:val="1"/>
        <w:rPr>
          <w:rFonts w:asciiTheme="majorHAnsi" w:eastAsiaTheme="majorEastAsia" w:hAnsiTheme="majorHAnsi" w:cstheme="majorBidi"/>
          <w:b/>
          <w:bCs/>
          <w:vanish/>
          <w:color w:val="4F81BD" w:themeColor="accent1"/>
          <w:sz w:val="26"/>
          <w:szCs w:val="26"/>
        </w:rPr>
      </w:pPr>
      <w:bookmarkStart w:id="54" w:name="_Toc283572396"/>
      <w:bookmarkStart w:id="55" w:name="_Toc283809018"/>
      <w:bookmarkStart w:id="56" w:name="_Toc285272503"/>
      <w:bookmarkStart w:id="57" w:name="_Toc285273830"/>
      <w:bookmarkStart w:id="58" w:name="_Toc285274052"/>
      <w:bookmarkStart w:id="59" w:name="_Toc286584788"/>
      <w:bookmarkStart w:id="60" w:name="_Toc286603500"/>
      <w:bookmarkStart w:id="61" w:name="_Toc286616291"/>
      <w:bookmarkEnd w:id="54"/>
      <w:bookmarkEnd w:id="55"/>
      <w:bookmarkEnd w:id="56"/>
      <w:bookmarkEnd w:id="57"/>
      <w:bookmarkEnd w:id="58"/>
      <w:bookmarkEnd w:id="59"/>
      <w:bookmarkEnd w:id="60"/>
      <w:bookmarkEnd w:id="61"/>
    </w:p>
    <w:p w:rsidR="004D1050" w:rsidRPr="00762161" w:rsidRDefault="004D1050" w:rsidP="004D1050">
      <w:pPr>
        <w:pStyle w:val="ListParagraph"/>
        <w:keepNext/>
        <w:keepLines/>
        <w:numPr>
          <w:ilvl w:val="0"/>
          <w:numId w:val="35"/>
        </w:numPr>
        <w:spacing w:before="200"/>
        <w:contextualSpacing w:val="0"/>
        <w:outlineLvl w:val="1"/>
        <w:rPr>
          <w:rFonts w:asciiTheme="majorHAnsi" w:eastAsiaTheme="majorEastAsia" w:hAnsiTheme="majorHAnsi" w:cstheme="majorBidi"/>
          <w:b/>
          <w:bCs/>
          <w:vanish/>
          <w:color w:val="4F81BD" w:themeColor="accent1"/>
          <w:sz w:val="26"/>
          <w:szCs w:val="26"/>
        </w:rPr>
      </w:pPr>
      <w:bookmarkStart w:id="62" w:name="_Toc283572397"/>
      <w:bookmarkStart w:id="63" w:name="_Toc283809019"/>
      <w:bookmarkStart w:id="64" w:name="_Toc285272504"/>
      <w:bookmarkStart w:id="65" w:name="_Toc285273831"/>
      <w:bookmarkStart w:id="66" w:name="_Toc285274053"/>
      <w:bookmarkStart w:id="67" w:name="_Toc286584789"/>
      <w:bookmarkStart w:id="68" w:name="_Toc286603501"/>
      <w:bookmarkStart w:id="69" w:name="_Toc286616292"/>
      <w:bookmarkEnd w:id="62"/>
      <w:bookmarkEnd w:id="63"/>
      <w:bookmarkEnd w:id="64"/>
      <w:bookmarkEnd w:id="65"/>
      <w:bookmarkEnd w:id="66"/>
      <w:bookmarkEnd w:id="67"/>
      <w:bookmarkEnd w:id="68"/>
      <w:bookmarkEnd w:id="69"/>
    </w:p>
    <w:p w:rsidR="004D1050" w:rsidRPr="00762161" w:rsidRDefault="004D1050" w:rsidP="004D1050">
      <w:pPr>
        <w:pStyle w:val="ListParagraph"/>
        <w:keepNext/>
        <w:keepLines/>
        <w:numPr>
          <w:ilvl w:val="1"/>
          <w:numId w:val="35"/>
        </w:numPr>
        <w:spacing w:before="200"/>
        <w:contextualSpacing w:val="0"/>
        <w:outlineLvl w:val="1"/>
        <w:rPr>
          <w:rFonts w:asciiTheme="majorHAnsi" w:eastAsiaTheme="majorEastAsia" w:hAnsiTheme="majorHAnsi" w:cstheme="majorBidi"/>
          <w:b/>
          <w:bCs/>
          <w:vanish/>
          <w:color w:val="4F81BD" w:themeColor="accent1"/>
          <w:sz w:val="26"/>
          <w:szCs w:val="26"/>
        </w:rPr>
      </w:pPr>
      <w:bookmarkStart w:id="70" w:name="_Toc283572398"/>
      <w:bookmarkStart w:id="71" w:name="_Toc283809020"/>
      <w:bookmarkStart w:id="72" w:name="_Toc285272505"/>
      <w:bookmarkStart w:id="73" w:name="_Toc285273832"/>
      <w:bookmarkStart w:id="74" w:name="_Toc285274054"/>
      <w:bookmarkStart w:id="75" w:name="_Toc286584790"/>
      <w:bookmarkStart w:id="76" w:name="_Toc286603502"/>
      <w:bookmarkStart w:id="77" w:name="_Toc286616293"/>
      <w:bookmarkEnd w:id="70"/>
      <w:bookmarkEnd w:id="71"/>
      <w:bookmarkEnd w:id="72"/>
      <w:bookmarkEnd w:id="73"/>
      <w:bookmarkEnd w:id="74"/>
      <w:bookmarkEnd w:id="75"/>
      <w:bookmarkEnd w:id="76"/>
      <w:bookmarkEnd w:id="77"/>
    </w:p>
    <w:p w:rsidR="004D1050" w:rsidRPr="00762161" w:rsidRDefault="004D1050" w:rsidP="004D1050">
      <w:pPr>
        <w:pStyle w:val="ListParagraph"/>
        <w:keepNext/>
        <w:keepLines/>
        <w:numPr>
          <w:ilvl w:val="1"/>
          <w:numId w:val="35"/>
        </w:numPr>
        <w:spacing w:before="200"/>
        <w:contextualSpacing w:val="0"/>
        <w:outlineLvl w:val="1"/>
        <w:rPr>
          <w:rFonts w:asciiTheme="majorHAnsi" w:eastAsiaTheme="majorEastAsia" w:hAnsiTheme="majorHAnsi" w:cstheme="majorBidi"/>
          <w:b/>
          <w:bCs/>
          <w:vanish/>
          <w:color w:val="4F81BD" w:themeColor="accent1"/>
          <w:sz w:val="26"/>
          <w:szCs w:val="26"/>
        </w:rPr>
      </w:pPr>
      <w:bookmarkStart w:id="78" w:name="_Toc283572399"/>
      <w:bookmarkStart w:id="79" w:name="_Toc283809021"/>
      <w:bookmarkStart w:id="80" w:name="_Toc285272506"/>
      <w:bookmarkStart w:id="81" w:name="_Toc285273833"/>
      <w:bookmarkStart w:id="82" w:name="_Toc285274055"/>
      <w:bookmarkStart w:id="83" w:name="_Toc286584791"/>
      <w:bookmarkStart w:id="84" w:name="_Toc286603503"/>
      <w:bookmarkStart w:id="85" w:name="_Toc286616294"/>
      <w:bookmarkEnd w:id="78"/>
      <w:bookmarkEnd w:id="79"/>
      <w:bookmarkEnd w:id="80"/>
      <w:bookmarkEnd w:id="81"/>
      <w:bookmarkEnd w:id="82"/>
      <w:bookmarkEnd w:id="83"/>
      <w:bookmarkEnd w:id="84"/>
      <w:bookmarkEnd w:id="85"/>
    </w:p>
    <w:p w:rsidR="004D1050" w:rsidRPr="00762161" w:rsidRDefault="004D1050" w:rsidP="004D1050">
      <w:pPr>
        <w:pStyle w:val="ListParagraph"/>
        <w:keepNext/>
        <w:keepLines/>
        <w:numPr>
          <w:ilvl w:val="1"/>
          <w:numId w:val="35"/>
        </w:numPr>
        <w:spacing w:before="200"/>
        <w:contextualSpacing w:val="0"/>
        <w:outlineLvl w:val="1"/>
        <w:rPr>
          <w:rFonts w:asciiTheme="majorHAnsi" w:eastAsiaTheme="majorEastAsia" w:hAnsiTheme="majorHAnsi" w:cstheme="majorBidi"/>
          <w:b/>
          <w:bCs/>
          <w:vanish/>
          <w:color w:val="4F81BD" w:themeColor="accent1"/>
          <w:sz w:val="26"/>
          <w:szCs w:val="26"/>
        </w:rPr>
      </w:pPr>
      <w:bookmarkStart w:id="86" w:name="_Toc283572400"/>
      <w:bookmarkStart w:id="87" w:name="_Toc283809022"/>
      <w:bookmarkStart w:id="88" w:name="_Toc285272507"/>
      <w:bookmarkStart w:id="89" w:name="_Toc285273834"/>
      <w:bookmarkStart w:id="90" w:name="_Toc285274056"/>
      <w:bookmarkStart w:id="91" w:name="_Toc286584792"/>
      <w:bookmarkStart w:id="92" w:name="_Toc286603504"/>
      <w:bookmarkStart w:id="93" w:name="_Toc286616295"/>
      <w:bookmarkEnd w:id="86"/>
      <w:bookmarkEnd w:id="87"/>
      <w:bookmarkEnd w:id="88"/>
      <w:bookmarkEnd w:id="89"/>
      <w:bookmarkEnd w:id="90"/>
      <w:bookmarkEnd w:id="91"/>
      <w:bookmarkEnd w:id="92"/>
      <w:bookmarkEnd w:id="93"/>
    </w:p>
    <w:p w:rsidR="007D2C8C" w:rsidRPr="00762161" w:rsidRDefault="004D1050" w:rsidP="007D2C8C">
      <w:pPr>
        <w:pStyle w:val="Heading2"/>
        <w:numPr>
          <w:ilvl w:val="1"/>
          <w:numId w:val="35"/>
        </w:numPr>
      </w:pPr>
      <w:bookmarkStart w:id="94" w:name="_Toc286616296"/>
      <w:r w:rsidRPr="00762161">
        <w:t>Asset Pricing Models and their Shortcomings</w:t>
      </w:r>
      <w:bookmarkEnd w:id="94"/>
    </w:p>
    <w:p w:rsidR="007D2C8C" w:rsidRPr="007D2C8C" w:rsidRDefault="007D2C8C" w:rsidP="007D2C8C">
      <w:pPr>
        <w:tabs>
          <w:tab w:val="left" w:pos="0"/>
        </w:tabs>
        <w:ind w:right="-27"/>
        <w:rPr>
          <w:szCs w:val="24"/>
        </w:rPr>
      </w:pPr>
      <w:r w:rsidRPr="007D2C8C">
        <w:rPr>
          <w:szCs w:val="24"/>
        </w:rPr>
        <w:t xml:space="preserve">The examination of asset pricing models is pivotal to the evaluation of the efficient market hypothesis. The main purpose </w:t>
      </w:r>
      <w:r w:rsidR="00543BB6">
        <w:rPr>
          <w:szCs w:val="24"/>
        </w:rPr>
        <w:t>for</w:t>
      </w:r>
      <w:r w:rsidRPr="007D2C8C">
        <w:rPr>
          <w:szCs w:val="24"/>
        </w:rPr>
        <w:t xml:space="preserve"> the evaluation of asset pricing models is due to the knock-on effect that they might have. Should the model be incorrectly specified</w:t>
      </w:r>
      <w:r w:rsidR="00B035F8">
        <w:rPr>
          <w:szCs w:val="24"/>
        </w:rPr>
        <w:t>,</w:t>
      </w:r>
      <w:r w:rsidRPr="007D2C8C">
        <w:rPr>
          <w:szCs w:val="24"/>
        </w:rPr>
        <w:t xml:space="preserve"> the resulting conclusions will be incorrectly drawn from the joint hypothesis testing of EMH and the model in question. If incorrect inferences are drawn</w:t>
      </w:r>
      <w:r w:rsidR="000A403A">
        <w:rPr>
          <w:szCs w:val="24"/>
        </w:rPr>
        <w:t>,</w:t>
      </w:r>
      <w:r w:rsidRPr="007D2C8C">
        <w:rPr>
          <w:szCs w:val="24"/>
        </w:rPr>
        <w:t xml:space="preserve"> one may find that information is not sufficiently filtered into the stock prices, which will then affect these stock prices as a leading indicator for economic activity. One might argue that until a powerf</w:t>
      </w:r>
      <w:r w:rsidR="000A403A">
        <w:rPr>
          <w:szCs w:val="24"/>
        </w:rPr>
        <w:t>ul asset pricing model is found</w:t>
      </w:r>
      <w:r w:rsidRPr="007D2C8C">
        <w:rPr>
          <w:szCs w:val="24"/>
        </w:rPr>
        <w:t xml:space="preserve"> the testing of the </w:t>
      </w:r>
      <w:r w:rsidRPr="007D2C8C">
        <w:rPr>
          <w:szCs w:val="24"/>
        </w:rPr>
        <w:lastRenderedPageBreak/>
        <w:t>efficient market hypothesis, except maybe through event studies, as done by Fama, French, Jensen &amp; Roll (1969), is very challenging.</w:t>
      </w:r>
    </w:p>
    <w:p w:rsidR="004D1050" w:rsidRPr="00762161" w:rsidRDefault="005F1284" w:rsidP="00E71AE5">
      <w:pPr>
        <w:tabs>
          <w:tab w:val="left" w:pos="0"/>
        </w:tabs>
        <w:ind w:right="-27"/>
        <w:rPr>
          <w:rFonts w:eastAsia="Calibri" w:cs="Times New Roman"/>
        </w:rPr>
      </w:pPr>
      <w:r w:rsidRPr="00762161">
        <w:rPr>
          <w:szCs w:val="24"/>
        </w:rPr>
        <w:t xml:space="preserve">The most general implication of the CAPM model is that the equilibrium pricing implies that the market portfolio of invested wealth </w:t>
      </w:r>
      <w:r w:rsidR="000A403A">
        <w:rPr>
          <w:szCs w:val="24"/>
        </w:rPr>
        <w:t>i</w:t>
      </w:r>
      <w:r w:rsidRPr="00762161">
        <w:rPr>
          <w:szCs w:val="24"/>
        </w:rPr>
        <w:t>s Markowitz mean variance efficient. Consistent with this</w:t>
      </w:r>
      <w:r w:rsidR="001920C4">
        <w:rPr>
          <w:szCs w:val="24"/>
        </w:rPr>
        <w:t xml:space="preserve"> hypothesis, CAPM suggests that</w:t>
      </w:r>
      <w:r w:rsidRPr="00762161">
        <w:rPr>
          <w:szCs w:val="24"/>
        </w:rPr>
        <w:t xml:space="preserve"> expected returns are a positive linear trend of the market </w:t>
      </w:r>
      <w:r w:rsidR="009571D9" w:rsidRPr="00762161">
        <w:rPr>
          <w:szCs w:val="24"/>
        </w:rPr>
        <w:t>β</w:t>
      </w:r>
      <w:r w:rsidRPr="00762161">
        <w:rPr>
          <w:szCs w:val="24"/>
        </w:rPr>
        <w:t xml:space="preserve"> and </w:t>
      </w:r>
      <w:r w:rsidR="009571D9" w:rsidRPr="00762161">
        <w:rPr>
          <w:szCs w:val="24"/>
        </w:rPr>
        <w:t>β</w:t>
      </w:r>
      <w:r w:rsidRPr="00762161">
        <w:rPr>
          <w:szCs w:val="24"/>
        </w:rPr>
        <w:t xml:space="preserve"> is the only measure of risk needed to explain the cr</w:t>
      </w:r>
      <w:r w:rsidR="000A403A">
        <w:rPr>
          <w:szCs w:val="24"/>
        </w:rPr>
        <w:t>oss section of expected returns</w:t>
      </w:r>
      <w:r w:rsidRPr="00762161">
        <w:rPr>
          <w:szCs w:val="24"/>
        </w:rPr>
        <w:t xml:space="preserve"> due to diversification (</w:t>
      </w:r>
      <w:r w:rsidR="00816527" w:rsidRPr="00762161">
        <w:rPr>
          <w:szCs w:val="24"/>
        </w:rPr>
        <w:t>Fama</w:t>
      </w:r>
      <w:r w:rsidRPr="00762161">
        <w:rPr>
          <w:szCs w:val="24"/>
        </w:rPr>
        <w:t xml:space="preserve">, </w:t>
      </w:r>
      <w:r w:rsidR="00816527" w:rsidRPr="00762161">
        <w:rPr>
          <w:szCs w:val="24"/>
        </w:rPr>
        <w:t>1991)</w:t>
      </w:r>
      <w:r w:rsidRPr="00762161">
        <w:rPr>
          <w:szCs w:val="24"/>
        </w:rPr>
        <w:t>.</w:t>
      </w:r>
      <w:r w:rsidR="00816527" w:rsidRPr="00762161">
        <w:rPr>
          <w:szCs w:val="24"/>
        </w:rPr>
        <w:t xml:space="preserve"> </w:t>
      </w:r>
      <w:r w:rsidRPr="00762161">
        <w:rPr>
          <w:szCs w:val="24"/>
        </w:rPr>
        <w:t>R</w:t>
      </w:r>
      <w:r w:rsidR="00816527" w:rsidRPr="00762161">
        <w:rPr>
          <w:szCs w:val="24"/>
        </w:rPr>
        <w:t>ejections of CAPM are common, with Roll (1977)</w:t>
      </w:r>
      <w:r w:rsidR="00543BB6">
        <w:rPr>
          <w:szCs w:val="24"/>
        </w:rPr>
        <w:t>,</w:t>
      </w:r>
      <w:r w:rsidR="00816527" w:rsidRPr="00762161">
        <w:rPr>
          <w:szCs w:val="24"/>
        </w:rPr>
        <w:t xml:space="preserve"> </w:t>
      </w:r>
      <w:r w:rsidR="00543BB6">
        <w:rPr>
          <w:szCs w:val="24"/>
        </w:rPr>
        <w:t>in a scathing paper,</w:t>
      </w:r>
      <w:r w:rsidR="00816527" w:rsidRPr="00762161">
        <w:rPr>
          <w:szCs w:val="24"/>
        </w:rPr>
        <w:t xml:space="preserve"> showing that the many problems of CAPM make it simply unusable.</w:t>
      </w:r>
      <w:r w:rsidR="00682B23" w:rsidRPr="00762161">
        <w:t xml:space="preserve"> According to </w:t>
      </w:r>
      <w:r w:rsidR="00543BB6">
        <w:t>the author</w:t>
      </w:r>
      <w:r w:rsidR="00682B23" w:rsidRPr="00762161">
        <w:rPr>
          <w:rFonts w:eastAsia="Calibri" w:cs="Times New Roman"/>
        </w:rPr>
        <w:t xml:space="preserve"> CAPM has never been tested an</w:t>
      </w:r>
      <w:r w:rsidR="00E71AE5" w:rsidRPr="00762161">
        <w:rPr>
          <w:rFonts w:eastAsia="Calibri" w:cs="Times New Roman"/>
        </w:rPr>
        <w:t>d probably never will be due to</w:t>
      </w:r>
      <w:r w:rsidR="00682B23" w:rsidRPr="00762161">
        <w:t xml:space="preserve"> t</w:t>
      </w:r>
      <w:r w:rsidR="00682B23" w:rsidRPr="00762161">
        <w:rPr>
          <w:rFonts w:eastAsia="Calibri" w:cs="Times New Roman"/>
        </w:rPr>
        <w:t xml:space="preserve">he </w:t>
      </w:r>
      <w:r w:rsidR="009D7648">
        <w:rPr>
          <w:rFonts w:eastAsia="Calibri" w:cs="Times New Roman"/>
        </w:rPr>
        <w:t xml:space="preserve">issues surrounding the </w:t>
      </w:r>
      <w:r w:rsidR="00682B23" w:rsidRPr="00762161">
        <w:rPr>
          <w:rFonts w:eastAsia="Calibri" w:cs="Times New Roman"/>
        </w:rPr>
        <w:t>market portfolio</w:t>
      </w:r>
      <w:r w:rsidR="00E71AE5" w:rsidRPr="00762161">
        <w:rPr>
          <w:rFonts w:eastAsia="Calibri" w:cs="Times New Roman"/>
        </w:rPr>
        <w:t xml:space="preserve"> which</w:t>
      </w:r>
      <w:r w:rsidR="00682B23" w:rsidRPr="00762161">
        <w:rPr>
          <w:rFonts w:eastAsia="Calibri" w:cs="Times New Roman"/>
        </w:rPr>
        <w:t xml:space="preserve"> is at the heart of CAPM and is theore</w:t>
      </w:r>
      <w:r w:rsidR="00E71AE5" w:rsidRPr="00762161">
        <w:t>tically and empirically elusive.</w:t>
      </w:r>
      <w:r w:rsidR="00682B23" w:rsidRPr="00762161">
        <w:t xml:space="preserve"> </w:t>
      </w:r>
      <w:r w:rsidR="009D7648">
        <w:t>Not only is i</w:t>
      </w:r>
      <w:r w:rsidR="00682B23" w:rsidRPr="00762161">
        <w:rPr>
          <w:rFonts w:eastAsia="Calibri" w:cs="Times New Roman"/>
        </w:rPr>
        <w:t>t not clear which assets can be l</w:t>
      </w:r>
      <w:r w:rsidR="00682B23" w:rsidRPr="00762161">
        <w:t>eft out of the market portfolio</w:t>
      </w:r>
      <w:r w:rsidR="00E71AE5" w:rsidRPr="00762161">
        <w:t>,</w:t>
      </w:r>
      <w:r w:rsidR="00682B23" w:rsidRPr="00762161">
        <w:t xml:space="preserve"> </w:t>
      </w:r>
      <w:r w:rsidR="009D7648">
        <w:t>but data availability</w:t>
      </w:r>
      <w:r w:rsidR="00682B23" w:rsidRPr="00762161">
        <w:rPr>
          <w:rFonts w:eastAsia="Calibri" w:cs="Times New Roman"/>
        </w:rPr>
        <w:t xml:space="preserve"> limits the assets that can be included in the market portfolio.</w:t>
      </w:r>
      <w:r w:rsidR="00682B23" w:rsidRPr="00762161">
        <w:t xml:space="preserve"> The author states that</w:t>
      </w:r>
      <w:r w:rsidR="00682B23" w:rsidRPr="00762161">
        <w:rPr>
          <w:rFonts w:eastAsia="Calibri" w:cs="Times New Roman"/>
        </w:rPr>
        <w:t xml:space="preserve"> CAPM has to</w:t>
      </w:r>
      <w:r w:rsidR="00682B23" w:rsidRPr="00762161">
        <w:t xml:space="preserve"> essentially</w:t>
      </w:r>
      <w:r w:rsidR="00682B23" w:rsidRPr="00762161">
        <w:rPr>
          <w:rFonts w:eastAsia="Calibri" w:cs="Times New Roman"/>
        </w:rPr>
        <w:t xml:space="preserve"> use proxies</w:t>
      </w:r>
      <w:r w:rsidR="00682B23" w:rsidRPr="00762161">
        <w:t>, and therefore</w:t>
      </w:r>
      <w:r w:rsidR="00682B23" w:rsidRPr="00762161">
        <w:rPr>
          <w:rFonts w:eastAsia="Calibri" w:cs="Times New Roman"/>
        </w:rPr>
        <w:t xml:space="preserve"> tests </w:t>
      </w:r>
      <w:r w:rsidR="00682B23" w:rsidRPr="00762161">
        <w:t>whether</w:t>
      </w:r>
      <w:r w:rsidR="00682B23" w:rsidRPr="00762161">
        <w:rPr>
          <w:rFonts w:eastAsia="Calibri" w:cs="Times New Roman"/>
        </w:rPr>
        <w:t xml:space="preserve"> proxies are o</w:t>
      </w:r>
      <w:r w:rsidR="00682B23" w:rsidRPr="00762161">
        <w:t>n the minimum variance frontier. The end result is that no clear conclusions can be drawn.</w:t>
      </w:r>
      <w:r w:rsidR="00682B23" w:rsidRPr="00762161">
        <w:rPr>
          <w:rFonts w:eastAsia="Calibri" w:cs="Times New Roman"/>
        </w:rPr>
        <w:t xml:space="preserve"> </w:t>
      </w:r>
    </w:p>
    <w:p w:rsidR="007D2C8C" w:rsidRDefault="007D2C8C" w:rsidP="007D2C8C">
      <w:r w:rsidRPr="00762161">
        <w:t xml:space="preserve">The Consumption </w:t>
      </w:r>
      <w:r w:rsidR="000A403A">
        <w:t xml:space="preserve">based </w:t>
      </w:r>
      <w:r w:rsidRPr="00762161">
        <w:t xml:space="preserve">CAPM (CCAPM) was introduced to try solve the problems of CAPM, and Fama (1991) explains that the simple elegance of the consumption model produces a sustained interest in empirical tests. </w:t>
      </w:r>
      <w:r w:rsidR="004E2181">
        <w:t>Cheung &amp; Ng (1998)</w:t>
      </w:r>
      <w:r w:rsidRPr="00762161">
        <w:t xml:space="preserve"> state that the linkage between consumption and the stock market activity </w:t>
      </w:r>
      <w:r>
        <w:t>is</w:t>
      </w:r>
      <w:r w:rsidRPr="00762161">
        <w:t xml:space="preserve"> theoretically established</w:t>
      </w:r>
      <w:r w:rsidR="000A403A">
        <w:t xml:space="preserve"> by the CCAPM.</w:t>
      </w:r>
      <w:r w:rsidRPr="00762161">
        <w:t xml:space="preserve"> This pricing model assumes that the state variables determining asset prices c</w:t>
      </w:r>
      <w:r w:rsidR="000A403A">
        <w:t>ovary with marginal utility and</w:t>
      </w:r>
      <w:r w:rsidRPr="00762161">
        <w:t xml:space="preserve">, are </w:t>
      </w:r>
      <w:r w:rsidR="008B4615">
        <w:t xml:space="preserve">therefore </w:t>
      </w:r>
      <w:r w:rsidRPr="00762161">
        <w:t>inversely related to consump</w:t>
      </w:r>
      <w:r w:rsidR="00543BB6">
        <w:t>tion. Wheatley (1988)</w:t>
      </w:r>
      <w:r w:rsidRPr="00762161">
        <w:t xml:space="preserve"> finds that stock prices and consumption move in the same direction in terms of magnitude, thus lending support t</w:t>
      </w:r>
      <w:r>
        <w:t xml:space="preserve">o the consumption based CAPM. </w:t>
      </w:r>
      <w:r w:rsidR="00B41468" w:rsidRPr="00762161">
        <w:t xml:space="preserve">The tests use differing versions of this model which in turn, make strong assumptions about consumer tastes and often about the joint distribution of consumption growth and returns. </w:t>
      </w:r>
      <w:r w:rsidR="004D1050" w:rsidRPr="00762161">
        <w:t xml:space="preserve">Lettau </w:t>
      </w:r>
      <w:r>
        <w:t>&amp;</w:t>
      </w:r>
      <w:r w:rsidR="004D1050" w:rsidRPr="00762161">
        <w:t xml:space="preserve"> Ludvigson (2001) </w:t>
      </w:r>
      <w:r w:rsidR="009D7648">
        <w:t>explained</w:t>
      </w:r>
      <w:r w:rsidR="004D1050" w:rsidRPr="00762161">
        <w:t xml:space="preserve"> t</w:t>
      </w:r>
      <w:r w:rsidR="00553DB8" w:rsidRPr="00762161">
        <w:t xml:space="preserve">he </w:t>
      </w:r>
      <w:r w:rsidR="00E71AE5" w:rsidRPr="00762161">
        <w:t xml:space="preserve">simple </w:t>
      </w:r>
      <w:r w:rsidR="00553DB8" w:rsidRPr="00762161">
        <w:t>rat</w:t>
      </w:r>
      <w:r w:rsidR="004D1050" w:rsidRPr="00762161">
        <w:t>ionale behind using consumption: firstly, i</w:t>
      </w:r>
      <w:r w:rsidR="00553DB8" w:rsidRPr="00762161">
        <w:t xml:space="preserve">nvestors will want to maintain a flat consumption path over </w:t>
      </w:r>
      <w:r w:rsidR="00553DB8" w:rsidRPr="00762161">
        <w:lastRenderedPageBreak/>
        <w:t>time and will attempt to smooth transitory movements in their asset wealth arising from tim</w:t>
      </w:r>
      <w:r w:rsidR="004D1050" w:rsidRPr="00762161">
        <w:t xml:space="preserve">e variation in expected returns; secondly </w:t>
      </w:r>
      <w:r w:rsidR="00A8559B" w:rsidRPr="00762161">
        <w:t>w</w:t>
      </w:r>
      <w:r w:rsidR="00553DB8" w:rsidRPr="00762161">
        <w:t xml:space="preserve">hen excess returns are expected to be higher in the future, forward looking investors will react by increasing consumption out of current asset wealth and labour income, allowing consumption to rise </w:t>
      </w:r>
      <w:r w:rsidR="004D1050" w:rsidRPr="00762161">
        <w:t>a</w:t>
      </w:r>
      <w:r w:rsidR="00553DB8" w:rsidRPr="00762161">
        <w:t>bove its com</w:t>
      </w:r>
      <w:r w:rsidR="004D1050" w:rsidRPr="00762161">
        <w:t>mon trend with those variables</w:t>
      </w:r>
      <w:r w:rsidR="007B0C72" w:rsidRPr="00762161">
        <w:t>.</w:t>
      </w:r>
      <w:r w:rsidR="004D1050" w:rsidRPr="00762161">
        <w:t xml:space="preserve"> </w:t>
      </w:r>
    </w:p>
    <w:p w:rsidR="00682B23" w:rsidRPr="00762161" w:rsidRDefault="00B41468" w:rsidP="007D2C8C">
      <w:pPr>
        <w:rPr>
          <w:b/>
        </w:rPr>
      </w:pPr>
      <w:r w:rsidRPr="00762161">
        <w:t>Yet Fama (1991)</w:t>
      </w:r>
      <w:r w:rsidR="00FB3D6B" w:rsidRPr="00762161">
        <w:t>, amongst others,</w:t>
      </w:r>
      <w:r w:rsidRPr="00762161">
        <w:t xml:space="preserve"> finds that the consumption based model in fact fares worse than CAPM</w:t>
      </w:r>
      <w:r w:rsidR="00FB3D6B" w:rsidRPr="00762161">
        <w:t>.</w:t>
      </w:r>
      <w:r w:rsidR="00006511" w:rsidRPr="00762161">
        <w:t xml:space="preserve"> </w:t>
      </w:r>
      <w:r w:rsidR="009D7648">
        <w:t>The estimation of</w:t>
      </w:r>
      <w:r w:rsidR="00006511" w:rsidRPr="00762161">
        <w:t xml:space="preserve"> consumption </w:t>
      </w:r>
      <w:r w:rsidR="009571D9" w:rsidRPr="00762161">
        <w:t>β’s</w:t>
      </w:r>
      <w:r w:rsidR="00006511" w:rsidRPr="00762161">
        <w:t xml:space="preserve"> </w:t>
      </w:r>
      <w:r w:rsidR="009D7648">
        <w:t>proves to be very elusive</w:t>
      </w:r>
      <w:r w:rsidR="00553DB8" w:rsidRPr="00762161">
        <w:t>. Consumption</w:t>
      </w:r>
      <w:r w:rsidR="00006511" w:rsidRPr="00762161">
        <w:t xml:space="preserve"> is more often than not measured with error, and the consumption flows from durables are difficult to calculate.</w:t>
      </w:r>
      <w:r w:rsidR="009D7648">
        <w:t xml:space="preserve"> Furthermore, isolating the consumption movements specifically due to stock price changes is almost impossible, made worse by the small percentage of the population within South Africa who actually hold shares. </w:t>
      </w:r>
      <w:r w:rsidR="007D2C8C" w:rsidRPr="00762161">
        <w:t>Chen, Roll &amp; Ross (1986) on the other hand empirically find that the rate of change in consumption is not significantly related to asset pricing. The estimated risk premium is insignificant and also has the incorrect sign. Agents will influence consumption plans by trading shares in a competitive stock market, an implication of this trading is that the serial correlation properties of stock returns are intimately related to the stochastic properties of consumption and the degree of risk aversion of investors. Consequently, increases in consumption will shift away from investment and hence stock demand (Chaudhuri &amp; Smiles, 2004).</w:t>
      </w:r>
    </w:p>
    <w:p w:rsidR="009668B2" w:rsidRPr="00762161" w:rsidRDefault="009668B2" w:rsidP="009668B2">
      <w:r w:rsidRPr="00762161">
        <w:t>Chaudhuri &amp; Smiles (2004) also explains that if income isn’t entirely autonomous, then when income is high investors save more to smooth consumption into the future. If the marginal return on capital declines with the level of investment, there will be a desire to save more when income is high</w:t>
      </w:r>
      <w:r w:rsidR="000A403A">
        <w:t>,</w:t>
      </w:r>
      <w:r w:rsidRPr="00762161">
        <w:t xml:space="preserve"> consequently lowering the expected returns on securities. Conversely, the attempt by consumers to save less when income is temporarily low raises the expected returns on securities.</w:t>
      </w:r>
    </w:p>
    <w:p w:rsidR="002C728E" w:rsidRDefault="002C728E" w:rsidP="00E71AE5">
      <w:pPr>
        <w:tabs>
          <w:tab w:val="left" w:pos="0"/>
          <w:tab w:val="num" w:pos="1440"/>
          <w:tab w:val="num" w:pos="2160"/>
        </w:tabs>
        <w:ind w:right="-27"/>
      </w:pPr>
      <w:r w:rsidRPr="00762161">
        <w:lastRenderedPageBreak/>
        <w:t>The multifactor models seem to do better, with the arbitrage pricing theory (APT) of Ross (19</w:t>
      </w:r>
      <w:r w:rsidR="00050918" w:rsidRPr="00762161">
        <w:t>7</w:t>
      </w:r>
      <w:r w:rsidRPr="00762161">
        <w:t xml:space="preserve">6) proving the best. </w:t>
      </w:r>
      <w:r w:rsidR="00050918" w:rsidRPr="00762161">
        <w:t>The author uses factor analysis to extract the common factors in returns and then tests whether expected returns are explained by the cross section of the loadings of security returns on the factor</w:t>
      </w:r>
      <w:r w:rsidR="008B4615">
        <w:t xml:space="preserve">s. Roll &amp; Ross (1980) </w:t>
      </w:r>
      <w:r w:rsidR="00050918" w:rsidRPr="00762161">
        <w:t>use this model with up to fifteen factors. The authors test whether the multifactor model explains the size anomaly of the CAPM</w:t>
      </w:r>
      <w:r w:rsidR="00E71AE5" w:rsidRPr="00762161">
        <w:t xml:space="preserve"> and</w:t>
      </w:r>
      <w:r w:rsidR="00050918" w:rsidRPr="00762161">
        <w:t xml:space="preserve"> find</w:t>
      </w:r>
      <w:r w:rsidR="00E71AE5" w:rsidRPr="00762161">
        <w:t>s</w:t>
      </w:r>
      <w:r w:rsidR="00050918" w:rsidRPr="00762161">
        <w:t xml:space="preserve"> that the model leaves an unexplained size effect much like CAPM; expected returns are too high relative to the model for small stocks ad too low for large stocks. </w:t>
      </w:r>
      <w:r w:rsidRPr="00762161">
        <w:t xml:space="preserve">Fama (1991) </w:t>
      </w:r>
      <w:r w:rsidR="00050918" w:rsidRPr="00762161">
        <w:t>shows</w:t>
      </w:r>
      <w:r w:rsidRPr="00762161">
        <w:t xml:space="preserve"> caution as the flexibility of the APT can be a trap. The author explains that multifactor models offer at best vague predictions about the important variables with respect to returns and expected returns; there is a danger that the measured relations between the returns and the economic factors, used in the model, are spurious. Therefore, the author advocates extended robustness checks.</w:t>
      </w:r>
      <w:r w:rsidR="00666653" w:rsidRPr="00762161">
        <w:t xml:space="preserve"> Chen, Roll &amp; Ross (1986) satisfy this problem by looking for economic variables that are correlated with stock returns, then test</w:t>
      </w:r>
      <w:r w:rsidR="00E71AE5" w:rsidRPr="00762161">
        <w:t>ing</w:t>
      </w:r>
      <w:r w:rsidR="00666653" w:rsidRPr="00762161">
        <w:t xml:space="preserve"> whether the loadings of returns on these economic factors describe the cross section of expected returns. </w:t>
      </w:r>
    </w:p>
    <w:p w:rsidR="00816527" w:rsidRPr="00762161" w:rsidRDefault="00816527" w:rsidP="00E71AE5">
      <w:pPr>
        <w:ind w:right="-27"/>
        <w:rPr>
          <w:szCs w:val="24"/>
        </w:rPr>
      </w:pPr>
    </w:p>
    <w:p w:rsidR="00063563" w:rsidRPr="00762161" w:rsidRDefault="00063563" w:rsidP="00E71AE5">
      <w:pPr>
        <w:pStyle w:val="ListParagraph"/>
        <w:keepNext/>
        <w:keepLines/>
        <w:numPr>
          <w:ilvl w:val="0"/>
          <w:numId w:val="38"/>
        </w:numPr>
        <w:spacing w:before="200"/>
        <w:ind w:right="-27"/>
        <w:contextualSpacing w:val="0"/>
        <w:outlineLvl w:val="1"/>
        <w:rPr>
          <w:rFonts w:asciiTheme="majorHAnsi" w:eastAsiaTheme="majorEastAsia" w:hAnsiTheme="majorHAnsi" w:cstheme="majorBidi"/>
          <w:b/>
          <w:bCs/>
          <w:vanish/>
          <w:color w:val="4F81BD" w:themeColor="accent1"/>
          <w:sz w:val="26"/>
          <w:szCs w:val="26"/>
        </w:rPr>
      </w:pPr>
      <w:bookmarkStart w:id="95" w:name="_Toc283809024"/>
      <w:bookmarkStart w:id="96" w:name="_Toc285272509"/>
      <w:bookmarkStart w:id="97" w:name="_Toc285273836"/>
      <w:bookmarkStart w:id="98" w:name="_Toc285274058"/>
      <w:bookmarkStart w:id="99" w:name="_Toc286584794"/>
      <w:bookmarkStart w:id="100" w:name="_Toc286603506"/>
      <w:bookmarkStart w:id="101" w:name="_Toc286616297"/>
      <w:bookmarkEnd w:id="95"/>
      <w:bookmarkEnd w:id="96"/>
      <w:bookmarkEnd w:id="97"/>
      <w:bookmarkEnd w:id="98"/>
      <w:bookmarkEnd w:id="99"/>
      <w:bookmarkEnd w:id="100"/>
      <w:bookmarkEnd w:id="101"/>
    </w:p>
    <w:p w:rsidR="00063563" w:rsidRPr="00762161" w:rsidRDefault="00063563" w:rsidP="00E71AE5">
      <w:pPr>
        <w:pStyle w:val="ListParagraph"/>
        <w:keepNext/>
        <w:keepLines/>
        <w:numPr>
          <w:ilvl w:val="0"/>
          <w:numId w:val="38"/>
        </w:numPr>
        <w:spacing w:before="200"/>
        <w:ind w:right="-27"/>
        <w:contextualSpacing w:val="0"/>
        <w:outlineLvl w:val="1"/>
        <w:rPr>
          <w:rFonts w:asciiTheme="majorHAnsi" w:eastAsiaTheme="majorEastAsia" w:hAnsiTheme="majorHAnsi" w:cstheme="majorBidi"/>
          <w:b/>
          <w:bCs/>
          <w:vanish/>
          <w:color w:val="4F81BD" w:themeColor="accent1"/>
          <w:sz w:val="26"/>
          <w:szCs w:val="26"/>
        </w:rPr>
      </w:pPr>
      <w:bookmarkStart w:id="102" w:name="_Toc283809025"/>
      <w:bookmarkStart w:id="103" w:name="_Toc285272510"/>
      <w:bookmarkStart w:id="104" w:name="_Toc285273837"/>
      <w:bookmarkStart w:id="105" w:name="_Toc285274059"/>
      <w:bookmarkStart w:id="106" w:name="_Toc286584795"/>
      <w:bookmarkStart w:id="107" w:name="_Toc286603507"/>
      <w:bookmarkStart w:id="108" w:name="_Toc286616298"/>
      <w:bookmarkEnd w:id="102"/>
      <w:bookmarkEnd w:id="103"/>
      <w:bookmarkEnd w:id="104"/>
      <w:bookmarkEnd w:id="105"/>
      <w:bookmarkEnd w:id="106"/>
      <w:bookmarkEnd w:id="107"/>
      <w:bookmarkEnd w:id="108"/>
    </w:p>
    <w:p w:rsidR="00063563" w:rsidRPr="00762161" w:rsidRDefault="00063563" w:rsidP="00E71AE5">
      <w:pPr>
        <w:pStyle w:val="ListParagraph"/>
        <w:keepNext/>
        <w:keepLines/>
        <w:numPr>
          <w:ilvl w:val="0"/>
          <w:numId w:val="38"/>
        </w:numPr>
        <w:spacing w:before="200"/>
        <w:ind w:right="-27"/>
        <w:contextualSpacing w:val="0"/>
        <w:outlineLvl w:val="1"/>
        <w:rPr>
          <w:rFonts w:asciiTheme="majorHAnsi" w:eastAsiaTheme="majorEastAsia" w:hAnsiTheme="majorHAnsi" w:cstheme="majorBidi"/>
          <w:b/>
          <w:bCs/>
          <w:vanish/>
          <w:color w:val="4F81BD" w:themeColor="accent1"/>
          <w:sz w:val="26"/>
          <w:szCs w:val="26"/>
        </w:rPr>
      </w:pPr>
      <w:bookmarkStart w:id="109" w:name="_Toc283809026"/>
      <w:bookmarkStart w:id="110" w:name="_Toc285272511"/>
      <w:bookmarkStart w:id="111" w:name="_Toc285273838"/>
      <w:bookmarkStart w:id="112" w:name="_Toc285274060"/>
      <w:bookmarkStart w:id="113" w:name="_Toc286584796"/>
      <w:bookmarkStart w:id="114" w:name="_Toc286603508"/>
      <w:bookmarkStart w:id="115" w:name="_Toc286616299"/>
      <w:bookmarkEnd w:id="109"/>
      <w:bookmarkEnd w:id="110"/>
      <w:bookmarkEnd w:id="111"/>
      <w:bookmarkEnd w:id="112"/>
      <w:bookmarkEnd w:id="113"/>
      <w:bookmarkEnd w:id="114"/>
      <w:bookmarkEnd w:id="115"/>
    </w:p>
    <w:p w:rsidR="00063563" w:rsidRPr="00762161" w:rsidRDefault="00063563" w:rsidP="00E71AE5">
      <w:pPr>
        <w:pStyle w:val="ListParagraph"/>
        <w:keepNext/>
        <w:keepLines/>
        <w:numPr>
          <w:ilvl w:val="1"/>
          <w:numId w:val="38"/>
        </w:numPr>
        <w:spacing w:before="200"/>
        <w:ind w:right="-27"/>
        <w:contextualSpacing w:val="0"/>
        <w:outlineLvl w:val="1"/>
        <w:rPr>
          <w:rFonts w:asciiTheme="majorHAnsi" w:eastAsiaTheme="majorEastAsia" w:hAnsiTheme="majorHAnsi" w:cstheme="majorBidi"/>
          <w:b/>
          <w:bCs/>
          <w:vanish/>
          <w:color w:val="4F81BD" w:themeColor="accent1"/>
          <w:sz w:val="26"/>
          <w:szCs w:val="26"/>
        </w:rPr>
      </w:pPr>
      <w:bookmarkStart w:id="116" w:name="_Toc283809027"/>
      <w:bookmarkStart w:id="117" w:name="_Toc285272512"/>
      <w:bookmarkStart w:id="118" w:name="_Toc285273839"/>
      <w:bookmarkStart w:id="119" w:name="_Toc285274061"/>
      <w:bookmarkStart w:id="120" w:name="_Toc286584797"/>
      <w:bookmarkStart w:id="121" w:name="_Toc286603509"/>
      <w:bookmarkStart w:id="122" w:name="_Toc286616300"/>
      <w:bookmarkEnd w:id="116"/>
      <w:bookmarkEnd w:id="117"/>
      <w:bookmarkEnd w:id="118"/>
      <w:bookmarkEnd w:id="119"/>
      <w:bookmarkEnd w:id="120"/>
      <w:bookmarkEnd w:id="121"/>
      <w:bookmarkEnd w:id="122"/>
    </w:p>
    <w:p w:rsidR="00063563" w:rsidRPr="00762161" w:rsidRDefault="00063563" w:rsidP="00E71AE5">
      <w:pPr>
        <w:pStyle w:val="ListParagraph"/>
        <w:keepNext/>
        <w:keepLines/>
        <w:numPr>
          <w:ilvl w:val="1"/>
          <w:numId w:val="38"/>
        </w:numPr>
        <w:spacing w:before="200"/>
        <w:ind w:right="-27"/>
        <w:contextualSpacing w:val="0"/>
        <w:outlineLvl w:val="1"/>
        <w:rPr>
          <w:rFonts w:asciiTheme="majorHAnsi" w:eastAsiaTheme="majorEastAsia" w:hAnsiTheme="majorHAnsi" w:cstheme="majorBidi"/>
          <w:b/>
          <w:bCs/>
          <w:vanish/>
          <w:color w:val="4F81BD" w:themeColor="accent1"/>
          <w:sz w:val="26"/>
          <w:szCs w:val="26"/>
        </w:rPr>
      </w:pPr>
      <w:bookmarkStart w:id="123" w:name="_Toc283809028"/>
      <w:bookmarkStart w:id="124" w:name="_Toc285272513"/>
      <w:bookmarkStart w:id="125" w:name="_Toc285273840"/>
      <w:bookmarkStart w:id="126" w:name="_Toc285274062"/>
      <w:bookmarkStart w:id="127" w:name="_Toc286584798"/>
      <w:bookmarkStart w:id="128" w:name="_Toc286603510"/>
      <w:bookmarkStart w:id="129" w:name="_Toc286616301"/>
      <w:bookmarkEnd w:id="123"/>
      <w:bookmarkEnd w:id="124"/>
      <w:bookmarkEnd w:id="125"/>
      <w:bookmarkEnd w:id="126"/>
      <w:bookmarkEnd w:id="127"/>
      <w:bookmarkEnd w:id="128"/>
      <w:bookmarkEnd w:id="129"/>
    </w:p>
    <w:p w:rsidR="00063563" w:rsidRPr="00762161" w:rsidRDefault="00063563" w:rsidP="00E71AE5">
      <w:pPr>
        <w:pStyle w:val="ListParagraph"/>
        <w:keepNext/>
        <w:keepLines/>
        <w:numPr>
          <w:ilvl w:val="1"/>
          <w:numId w:val="38"/>
        </w:numPr>
        <w:spacing w:before="200"/>
        <w:ind w:right="-27"/>
        <w:contextualSpacing w:val="0"/>
        <w:outlineLvl w:val="1"/>
        <w:rPr>
          <w:rFonts w:asciiTheme="majorHAnsi" w:eastAsiaTheme="majorEastAsia" w:hAnsiTheme="majorHAnsi" w:cstheme="majorBidi"/>
          <w:b/>
          <w:bCs/>
          <w:vanish/>
          <w:color w:val="4F81BD" w:themeColor="accent1"/>
          <w:sz w:val="26"/>
          <w:szCs w:val="26"/>
        </w:rPr>
      </w:pPr>
      <w:bookmarkStart w:id="130" w:name="_Toc283809029"/>
      <w:bookmarkStart w:id="131" w:name="_Toc285272514"/>
      <w:bookmarkStart w:id="132" w:name="_Toc285273841"/>
      <w:bookmarkStart w:id="133" w:name="_Toc285274063"/>
      <w:bookmarkStart w:id="134" w:name="_Toc286584799"/>
      <w:bookmarkStart w:id="135" w:name="_Toc286603511"/>
      <w:bookmarkStart w:id="136" w:name="_Toc286616302"/>
      <w:bookmarkEnd w:id="130"/>
      <w:bookmarkEnd w:id="131"/>
      <w:bookmarkEnd w:id="132"/>
      <w:bookmarkEnd w:id="133"/>
      <w:bookmarkEnd w:id="134"/>
      <w:bookmarkEnd w:id="135"/>
      <w:bookmarkEnd w:id="136"/>
    </w:p>
    <w:p w:rsidR="00063563" w:rsidRPr="00762161" w:rsidRDefault="00063563" w:rsidP="00E71AE5">
      <w:pPr>
        <w:pStyle w:val="ListParagraph"/>
        <w:keepNext/>
        <w:keepLines/>
        <w:numPr>
          <w:ilvl w:val="1"/>
          <w:numId w:val="38"/>
        </w:numPr>
        <w:spacing w:before="200"/>
        <w:ind w:right="-27"/>
        <w:contextualSpacing w:val="0"/>
        <w:outlineLvl w:val="1"/>
        <w:rPr>
          <w:rFonts w:asciiTheme="majorHAnsi" w:eastAsiaTheme="majorEastAsia" w:hAnsiTheme="majorHAnsi" w:cstheme="majorBidi"/>
          <w:b/>
          <w:bCs/>
          <w:vanish/>
          <w:color w:val="4F81BD" w:themeColor="accent1"/>
          <w:sz w:val="26"/>
          <w:szCs w:val="26"/>
        </w:rPr>
      </w:pPr>
      <w:bookmarkStart w:id="137" w:name="_Toc283809030"/>
      <w:bookmarkStart w:id="138" w:name="_Toc285272515"/>
      <w:bookmarkStart w:id="139" w:name="_Toc285273842"/>
      <w:bookmarkStart w:id="140" w:name="_Toc285274064"/>
      <w:bookmarkStart w:id="141" w:name="_Toc286584800"/>
      <w:bookmarkStart w:id="142" w:name="_Toc286603512"/>
      <w:bookmarkStart w:id="143" w:name="_Toc286616303"/>
      <w:bookmarkEnd w:id="137"/>
      <w:bookmarkEnd w:id="138"/>
      <w:bookmarkEnd w:id="139"/>
      <w:bookmarkEnd w:id="140"/>
      <w:bookmarkEnd w:id="141"/>
      <w:bookmarkEnd w:id="142"/>
      <w:bookmarkEnd w:id="143"/>
    </w:p>
    <w:p w:rsidR="00433A63" w:rsidRPr="00762161" w:rsidRDefault="00063563" w:rsidP="00E71AE5">
      <w:pPr>
        <w:pStyle w:val="Heading2"/>
        <w:numPr>
          <w:ilvl w:val="1"/>
          <w:numId w:val="38"/>
        </w:numPr>
        <w:ind w:right="-27"/>
      </w:pPr>
      <w:bookmarkStart w:id="144" w:name="_Toc286616304"/>
      <w:r w:rsidRPr="00762161">
        <w:t>Implications for the JSE</w:t>
      </w:r>
      <w:bookmarkEnd w:id="144"/>
    </w:p>
    <w:p w:rsidR="00212889" w:rsidRPr="00762161" w:rsidRDefault="00212889" w:rsidP="00E71AE5">
      <w:pPr>
        <w:spacing w:before="480"/>
        <w:ind w:right="-27"/>
      </w:pPr>
      <w:r w:rsidRPr="00762161">
        <w:t>Understanding the core issues and elements surrounding the JSE</w:t>
      </w:r>
      <w:r w:rsidR="00C30243">
        <w:t xml:space="preserve"> around market efficiency</w:t>
      </w:r>
      <w:r w:rsidRPr="00762161">
        <w:t xml:space="preserve"> is pivotal to this study. </w:t>
      </w:r>
      <w:r w:rsidR="00C30243">
        <w:t xml:space="preserve">For the results of this study to hold substance, sufficient market efficiency credibility of the JSE must be established. </w:t>
      </w:r>
      <w:r w:rsidR="00EA088F">
        <w:t xml:space="preserve">From a historical context, </w:t>
      </w:r>
      <w:r w:rsidRPr="00762161">
        <w:t>Jefferis &amp; Smith (2005) state that the JSE dates back to the 19</w:t>
      </w:r>
      <w:r w:rsidRPr="00762161">
        <w:rPr>
          <w:vertAlign w:val="superscript"/>
        </w:rPr>
        <w:t>th</w:t>
      </w:r>
      <w:r w:rsidRPr="00762161">
        <w:t xml:space="preserve"> century and although it may be large in terms of capitalisation, liquidity has been historically low due to the domination of share ownership by a few large conglomerates linked either to mining or financial holding companies. The concentration of ownership is partly a result of the strict exchange controls on the capital account, which restricted South African firms from exporting capital and left </w:t>
      </w:r>
      <w:r w:rsidR="00FC230C" w:rsidRPr="00762161">
        <w:t>these firms</w:t>
      </w:r>
      <w:r w:rsidRPr="00762161">
        <w:t xml:space="preserve"> with </w:t>
      </w:r>
      <w:r w:rsidRPr="00762161">
        <w:lastRenderedPageBreak/>
        <w:t xml:space="preserve">little choice but to take over other nationally located </w:t>
      </w:r>
      <w:r w:rsidR="00FC230C" w:rsidRPr="00762161">
        <w:t>companies</w:t>
      </w:r>
      <w:r w:rsidRPr="00762161">
        <w:t>. Extensive chan</w:t>
      </w:r>
      <w:r w:rsidR="000A403A">
        <w:t>ges during the past decade have</w:t>
      </w:r>
      <w:r w:rsidRPr="00762161">
        <w:t xml:space="preserve"> however, led to a sharp increase in turnover and liquidity. These changes stem from both the broader political changes that have taken place with</w:t>
      </w:r>
      <w:r w:rsidR="000A403A">
        <w:t>in</w:t>
      </w:r>
      <w:r w:rsidRPr="00762161">
        <w:t xml:space="preserve"> South Africa, and the considerable institutional reforms in the market itself.</w:t>
      </w:r>
      <w:r w:rsidR="00FC230C" w:rsidRPr="00762161">
        <w:t xml:space="preserve"> As a result of the implemented changes, the JSE is now part of the most technologically advanced emerging markets. Furthermore, it operates as part of a relatively sophisticated financial sector characterised by a wide range of financial institutions, markets and information flows that in many respects are more representative of a developed than a developing country.</w:t>
      </w:r>
    </w:p>
    <w:p w:rsidR="00375E82" w:rsidRDefault="00375E82" w:rsidP="00375E82">
      <w:pPr>
        <w:rPr>
          <w:szCs w:val="24"/>
        </w:rPr>
      </w:pPr>
      <w:r w:rsidRPr="00762161">
        <w:t xml:space="preserve">One would not expect </w:t>
      </w:r>
      <w:r>
        <w:t>strong form efficiency</w:t>
      </w:r>
      <w:r w:rsidRPr="00762161">
        <w:t xml:space="preserve"> to be an exact description of the world, and it is probably best viewed as a benchmark against which the importance of deviations from market efficiency can be judged. </w:t>
      </w:r>
      <w:r w:rsidRPr="00762161">
        <w:rPr>
          <w:szCs w:val="24"/>
        </w:rPr>
        <w:t xml:space="preserve">Robins, Sandler &amp; Durand (1999), review of market efficiency concluded that the JSE was strong form inefficient, with mixed evidence regarding its weak and semi strong form efficiency. The implications are such that information is not properly conveyed in the market causing irrationality and possible seasonality, as is observed in </w:t>
      </w:r>
      <w:r>
        <w:rPr>
          <w:szCs w:val="24"/>
        </w:rPr>
        <w:t>stock price anomalies</w:t>
      </w:r>
      <w:r w:rsidRPr="00762161">
        <w:rPr>
          <w:szCs w:val="24"/>
        </w:rPr>
        <w:t>, to arise without due cause. Philpott &amp; Firer (1995), as cited in Robins et al. (1999), also indicated that the JSE may not be efficient in the semi strong form.</w:t>
      </w:r>
    </w:p>
    <w:p w:rsidR="005A0646" w:rsidRPr="00762161" w:rsidRDefault="005A0646" w:rsidP="00375E82">
      <w:pPr>
        <w:rPr>
          <w:szCs w:val="24"/>
        </w:rPr>
      </w:pPr>
      <w:r w:rsidRPr="00762161">
        <w:t xml:space="preserve">Thinly traded </w:t>
      </w:r>
      <w:r w:rsidR="00634027" w:rsidRPr="00762161">
        <w:t>markets</w:t>
      </w:r>
      <w:r w:rsidRPr="00762161">
        <w:t xml:space="preserve"> are troublesome </w:t>
      </w:r>
      <w:r>
        <w:t>as insufficient information integration is able to take place</w:t>
      </w:r>
      <w:r w:rsidRPr="00762161">
        <w:t xml:space="preserve">, such as those in Africa </w:t>
      </w:r>
      <w:r>
        <w:t xml:space="preserve">and </w:t>
      </w:r>
      <w:r w:rsidRPr="00762161">
        <w:t>are often viewed as being subject to manipulation by insiders at the expense of other investors. It is therefore important, that stock markets in developing countries are able to have at least weak form efficiency (Magnusson &amp; Wydick, 2002). The author did however find that the JSE did contain serial correlation in returns, which implies that prices may be driven by insider manipulation or a lack of investor liquidity over longer time periods.</w:t>
      </w:r>
      <w:r>
        <w:t xml:space="preserve"> This suggests strong form inefficiency.</w:t>
      </w:r>
    </w:p>
    <w:p w:rsidR="00063563" w:rsidRPr="00762161" w:rsidRDefault="007A47F2" w:rsidP="00E71AE5">
      <w:pPr>
        <w:spacing w:before="480"/>
        <w:ind w:right="-27"/>
      </w:pPr>
      <w:r w:rsidRPr="00762161">
        <w:lastRenderedPageBreak/>
        <w:t xml:space="preserve">Systematic risk is a crucial element which needs to be considered whenever any capital asset pricing model is applied to an investigation. The extent of the required portfolio diversification will lead the investor to assess the extent to which systematic risk plays a role in a market environment. </w:t>
      </w:r>
      <w:r w:rsidR="00A61B56" w:rsidRPr="00762161">
        <w:t>Neu-Neu &amp; Firer (1997) found that in terms of diversification on the JSE, around thirty stocks were required to be held. Their study also found that there were significant benefits with holding smaller portfolios: holding a portfolio with around 10 shares reduced the risk associated with investment in a single share by around 60%. Increasing the number of shares in a portfolio from ten to thirty</w:t>
      </w:r>
      <w:r w:rsidR="000A403A">
        <w:t>,</w:t>
      </w:r>
      <w:r w:rsidR="00A61B56" w:rsidRPr="00762161">
        <w:t xml:space="preserve"> sheds a further 12%.</w:t>
      </w:r>
      <w:r w:rsidR="007B0382" w:rsidRPr="00762161">
        <w:t xml:space="preserve"> The authors also interestingly found that diversification was most beneficial in South Africa when compared to various developed markets. It was found that around 80.5% of the expected risk associated with holding one share could be eliminated through diversification on the JSE. This proportion of diversifiable risk exceeded that for the United States (73%), for the United Kingdom (65.5%), Belgium (80%), and the Netherlands (76.1%). Although these levels have almost definitely changed over the past 14 years, especially with the effects of globalisation, these figures do still shed light on </w:t>
      </w:r>
      <w:r w:rsidR="00B00D59">
        <w:t xml:space="preserve">the level of efficiency on the </w:t>
      </w:r>
      <w:r w:rsidR="007B0382" w:rsidRPr="00762161">
        <w:t>JSE. The key point is the obvious low level of information asymmetry, whereby for South Africa’s high diversification benefits to hold there must be a large and quick integration of information into the stock market. This shows without doubt the presence of semi strong efficiency in the JSE.</w:t>
      </w:r>
    </w:p>
    <w:p w:rsidR="00063563" w:rsidRPr="00762161" w:rsidRDefault="00093D9B" w:rsidP="009D61A9">
      <w:pPr>
        <w:spacing w:before="480"/>
      </w:pPr>
      <w:r w:rsidRPr="00762161">
        <w:t>The results of Page &amp; Way (1992) clearly provide evidence of long run weak form inefficiency in the South African market over the period 1974 to 1989. This was confirmed by Muller (1999), over the period 1985 to 1997</w:t>
      </w:r>
      <w:r w:rsidR="0058380D" w:rsidRPr="00762161">
        <w:t xml:space="preserve">. </w:t>
      </w:r>
      <w:r w:rsidR="00C71A71" w:rsidRPr="00762161">
        <w:t>Page &amp; Way (1992) find clear weak form inefficiency in the J</w:t>
      </w:r>
      <w:r w:rsidR="00E71AE5" w:rsidRPr="00762161">
        <w:t>SE over the period investigated, because</w:t>
      </w:r>
      <w:r w:rsidR="00C71A71" w:rsidRPr="00762161">
        <w:t xml:space="preserve"> </w:t>
      </w:r>
      <w:r w:rsidR="00E71AE5" w:rsidRPr="00762161">
        <w:t>t</w:t>
      </w:r>
      <w:r w:rsidR="00C71A71" w:rsidRPr="00762161">
        <w:t>he information contained within historical share prices is significant in the prediction of future returns</w:t>
      </w:r>
      <w:r w:rsidR="00B00D59">
        <w:t>.</w:t>
      </w:r>
      <w:r w:rsidR="00C71A71" w:rsidRPr="00762161">
        <w:t xml:space="preserve"> </w:t>
      </w:r>
      <w:r w:rsidR="00B00D59">
        <w:t>Therefore,</w:t>
      </w:r>
      <w:r w:rsidR="00C71A71" w:rsidRPr="00762161">
        <w:t xml:space="preserve"> abnormal returns can be realised by studying past price movements only and then constructing and holding arbitrage portfolios for between two and three years</w:t>
      </w:r>
      <w:r w:rsidR="003E1182" w:rsidRPr="00762161">
        <w:t xml:space="preserve">. The authors conclude that the JSE is probably highly efficient in </w:t>
      </w:r>
      <w:r w:rsidR="003E1182" w:rsidRPr="00762161">
        <w:lastRenderedPageBreak/>
        <w:t>the short term but it fails to efficiently incorporate information in the long term because of increased complexity of the impact of that information over the longer term horizon.</w:t>
      </w:r>
      <w:r w:rsidR="002D79ED" w:rsidRPr="00762161">
        <w:t xml:space="preserve"> </w:t>
      </w:r>
      <w:r w:rsidR="00EA088F">
        <w:t>Appiah-Kusi &amp; Menyah (2003)</w:t>
      </w:r>
      <w:r w:rsidR="004475DA" w:rsidRPr="00762161">
        <w:t xml:space="preserve"> also find the JSE to be weak form inefficient over the period 1990 to 1995 using weekly data. </w:t>
      </w:r>
      <w:r w:rsidR="002D79ED" w:rsidRPr="00762161">
        <w:t>In complete contrast, Smith, Jefferis &amp; Ryoo (2002) and Magnusson &amp; Wydick (2002) found the JSE to be weak form efficient</w:t>
      </w:r>
      <w:r w:rsidR="004475DA" w:rsidRPr="00762161">
        <w:t xml:space="preserve">. </w:t>
      </w:r>
    </w:p>
    <w:p w:rsidR="00932F6A" w:rsidRPr="00762161" w:rsidRDefault="007A47F2" w:rsidP="009D61A9">
      <w:pPr>
        <w:spacing w:before="480"/>
      </w:pPr>
      <w:r w:rsidRPr="00762161">
        <w:t xml:space="preserve">Affleck-Graves &amp; Money (1975) </w:t>
      </w:r>
      <w:r w:rsidR="00262860" w:rsidRPr="00762161">
        <w:t>performed</w:t>
      </w:r>
      <w:r w:rsidRPr="00762161">
        <w:t xml:space="preserve"> an analysis of the JSE and tested weak form efficiency</w:t>
      </w:r>
      <w:r w:rsidR="00EA088F">
        <w:t>, and</w:t>
      </w:r>
      <w:r w:rsidRPr="00762161">
        <w:t xml:space="preserve"> conducted their analysis by evaluating the presence of autocorrelation on the stock market.</w:t>
      </w:r>
      <w:r w:rsidR="00087942" w:rsidRPr="00762161">
        <w:t xml:space="preserve"> Examination of the results </w:t>
      </w:r>
      <w:r w:rsidR="00262860" w:rsidRPr="00762161">
        <w:t>illustrated that</w:t>
      </w:r>
      <w:r w:rsidR="00087942" w:rsidRPr="00762161">
        <w:t xml:space="preserve"> only 35 out of the 500 computed autocorrelations showed greater variation than two standard deviations from zero. As far as the lags of one or two weeks were concerned, the presence of 7 out of 50 autocorrelations greater than two standard deviations from zero would indicate a slight dependence. The authors however concluded that considering the average values and the fact that there appeared to be no significant prevalence of positive or negative signs, it would appear that the assumption of zero autocorrelation is generally valid for the lags of one and two weeks as well as all other lags.</w:t>
      </w:r>
      <w:r w:rsidR="00262860" w:rsidRPr="00762161">
        <w:t xml:space="preserve"> It is clear from the authors presented tests that the random walk model is satisf</w:t>
      </w:r>
      <w:r w:rsidR="000A403A">
        <w:t>ied for, between 70% and 80% of</w:t>
      </w:r>
      <w:r w:rsidR="00262860" w:rsidRPr="00762161">
        <w:t xml:space="preserve"> the shares examined. For the remaining 20% to 30% the autocorrelations were so small that the benefit of technical analysis was debatable.</w:t>
      </w:r>
      <w:r w:rsidR="00212889" w:rsidRPr="00762161">
        <w:t xml:space="preserve"> </w:t>
      </w:r>
    </w:p>
    <w:p w:rsidR="007A47F2" w:rsidRPr="00762161" w:rsidRDefault="0059282B" w:rsidP="009D61A9">
      <w:pPr>
        <w:spacing w:before="480"/>
      </w:pPr>
      <w:r w:rsidRPr="00762161">
        <w:t>Roux &amp; Gilbertson (1978) provided evidence</w:t>
      </w:r>
      <w:r w:rsidR="00EA088F">
        <w:t>,</w:t>
      </w:r>
      <w:r w:rsidRPr="00762161">
        <w:t xml:space="preserve"> </w:t>
      </w:r>
      <w:r w:rsidR="00B00D59">
        <w:t>by use of</w:t>
      </w:r>
      <w:r w:rsidRPr="00762161">
        <w:t xml:space="preserve"> a runs test which was applied to their sample period of 1971-1976, that the price changes of stocks in the JSE were not independently distributed. Although the apparent deviations from independence were small, they were consistent with a situation in which time trend or bunching of observations occurs. The more recent study of </w:t>
      </w:r>
      <w:r w:rsidR="00DA652C" w:rsidRPr="00762161">
        <w:t xml:space="preserve">Magnusson &amp; Wydick (2002) used the Whites Test to test for </w:t>
      </w:r>
      <w:r w:rsidR="002E1648" w:rsidRPr="00762161">
        <w:t>heteroscedasticity over the sample period of 1984-1998</w:t>
      </w:r>
      <w:r w:rsidR="00DA652C" w:rsidRPr="00762161">
        <w:t xml:space="preserve"> </w:t>
      </w:r>
      <w:r w:rsidR="002E1648" w:rsidRPr="00762161">
        <w:t>and found that not only does the JSE not exhibit dependence on past price behaviour but also</w:t>
      </w:r>
      <w:r w:rsidR="00EA088F">
        <w:t xml:space="preserve"> not</w:t>
      </w:r>
      <w:r w:rsidR="002E1648" w:rsidRPr="00762161">
        <w:t xml:space="preserve"> in terms of past stock price variances. The </w:t>
      </w:r>
      <w:r w:rsidR="002E1648" w:rsidRPr="00762161">
        <w:lastRenderedPageBreak/>
        <w:t xml:space="preserve">authors found stock prices to be independently but not identically distributed. </w:t>
      </w:r>
      <w:r w:rsidR="00DE5D0B" w:rsidRPr="00762161">
        <w:t xml:space="preserve">The author did however find that the JSE </w:t>
      </w:r>
      <w:r w:rsidR="00B00D59">
        <w:t>contained</w:t>
      </w:r>
      <w:r w:rsidR="00DE5D0B" w:rsidRPr="00762161">
        <w:t xml:space="preserve"> serial correlation in returns, which implies that prices may be driven by insider manipulation or a lack of investor liquidity over longer time periods. </w:t>
      </w:r>
      <w:r w:rsidR="00212889" w:rsidRPr="00762161">
        <w:t>Jefferis &amp; Smith (2005) use</w:t>
      </w:r>
      <w:r w:rsidR="00B00D59">
        <w:t>d</w:t>
      </w:r>
      <w:r w:rsidR="00212889" w:rsidRPr="00762161">
        <w:t xml:space="preserve"> a GARCH approach with time varying parameters </w:t>
      </w:r>
      <w:r w:rsidR="00B00D59">
        <w:t>to</w:t>
      </w:r>
      <w:r w:rsidR="00212889" w:rsidRPr="00762161">
        <w:t xml:space="preserve"> test for evolving efficiency and </w:t>
      </w:r>
      <w:r w:rsidR="00B00D59">
        <w:t>found</w:t>
      </w:r>
      <w:r w:rsidR="00212889" w:rsidRPr="00762161">
        <w:t xml:space="preserve"> that the JSE </w:t>
      </w:r>
      <w:r w:rsidR="000A403A">
        <w:t>was</w:t>
      </w:r>
      <w:r w:rsidR="00212889" w:rsidRPr="00762161">
        <w:t xml:space="preserve"> weak form efficient for the</w:t>
      </w:r>
      <w:r w:rsidR="00B00D59">
        <w:t>ir</w:t>
      </w:r>
      <w:r w:rsidR="00212889" w:rsidRPr="00762161">
        <w:t xml:space="preserve"> entire sample period.</w:t>
      </w:r>
      <w:r w:rsidR="002E1648" w:rsidRPr="00762161">
        <w:t xml:space="preserve"> This all further cements that idea that the JSE is weak form efficiency</w:t>
      </w:r>
    </w:p>
    <w:p w:rsidR="003E4039" w:rsidRDefault="003E4039">
      <w:pPr>
        <w:rPr>
          <w:b/>
          <w:color w:val="FF0000"/>
          <w:u w:val="single"/>
        </w:rPr>
      </w:pPr>
      <w:r>
        <w:rPr>
          <w:b/>
          <w:color w:val="FF0000"/>
          <w:u w:val="single"/>
        </w:rPr>
        <w:br w:type="page"/>
      </w:r>
    </w:p>
    <w:p w:rsidR="009D61A9" w:rsidRPr="00762161" w:rsidRDefault="009D61A9" w:rsidP="009D61A9">
      <w:pPr>
        <w:pStyle w:val="Heading1"/>
        <w:numPr>
          <w:ilvl w:val="0"/>
          <w:numId w:val="7"/>
        </w:numPr>
      </w:pPr>
      <w:bookmarkStart w:id="145" w:name="_Toc282531616"/>
      <w:bookmarkStart w:id="146" w:name="_Toc286616305"/>
      <w:r w:rsidRPr="00762161">
        <w:lastRenderedPageBreak/>
        <w:t>Stock Prices and their Accompanying Economic Indicators</w:t>
      </w:r>
      <w:bookmarkEnd w:id="145"/>
      <w:bookmarkEnd w:id="146"/>
    </w:p>
    <w:p w:rsidR="009D61A9" w:rsidRPr="00762161" w:rsidRDefault="009D61A9" w:rsidP="009D61A9">
      <w:pPr>
        <w:spacing w:before="480"/>
      </w:pPr>
    </w:p>
    <w:p w:rsidR="00B34559" w:rsidRDefault="009D61A9" w:rsidP="009D61A9">
      <w:pPr>
        <w:spacing w:before="480"/>
        <w:rPr>
          <w:szCs w:val="24"/>
        </w:rPr>
      </w:pPr>
      <w:r w:rsidRPr="00762161">
        <w:rPr>
          <w:szCs w:val="24"/>
        </w:rPr>
        <w:t>In finance, the stock market is the single most important market with respect to corporate investment decisions. Although firms finance a significant portion of their investments by debt, stock prices are seen as providing key price signals to managers regarding corporate investment choices (Fischer &amp; Merton, 1984). Ibrahim (2010) argues that the major downside of stock prices is that they contain a substantial amount of noise</w:t>
      </w:r>
      <w:r w:rsidR="003D48B3">
        <w:rPr>
          <w:szCs w:val="24"/>
        </w:rPr>
        <w:t>, yet the</w:t>
      </w:r>
      <w:r w:rsidRPr="00762161">
        <w:rPr>
          <w:szCs w:val="24"/>
        </w:rPr>
        <w:t xml:space="preserve"> changes in stock prices may also reflect changes in the firm level of risk. In practice, individual leading indic</w:t>
      </w:r>
      <w:r w:rsidR="000A403A">
        <w:rPr>
          <w:szCs w:val="24"/>
        </w:rPr>
        <w:t>ators are not used in isolation</w:t>
      </w:r>
      <w:r w:rsidRPr="00762161">
        <w:rPr>
          <w:szCs w:val="24"/>
        </w:rPr>
        <w:t xml:space="preserve"> as Mitchell &amp; Burns (1938) emphasized when they developed the system of leading indicators, their signals should be interpreted collectively. </w:t>
      </w:r>
    </w:p>
    <w:p w:rsidR="009D61A9" w:rsidRPr="00762161" w:rsidRDefault="009D61A9" w:rsidP="009D61A9">
      <w:pPr>
        <w:spacing w:before="480"/>
        <w:rPr>
          <w:szCs w:val="24"/>
        </w:rPr>
      </w:pPr>
      <w:r w:rsidRPr="00762161">
        <w:rPr>
          <w:szCs w:val="24"/>
        </w:rPr>
        <w:t>Mitchell &amp; Burns (1938: 1) explain that one of the clearest teachings of experience is that every business cycle has features that are peculiar to it. Accordingly, no one who knows the past expects that what happened during any earlier business revival will repeat itself exactly in the next revival. Whatever judgements are formed ought to be based, not upon the behaviour of one or two indexes of business conditions, but upon the behaviour of a considerable number of statistical series that represent a wid</w:t>
      </w:r>
      <w:r w:rsidR="000A403A">
        <w:rPr>
          <w:szCs w:val="24"/>
        </w:rPr>
        <w:t>e variety of economic processes</w:t>
      </w:r>
      <w:r w:rsidRPr="00762161">
        <w:rPr>
          <w:szCs w:val="24"/>
        </w:rPr>
        <w:t xml:space="preserve"> and upon a careful study of the salient factors that are influencing current business policies. Stock &amp; Watson (2003b) emphasize that an investor must know the nature of future macroeconomic shocks and institutional developments that would make a particular candidate indicator stand out. </w:t>
      </w:r>
      <w:r w:rsidRPr="00762161">
        <w:t>Fischer &amp; Merton (1984) tabulated the forecasting record of output during the period 1873-1975, measuring success by the percentage of turning points correctly predicted, and found that the stock market narrowly beat the liabilities of business failures as the best leading indicator.</w:t>
      </w:r>
    </w:p>
    <w:p w:rsidR="0013546C" w:rsidRDefault="0013546C" w:rsidP="0013546C">
      <w:pPr>
        <w:spacing w:before="480"/>
      </w:pPr>
      <w:r w:rsidRPr="00762161">
        <w:lastRenderedPageBreak/>
        <w:t>Chen, Roll &amp; Ross (1986: 385) shows that stock prices can be written as expected discounted dividends:</w:t>
      </w:r>
    </w:p>
    <w:p w:rsidR="0013546C" w:rsidRDefault="0013546C" w:rsidP="0013546C">
      <w:pPr>
        <w:spacing w:before="480"/>
        <w:rPr>
          <w:oMath/>
          <w:rFonts w:ascii="Cambria Math" w:hAnsi="Cambria Math"/>
        </w:rPr>
        <w:sectPr w:rsidR="0013546C" w:rsidSect="00B551A2">
          <w:type w:val="continuous"/>
          <w:pgSz w:w="12240" w:h="15840"/>
          <w:pgMar w:top="1440" w:right="1467" w:bottom="1440" w:left="1440" w:header="708" w:footer="708" w:gutter="0"/>
          <w:cols w:space="708"/>
          <w:titlePg/>
          <w:docGrid w:linePitch="360"/>
        </w:sectPr>
      </w:pPr>
    </w:p>
    <w:p w:rsidR="0013546C" w:rsidRDefault="0013546C" w:rsidP="0013546C">
      <w:pPr>
        <w:spacing w:before="480"/>
        <w:rPr>
          <w:rFonts w:eastAsiaTheme="minorEastAsia"/>
        </w:rPr>
      </w:pPr>
      <m:oMathPara>
        <m:oMathParaPr>
          <m:jc m:val="left"/>
        </m:oMathParaPr>
        <m:oMath>
          <m:r>
            <w:rPr>
              <w:rFonts w:ascii="Cambria Math" w:hAnsi="Cambria Math"/>
            </w:rPr>
            <m:t>p=</m:t>
          </m:r>
          <m:f>
            <m:fPr>
              <m:ctrlPr>
                <w:rPr>
                  <w:rFonts w:ascii="Cambria Math" w:hAnsi="Cambria Math"/>
                  <w:i/>
                </w:rPr>
              </m:ctrlPr>
            </m:fPr>
            <m:num>
              <m:r>
                <w:rPr>
                  <w:rFonts w:ascii="Cambria Math" w:hAnsi="Cambria Math"/>
                </w:rPr>
                <m:t>E(c)</m:t>
              </m:r>
            </m:num>
            <m:den>
              <m:r>
                <w:rPr>
                  <w:rFonts w:ascii="Cambria Math" w:hAnsi="Cambria Math"/>
                </w:rPr>
                <m:t>k</m:t>
              </m:r>
            </m:den>
          </m:f>
        </m:oMath>
      </m:oMathPara>
    </w:p>
    <w:p w:rsidR="0013546C" w:rsidRDefault="0013546C" w:rsidP="0013546C">
      <w:pPr>
        <w:spacing w:before="480"/>
        <w:jc w:val="right"/>
        <w:sectPr w:rsidR="0013546C" w:rsidSect="006701E9">
          <w:type w:val="continuous"/>
          <w:pgSz w:w="12240" w:h="15840"/>
          <w:pgMar w:top="1440" w:right="1467" w:bottom="1440" w:left="1440" w:header="708" w:footer="708" w:gutter="0"/>
          <w:cols w:num="2" w:space="708"/>
          <w:titlePg/>
          <w:docGrid w:linePitch="360"/>
        </w:sectPr>
      </w:pPr>
      <w:r>
        <w:lastRenderedPageBreak/>
        <w:t>(1)</w:t>
      </w:r>
    </w:p>
    <w:p w:rsidR="0013546C" w:rsidRDefault="0013546C" w:rsidP="0013546C">
      <w:pPr>
        <w:spacing w:before="480"/>
      </w:pPr>
      <w:r w:rsidRPr="00762161">
        <w:lastRenderedPageBreak/>
        <w:t>Where c is the dividend stream and k is the discount rate. This implies that actual returns in any period are given by:</w:t>
      </w:r>
    </w:p>
    <w:p w:rsidR="0013546C" w:rsidRDefault="0013546C" w:rsidP="0013546C">
      <w:pPr>
        <w:spacing w:before="480"/>
        <w:rPr>
          <w:oMath/>
          <w:rFonts w:ascii="Cambria Math" w:hAnsi="Cambria Math"/>
        </w:rPr>
        <w:sectPr w:rsidR="0013546C" w:rsidSect="009A1D23">
          <w:type w:val="continuous"/>
          <w:pgSz w:w="12240" w:h="15840"/>
          <w:pgMar w:top="1440" w:right="1467" w:bottom="1440" w:left="1440" w:header="708" w:footer="708" w:gutter="0"/>
          <w:cols w:space="708"/>
          <w:titlePg/>
          <w:docGrid w:linePitch="360"/>
        </w:sectPr>
      </w:pPr>
    </w:p>
    <w:p w:rsidR="0013546C" w:rsidRDefault="006F1E00" w:rsidP="0013546C">
      <w:pPr>
        <w:spacing w:before="480"/>
        <w:rPr>
          <w:rFonts w:eastAsiaTheme="minorEastAsia"/>
        </w:rPr>
      </w:pPr>
      <m:oMathPara>
        <m:oMathParaPr>
          <m:jc m:val="left"/>
        </m:oMathParaPr>
        <m:oMath>
          <m:f>
            <m:fPr>
              <m:ctrlPr>
                <w:rPr>
                  <w:rFonts w:ascii="Cambria Math" w:hAnsi="Cambria Math"/>
                  <w:i/>
                </w:rPr>
              </m:ctrlPr>
            </m:fPr>
            <m:num>
              <m:r>
                <w:rPr>
                  <w:rFonts w:ascii="Cambria Math" w:hAnsi="Cambria Math"/>
                </w:rPr>
                <m:t>dp</m:t>
              </m:r>
            </m:num>
            <m:den>
              <m:r>
                <w:rPr>
                  <w:rFonts w:ascii="Cambria Math" w:hAnsi="Cambria Math"/>
                </w:rPr>
                <m:t>p</m:t>
              </m:r>
            </m:den>
          </m:f>
          <m:r>
            <w:rPr>
              <w:rFonts w:ascii="Cambria Math" w:hAnsi="Cambria Math"/>
            </w:rPr>
            <m:t>+</m:t>
          </m:r>
          <m:f>
            <m:fPr>
              <m:ctrlPr>
                <w:rPr>
                  <w:rFonts w:ascii="Cambria Math" w:hAnsi="Cambria Math"/>
                  <w:i/>
                </w:rPr>
              </m:ctrlPr>
            </m:fPr>
            <m:num>
              <m:r>
                <w:rPr>
                  <w:rFonts w:ascii="Cambria Math" w:hAnsi="Cambria Math"/>
                </w:rPr>
                <m:t>c</m:t>
              </m:r>
            </m:num>
            <m:den>
              <m:r>
                <w:rPr>
                  <w:rFonts w:ascii="Cambria Math" w:hAnsi="Cambria Math"/>
                </w:rPr>
                <m:t>p</m:t>
              </m:r>
            </m:den>
          </m:f>
          <m:r>
            <w:rPr>
              <w:rFonts w:ascii="Cambria Math" w:hAnsi="Cambria Math"/>
            </w:rPr>
            <m:t>=</m:t>
          </m:r>
          <m:f>
            <m:fPr>
              <m:ctrlPr>
                <w:rPr>
                  <w:rFonts w:ascii="Cambria Math" w:hAnsi="Cambria Math"/>
                  <w:i/>
                </w:rPr>
              </m:ctrlPr>
            </m:fPr>
            <m:num>
              <m:r>
                <w:rPr>
                  <w:rFonts w:ascii="Cambria Math" w:hAnsi="Cambria Math"/>
                </w:rPr>
                <m:t>d[E</m:t>
              </m:r>
              <m:d>
                <m:dPr>
                  <m:ctrlPr>
                    <w:rPr>
                      <w:rFonts w:ascii="Cambria Math" w:hAnsi="Cambria Math"/>
                      <w:i/>
                    </w:rPr>
                  </m:ctrlPr>
                </m:dPr>
                <m:e>
                  <m:r>
                    <w:rPr>
                      <w:rFonts w:ascii="Cambria Math" w:hAnsi="Cambria Math"/>
                    </w:rPr>
                    <m:t>c</m:t>
                  </m:r>
                </m:e>
              </m:d>
              <m:r>
                <w:rPr>
                  <w:rFonts w:ascii="Cambria Math" w:hAnsi="Cambria Math"/>
                </w:rPr>
                <m:t>]</m:t>
              </m:r>
            </m:num>
            <m:den>
              <m:r>
                <w:rPr>
                  <w:rFonts w:ascii="Cambria Math" w:hAnsi="Cambria Math"/>
                </w:rPr>
                <m:t>E(c)</m:t>
              </m:r>
            </m:den>
          </m:f>
          <m:r>
            <w:rPr>
              <w:rFonts w:ascii="Cambria Math" w:eastAsiaTheme="minorEastAsia" w:hAnsi="Cambria Math"/>
            </w:rPr>
            <m:t>-</m:t>
          </m:r>
          <m:f>
            <m:fPr>
              <m:ctrlPr>
                <w:rPr>
                  <w:rFonts w:ascii="Cambria Math" w:hAnsi="Cambria Math"/>
                  <w:i/>
                </w:rPr>
              </m:ctrlPr>
            </m:fPr>
            <m:num>
              <m:r>
                <w:rPr>
                  <w:rFonts w:ascii="Cambria Math" w:hAnsi="Cambria Math"/>
                </w:rPr>
                <m:t>dk</m:t>
              </m:r>
            </m:num>
            <m:den>
              <m:r>
                <w:rPr>
                  <w:rFonts w:ascii="Cambria Math" w:hAnsi="Cambria Math"/>
                </w:rPr>
                <m:t>k</m:t>
              </m:r>
            </m:den>
          </m:f>
          <m:r>
            <w:rPr>
              <w:rFonts w:ascii="Cambria Math" w:hAnsi="Cambria Math"/>
            </w:rPr>
            <m:t>+</m:t>
          </m:r>
          <m:f>
            <m:fPr>
              <m:ctrlPr>
                <w:rPr>
                  <w:rFonts w:ascii="Cambria Math" w:hAnsi="Cambria Math"/>
                  <w:i/>
                </w:rPr>
              </m:ctrlPr>
            </m:fPr>
            <m:num>
              <m:r>
                <w:rPr>
                  <w:rFonts w:ascii="Cambria Math" w:hAnsi="Cambria Math"/>
                </w:rPr>
                <m:t>c</m:t>
              </m:r>
            </m:num>
            <m:den>
              <m:r>
                <w:rPr>
                  <w:rFonts w:ascii="Cambria Math" w:hAnsi="Cambria Math"/>
                </w:rPr>
                <m:t>p</m:t>
              </m:r>
            </m:den>
          </m:f>
        </m:oMath>
      </m:oMathPara>
    </w:p>
    <w:p w:rsidR="0013546C" w:rsidRPr="006701E9" w:rsidRDefault="0013546C" w:rsidP="0013546C">
      <w:pPr>
        <w:spacing w:before="480"/>
        <w:jc w:val="right"/>
        <w:sectPr w:rsidR="0013546C" w:rsidRPr="006701E9" w:rsidSect="006701E9">
          <w:type w:val="continuous"/>
          <w:pgSz w:w="12240" w:h="15840"/>
          <w:pgMar w:top="1440" w:right="1467" w:bottom="1440" w:left="1440" w:header="708" w:footer="708" w:gutter="0"/>
          <w:cols w:num="2" w:space="708"/>
          <w:titlePg/>
          <w:docGrid w:linePitch="360"/>
        </w:sectPr>
      </w:pPr>
      <w:r>
        <w:rPr>
          <w:rFonts w:eastAsiaTheme="minorEastAsia"/>
        </w:rPr>
        <w:lastRenderedPageBreak/>
        <w:t>(2)</w:t>
      </w:r>
    </w:p>
    <w:p w:rsidR="0013546C" w:rsidRPr="00762161" w:rsidRDefault="0013546C" w:rsidP="0013546C">
      <w:pPr>
        <w:spacing w:before="480"/>
        <w:rPr>
          <w:rFonts w:eastAsia="SimSun"/>
        </w:rPr>
      </w:pPr>
      <w:r w:rsidRPr="00762161">
        <w:rPr>
          <w:rFonts w:eastAsia="SimSun"/>
        </w:rPr>
        <w:lastRenderedPageBreak/>
        <w:t xml:space="preserve">It follows that, systematic forces that influence returns are those that change discount factors, </w:t>
      </w:r>
      <w:r w:rsidRPr="00762161">
        <w:rPr>
          <w:rFonts w:eastAsia="SimSun"/>
          <w:i/>
        </w:rPr>
        <w:t>k</w:t>
      </w:r>
      <w:r w:rsidRPr="00762161">
        <w:rPr>
          <w:rFonts w:eastAsia="SimSun"/>
        </w:rPr>
        <w:t xml:space="preserve">, and expected cash flows, </w:t>
      </w:r>
      <w:r w:rsidRPr="00762161">
        <w:rPr>
          <w:rFonts w:eastAsia="SimSun"/>
          <w:i/>
        </w:rPr>
        <w:t>E(c)</w:t>
      </w:r>
      <w:r w:rsidRPr="00762161">
        <w:rPr>
          <w:rFonts w:eastAsia="SimSun"/>
        </w:rPr>
        <w:t>. Unanticipated changes in the riskless interest rate will influence pricing, and, through their influence on the time value of future cash flows, they will influence returns. The discount rate also dep</w:t>
      </w:r>
      <w:r w:rsidR="000A403A">
        <w:rPr>
          <w:rFonts w:eastAsia="SimSun"/>
        </w:rPr>
        <w:t>ends on the risk premium; hence</w:t>
      </w:r>
      <w:r w:rsidRPr="00762161">
        <w:rPr>
          <w:rFonts w:eastAsia="SimSun"/>
        </w:rPr>
        <w:t xml:space="preserve"> unanticipated changes in the premium will influence returns. On the demand side, changes in the indirect marginal utility of real wealth, perhaps measured by real consumption changes, will influence pric</w:t>
      </w:r>
      <w:r w:rsidR="000A403A">
        <w:rPr>
          <w:rFonts w:eastAsia="SimSun"/>
        </w:rPr>
        <w:t>ing</w:t>
      </w:r>
      <w:r w:rsidRPr="00762161">
        <w:rPr>
          <w:rFonts w:eastAsia="SimSun"/>
        </w:rPr>
        <w:t xml:space="preserve"> and such effects should also show up as unanticipated changes in the risk premia. Expected cash flows change because of both real and nominal forces. Changes in the expected rate of inflation would influence nominal expected cash flows as well as the nominal rate of interest. To the extent that pricing is done in real terms, unanticipated price level changes will have a systematic effect, and to the extent that relative price change along with general inflation, there can also be a change in asset valuation associated with changes in the average inflation rate. Finally, changes in the expected level of real production would affect the current real value of cash flows. Insofar as the risk premium measure does not capture industrial production uncertainty, innovations in the rate </w:t>
      </w:r>
      <w:r w:rsidRPr="00762161">
        <w:rPr>
          <w:rFonts w:eastAsia="SimSun"/>
        </w:rPr>
        <w:lastRenderedPageBreak/>
        <w:t>of productive activity should have an influence on stock returns through their impact on cash flows.</w:t>
      </w:r>
    </w:p>
    <w:p w:rsidR="0013546C" w:rsidRPr="00762161" w:rsidRDefault="0013546C" w:rsidP="0013546C">
      <w:pPr>
        <w:spacing w:before="480"/>
        <w:rPr>
          <w:szCs w:val="24"/>
        </w:rPr>
      </w:pPr>
      <w:r w:rsidRPr="00762161">
        <w:rPr>
          <w:szCs w:val="24"/>
        </w:rPr>
        <w:t>Studies done in the</w:t>
      </w:r>
      <w:r>
        <w:rPr>
          <w:szCs w:val="24"/>
        </w:rPr>
        <w:t xml:space="preserve"> U.S. </w:t>
      </w:r>
      <w:r w:rsidRPr="00762161">
        <w:rPr>
          <w:szCs w:val="24"/>
        </w:rPr>
        <w:t xml:space="preserve">affirm the concept of stock prices as leading indicators of </w:t>
      </w:r>
      <w:r w:rsidR="001B643F">
        <w:rPr>
          <w:szCs w:val="24"/>
        </w:rPr>
        <w:t>economic activity. Moore (1983)</w:t>
      </w:r>
      <w:r w:rsidRPr="00762161">
        <w:rPr>
          <w:szCs w:val="24"/>
        </w:rPr>
        <w:t xml:space="preserve"> looked at evidence on stock prices as a business indicator </w:t>
      </w:r>
      <w:r w:rsidR="001B643F" w:rsidRPr="00762161">
        <w:rPr>
          <w:szCs w:val="24"/>
        </w:rPr>
        <w:t xml:space="preserve">in emerging markets </w:t>
      </w:r>
      <w:r w:rsidRPr="00762161">
        <w:rPr>
          <w:szCs w:val="24"/>
        </w:rPr>
        <w:t>for the period 1973-1975 and found that stock prices did in fact lead the business cycle for much of the sample period and that they interestingly proved to be better indicators of turning points than were business failures. Fama (1981) also found that</w:t>
      </w:r>
      <w:r>
        <w:rPr>
          <w:szCs w:val="24"/>
        </w:rPr>
        <w:t xml:space="preserve"> U.S. </w:t>
      </w:r>
      <w:r w:rsidRPr="00762161">
        <w:rPr>
          <w:szCs w:val="24"/>
        </w:rPr>
        <w:t xml:space="preserve">stock prices were positively correlated with subsequent growth in Gross National Product (GNP), as well as the average rate of return on physical capital, an indication of the linkage that can be made between the stock market and investment. Fischer and Merton (1984), built upon this evidence and found that, for the period 1950-1982, stock price changes </w:t>
      </w:r>
      <w:r w:rsidR="001B643F">
        <w:rPr>
          <w:szCs w:val="24"/>
        </w:rPr>
        <w:t>was</w:t>
      </w:r>
      <w:r w:rsidRPr="00762161">
        <w:rPr>
          <w:szCs w:val="24"/>
        </w:rPr>
        <w:t xml:space="preserve"> the paramount predictor of future growth in GNP from </w:t>
      </w:r>
      <w:r>
        <w:rPr>
          <w:szCs w:val="24"/>
        </w:rPr>
        <w:t xml:space="preserve">the </w:t>
      </w:r>
      <w:r w:rsidRPr="00762161">
        <w:rPr>
          <w:szCs w:val="24"/>
        </w:rPr>
        <w:t xml:space="preserve">multiple variables which the authors tested. The authors also found that stock prices were a leading indicator of growth in both investments and consumption. Barro (1990) looked at the link between stock prices, investment and GNP in more detail. By examining an extensive sample period of 1891-1987, the author found that lagged stock price changes have significant predictive power for both investment and GNP; with similar findings being documented for the Canadian market. </w:t>
      </w:r>
    </w:p>
    <w:p w:rsidR="00873426" w:rsidRDefault="009D61A9" w:rsidP="00D446E9">
      <w:pPr>
        <w:autoSpaceDE w:val="0"/>
        <w:autoSpaceDN w:val="0"/>
        <w:adjustRightInd w:val="0"/>
        <w:rPr>
          <w:szCs w:val="24"/>
        </w:rPr>
      </w:pPr>
      <w:r w:rsidRPr="00762161">
        <w:rPr>
          <w:szCs w:val="24"/>
        </w:rPr>
        <w:t xml:space="preserve">The main focus of this study will be to evaluate if stock prices can be used to explain real output and GDP movements. Fama (1981; 1990), Fischer &amp; Merton (1984) and Barro (1990) found that the stock market contributed substantially to the prediction of the growth rate of real GNP. Fama (1981), Geske &amp; Roll (1983), Fama (1990) and Schwert (1990) confirm that stock returns are highly correlated with future real activity. Similar relationships have been identified in Australia (Aylward &amp; Glen, 2000; </w:t>
      </w:r>
      <w:r w:rsidRPr="00762161">
        <w:t>Chaudhuri &amp; Smiles, 2004</w:t>
      </w:r>
      <w:r w:rsidRPr="00762161">
        <w:rPr>
          <w:szCs w:val="24"/>
        </w:rPr>
        <w:t xml:space="preserve">), Canada (Barro, 1990), Czech Republic, Russia, Poland, Hungary, Slovenia, and Slovakia (Christoffersen &amp; Slok, 2000), </w:t>
      </w:r>
      <w:r w:rsidR="00865825">
        <w:rPr>
          <w:szCs w:val="24"/>
        </w:rPr>
        <w:t xml:space="preserve">Indonesia, </w:t>
      </w:r>
      <w:r w:rsidR="00865825">
        <w:rPr>
          <w:szCs w:val="24"/>
        </w:rPr>
        <w:lastRenderedPageBreak/>
        <w:t xml:space="preserve">Korea, Malaysia, Philippines, Thailand (Kuttner, 2009), </w:t>
      </w:r>
      <w:r w:rsidRPr="00762161">
        <w:rPr>
          <w:szCs w:val="24"/>
        </w:rPr>
        <w:t xml:space="preserve">Japan, Korea (Kwon &amp; Shin, 1999), Germany and the United Kingdom (Mullins &amp; Wadhani, 1989), Malaysia (Ibrahim, 2010), the </w:t>
      </w:r>
      <w:r w:rsidR="00261F40">
        <w:rPr>
          <w:szCs w:val="24"/>
        </w:rPr>
        <w:t>G7</w:t>
      </w:r>
      <w:r w:rsidRPr="00762161">
        <w:rPr>
          <w:szCs w:val="24"/>
        </w:rPr>
        <w:t xml:space="preserve"> countries (Choi, Hauser &amp; Kopecky, 1999), European countries (Wahlroos &amp; Berglund, 1986; Asprem, 1989) and the OECD countries (Henry, Olekalns &amp; Thong, 2004). These author’s findings may indicate that stock returns are a good proxy, in the form of a leading indicator, for future production and/or shocks that affect stock returns and investment decisions immediately. </w:t>
      </w:r>
    </w:p>
    <w:p w:rsidR="003D48B3" w:rsidRDefault="009D61A9" w:rsidP="00D446E9">
      <w:pPr>
        <w:autoSpaceDE w:val="0"/>
        <w:autoSpaceDN w:val="0"/>
        <w:adjustRightInd w:val="0"/>
        <w:rPr>
          <w:rFonts w:cs="Times New Roman"/>
          <w:szCs w:val="24"/>
        </w:rPr>
      </w:pPr>
      <w:r w:rsidRPr="00762161">
        <w:rPr>
          <w:szCs w:val="24"/>
        </w:rPr>
        <w:t xml:space="preserve">Aylward &amp; Glen (2000) state that the growth rate of stock prices in emerging markets tends, on average, to trail that of GDP and is relatively well correlated with GDP growth rates in cross section. The authors show that the sum of the correlation coefficients for consumption and </w:t>
      </w:r>
      <w:r w:rsidRPr="00D446E9">
        <w:rPr>
          <w:rFonts w:cs="Times New Roman"/>
          <w:szCs w:val="24"/>
        </w:rPr>
        <w:t xml:space="preserve">investment, both with stock prices, generally exceed the magnitude of the correlation between the GDP and stock prices. Ibrahim (2010) argues that stock prices have the edge as a predictor of real activity since stock price data is readily available. Christoffersen &amp; Slok (2000) conducted three different econometric analyses and showed that lagged values of asset prices contain significant signals of changes in real economic activity, in particular industrial production. </w:t>
      </w:r>
    </w:p>
    <w:p w:rsidR="009D61A9" w:rsidRPr="00762161" w:rsidRDefault="009D61A9" w:rsidP="00D446E9">
      <w:pPr>
        <w:autoSpaceDE w:val="0"/>
        <w:autoSpaceDN w:val="0"/>
        <w:adjustRightInd w:val="0"/>
        <w:rPr>
          <w:szCs w:val="24"/>
        </w:rPr>
      </w:pPr>
      <w:r w:rsidRPr="00D446E9">
        <w:rPr>
          <w:rFonts w:cs="Times New Roman"/>
          <w:szCs w:val="24"/>
        </w:rPr>
        <w:t xml:space="preserve">Mauro (2003) </w:t>
      </w:r>
      <w:r w:rsidR="00261F40">
        <w:rPr>
          <w:rFonts w:cs="Times New Roman"/>
          <w:szCs w:val="24"/>
        </w:rPr>
        <w:t>found</w:t>
      </w:r>
      <w:r w:rsidRPr="00D446E9">
        <w:rPr>
          <w:rFonts w:cs="Times New Roman"/>
          <w:szCs w:val="24"/>
        </w:rPr>
        <w:t xml:space="preserve"> that countries with a high market capitalisation to GDP ratio, a large number of listed domestic companies and initial public offerings tend to display significantly stronger correlation.</w:t>
      </w:r>
      <w:r w:rsidR="00D446E9" w:rsidRPr="00D446E9">
        <w:rPr>
          <w:rFonts w:cs="Times New Roman"/>
          <w:szCs w:val="24"/>
        </w:rPr>
        <w:t xml:space="preserve"> </w:t>
      </w:r>
      <w:r w:rsidR="00D446E9">
        <w:rPr>
          <w:rFonts w:cs="Times New Roman"/>
          <w:szCs w:val="24"/>
        </w:rPr>
        <w:t xml:space="preserve">Taken from a market capitalisation point of view, </w:t>
      </w:r>
      <w:r w:rsidR="00D446E9" w:rsidRPr="00D446E9">
        <w:rPr>
          <w:rFonts w:cs="Times New Roman"/>
          <w:szCs w:val="24"/>
        </w:rPr>
        <w:t xml:space="preserve">Jefferis &amp; Smith (2005) </w:t>
      </w:r>
      <w:r w:rsidR="00D446E9">
        <w:rPr>
          <w:rFonts w:cs="Times New Roman"/>
          <w:szCs w:val="24"/>
        </w:rPr>
        <w:t>show that w</w:t>
      </w:r>
      <w:r w:rsidR="00D446E9" w:rsidRPr="00D446E9">
        <w:rPr>
          <w:rFonts w:cs="Times New Roman"/>
          <w:szCs w:val="24"/>
          <w:lang w:val="en-ZA"/>
        </w:rPr>
        <w:t xml:space="preserve">ith the exception of South Africa, African stock markets are extremely small by world standards. Together, the fifteen </w:t>
      </w:r>
      <w:r w:rsidR="00D446E9">
        <w:rPr>
          <w:rFonts w:cs="Times New Roman"/>
          <w:szCs w:val="24"/>
          <w:lang w:val="en-ZA"/>
        </w:rPr>
        <w:t xml:space="preserve">major African </w:t>
      </w:r>
      <w:r w:rsidR="00D446E9" w:rsidRPr="00D446E9">
        <w:rPr>
          <w:rFonts w:cs="Times New Roman"/>
          <w:szCs w:val="24"/>
          <w:lang w:val="en-ZA"/>
        </w:rPr>
        <w:t>markets</w:t>
      </w:r>
      <w:r w:rsidR="00D446E9">
        <w:rPr>
          <w:rFonts w:cs="Times New Roman"/>
          <w:szCs w:val="24"/>
          <w:lang w:val="en-ZA"/>
        </w:rPr>
        <w:t xml:space="preserve"> making up their sample</w:t>
      </w:r>
      <w:r w:rsidR="00D446E9" w:rsidRPr="00D446E9">
        <w:rPr>
          <w:rFonts w:cs="Times New Roman"/>
          <w:szCs w:val="24"/>
          <w:lang w:val="en-ZA"/>
        </w:rPr>
        <w:t xml:space="preserve"> apart from South Africa accounted for only 0.</w:t>
      </w:r>
      <w:r w:rsidR="00D446E9">
        <w:rPr>
          <w:rFonts w:cs="Times New Roman"/>
          <w:szCs w:val="24"/>
          <w:lang w:val="en-ZA"/>
        </w:rPr>
        <w:t>2%</w:t>
      </w:r>
      <w:r w:rsidR="00D446E9" w:rsidRPr="00D446E9">
        <w:rPr>
          <w:rFonts w:cs="Times New Roman"/>
          <w:szCs w:val="24"/>
          <w:lang w:val="en-ZA"/>
        </w:rPr>
        <w:t xml:space="preserve"> of world stock market capitalisat</w:t>
      </w:r>
      <w:r w:rsidR="000E70AD">
        <w:rPr>
          <w:rFonts w:cs="Times New Roman"/>
          <w:szCs w:val="24"/>
          <w:lang w:val="en-ZA"/>
        </w:rPr>
        <w:t xml:space="preserve">ion at the end of 2003, and 2.0% </w:t>
      </w:r>
      <w:r w:rsidR="00D446E9" w:rsidRPr="00D446E9">
        <w:rPr>
          <w:rFonts w:cs="Times New Roman"/>
          <w:szCs w:val="24"/>
          <w:lang w:val="en-ZA"/>
        </w:rPr>
        <w:t>of emerging market capitalisa</w:t>
      </w:r>
      <w:r w:rsidR="00D446E9">
        <w:rPr>
          <w:rFonts w:cs="Times New Roman"/>
          <w:szCs w:val="24"/>
          <w:lang w:val="en-ZA"/>
        </w:rPr>
        <w:t>tion. In contrast, South Africa,</w:t>
      </w:r>
      <w:r w:rsidR="00D446E9" w:rsidRPr="00D446E9">
        <w:rPr>
          <w:rFonts w:cs="Times New Roman"/>
          <w:szCs w:val="24"/>
          <w:lang w:val="en-ZA"/>
        </w:rPr>
        <w:t xml:space="preserve"> which accounts for</w:t>
      </w:r>
      <w:r w:rsidR="00D446E9">
        <w:rPr>
          <w:rFonts w:cs="Times New Roman"/>
          <w:szCs w:val="24"/>
          <w:lang w:val="en-ZA"/>
        </w:rPr>
        <w:t xml:space="preserve"> </w:t>
      </w:r>
      <w:r w:rsidR="00D446E9" w:rsidRPr="00D446E9">
        <w:rPr>
          <w:rFonts w:cs="Times New Roman"/>
          <w:szCs w:val="24"/>
          <w:lang w:val="en-ZA"/>
        </w:rPr>
        <w:t>80</w:t>
      </w:r>
      <w:r w:rsidR="00D446E9">
        <w:rPr>
          <w:rFonts w:cs="Times New Roman"/>
          <w:szCs w:val="24"/>
          <w:lang w:val="en-ZA"/>
        </w:rPr>
        <w:t>%</w:t>
      </w:r>
      <w:r w:rsidR="00D446E9" w:rsidRPr="00D446E9">
        <w:rPr>
          <w:rFonts w:cs="Times New Roman"/>
          <w:szCs w:val="24"/>
          <w:lang w:val="en-ZA"/>
        </w:rPr>
        <w:t xml:space="preserve"> of African stock market capitalisation, is quite large by world standards. With a capitalisation of U</w:t>
      </w:r>
      <w:r w:rsidR="00D446E9">
        <w:rPr>
          <w:rFonts w:cs="Times New Roman"/>
          <w:szCs w:val="24"/>
          <w:lang w:val="en-ZA"/>
        </w:rPr>
        <w:t>.</w:t>
      </w:r>
      <w:r w:rsidR="00D446E9" w:rsidRPr="00D446E9">
        <w:rPr>
          <w:rFonts w:cs="Times New Roman"/>
          <w:szCs w:val="24"/>
          <w:lang w:val="en-ZA"/>
        </w:rPr>
        <w:t>S</w:t>
      </w:r>
      <w:r w:rsidR="00D446E9">
        <w:rPr>
          <w:rFonts w:cs="Times New Roman"/>
          <w:szCs w:val="24"/>
          <w:lang w:val="en-ZA"/>
        </w:rPr>
        <w:t>.</w:t>
      </w:r>
      <w:r w:rsidR="00D446E9" w:rsidRPr="00D446E9">
        <w:rPr>
          <w:rFonts w:cs="Times New Roman"/>
          <w:szCs w:val="24"/>
          <w:lang w:val="en-ZA"/>
        </w:rPr>
        <w:t xml:space="preserve"> $267 billion at the end of 2003, South Africa was then the fifth largest emerging market (after China, Taiwan, South Korea and India), and the 18</w:t>
      </w:r>
      <w:r w:rsidR="00D446E9" w:rsidRPr="00D446E9">
        <w:rPr>
          <w:rFonts w:cs="Times New Roman"/>
          <w:szCs w:val="24"/>
          <w:vertAlign w:val="superscript"/>
          <w:lang w:val="en-ZA"/>
        </w:rPr>
        <w:t>th</w:t>
      </w:r>
      <w:r w:rsidR="00D446E9" w:rsidRPr="00D446E9">
        <w:rPr>
          <w:rFonts w:cs="Times New Roman"/>
          <w:szCs w:val="24"/>
          <w:lang w:val="en-ZA"/>
        </w:rPr>
        <w:t xml:space="preserve"> largest equity market in the world.</w:t>
      </w:r>
    </w:p>
    <w:p w:rsidR="005B1057" w:rsidRPr="00762161" w:rsidRDefault="005B1057" w:rsidP="005B1057">
      <w:pPr>
        <w:spacing w:before="480"/>
        <w:rPr>
          <w:szCs w:val="24"/>
        </w:rPr>
      </w:pPr>
      <w:r w:rsidRPr="00762161">
        <w:rPr>
          <w:szCs w:val="24"/>
        </w:rPr>
        <w:lastRenderedPageBreak/>
        <w:t>Kuttner (2009) finds that in recent years, stock market movements in the</w:t>
      </w:r>
      <w:r>
        <w:rPr>
          <w:szCs w:val="24"/>
        </w:rPr>
        <w:t xml:space="preserve"> U.S. </w:t>
      </w:r>
      <w:r w:rsidRPr="00762161">
        <w:rPr>
          <w:szCs w:val="24"/>
        </w:rPr>
        <w:t>appear to have tracked macroeconomic fluctuations relatively closely, raising the possibility of a closer connection between the two. In particular the boom of the late 1990s, the recession of 2001, and the period of economic boom that began in 2004, all appear to have had a corresponding movement in the equity market. Similar observations have been seen in Asia, where the gains seen since 1998 have coincided with a period of rapid economic expansion.</w:t>
      </w:r>
    </w:p>
    <w:p w:rsidR="009D61A9" w:rsidRPr="00762161" w:rsidRDefault="005B1057" w:rsidP="009D61A9">
      <w:pPr>
        <w:spacing w:before="480"/>
        <w:rPr>
          <w:szCs w:val="24"/>
        </w:rPr>
      </w:pPr>
      <w:r>
        <w:rPr>
          <w:szCs w:val="24"/>
        </w:rPr>
        <w:t xml:space="preserve">Dominant theory still maintains the presence of a relationship and </w:t>
      </w:r>
      <w:r w:rsidR="009D61A9" w:rsidRPr="00762161">
        <w:rPr>
          <w:szCs w:val="24"/>
        </w:rPr>
        <w:t>Fama (1981) further emphasizes that stock returns lead all of the real variables suggest</w:t>
      </w:r>
      <w:r>
        <w:rPr>
          <w:szCs w:val="24"/>
        </w:rPr>
        <w:t>ing</w:t>
      </w:r>
      <w:r w:rsidR="009D61A9" w:rsidRPr="00762161">
        <w:rPr>
          <w:szCs w:val="24"/>
        </w:rPr>
        <w:t xml:space="preserve"> that the market makes rational forecasts of the real sector. In short, an increase in the general level of real activity puts pressure on the prevailing capital stock, thus inducing increased capital expenditures. Additional theoretical links from the stock market to future economic activity can come through the role of stock prices as a determinant of the cost of capital</w:t>
      </w:r>
      <w:r>
        <w:rPr>
          <w:szCs w:val="24"/>
        </w:rPr>
        <w:t>,</w:t>
      </w:r>
      <w:r w:rsidR="009D61A9" w:rsidRPr="00762161">
        <w:rPr>
          <w:szCs w:val="24"/>
        </w:rPr>
        <w:t xml:space="preserve"> Tobin’s (1969) </w:t>
      </w:r>
      <w:r w:rsidR="009D61A9" w:rsidRPr="00762161">
        <w:rPr>
          <w:i/>
          <w:szCs w:val="24"/>
        </w:rPr>
        <w:t>q</w:t>
      </w:r>
      <w:r w:rsidR="009D61A9" w:rsidRPr="00762161">
        <w:rPr>
          <w:szCs w:val="24"/>
        </w:rPr>
        <w:t>-theory</w:t>
      </w:r>
      <w:r>
        <w:rPr>
          <w:szCs w:val="24"/>
        </w:rPr>
        <w:t>,</w:t>
      </w:r>
      <w:r w:rsidR="009D61A9" w:rsidRPr="00762161">
        <w:rPr>
          <w:szCs w:val="24"/>
        </w:rPr>
        <w:t xml:space="preserve"> and through the wealth effects conveyed on consumption patterns (Stock &amp; Watson, 1989).</w:t>
      </w:r>
    </w:p>
    <w:p w:rsidR="009D61A9" w:rsidRPr="00762161" w:rsidRDefault="009D61A9" w:rsidP="009D61A9">
      <w:pPr>
        <w:spacing w:before="480"/>
        <w:rPr>
          <w:szCs w:val="24"/>
        </w:rPr>
      </w:pPr>
      <w:r w:rsidRPr="00762161">
        <w:rPr>
          <w:szCs w:val="24"/>
        </w:rPr>
        <w:t>Fama (1981), Geske &amp; Roll (1983), Kaul (1987), Barro (1989, 1990), Fama (1990), and Schwert (1990), amongst others, find that large fractions of annual stock return variances can be traced to forecasts of real economic variables such as real GNP, industrial production, investment</w:t>
      </w:r>
      <w:r w:rsidR="00261F40">
        <w:rPr>
          <w:szCs w:val="24"/>
        </w:rPr>
        <w:t>s</w:t>
      </w:r>
      <w:r w:rsidRPr="00762161">
        <w:rPr>
          <w:szCs w:val="24"/>
        </w:rPr>
        <w:t xml:space="preserve"> that are important determinants of cash flow to firms, and </w:t>
      </w:r>
      <w:r w:rsidR="005B1057">
        <w:rPr>
          <w:szCs w:val="24"/>
        </w:rPr>
        <w:t xml:space="preserve">when </w:t>
      </w:r>
      <w:r w:rsidRPr="00762161">
        <w:rPr>
          <w:szCs w:val="24"/>
        </w:rPr>
        <w:t>the relation between stock returns and future real activity is strong. French, Schwert, &amp; Stambaugh (1987) find that part of the variation in stock returns can be put down to a discount rate effect, that is, shocks to expected returns and discount rates that generate opposite shocks to prices. Fama (1990) notes three pivotal explanations for such relations. Firstly, information about future real activity may be mirrored in stock prices well before it has actually occurred</w:t>
      </w:r>
      <w:r w:rsidR="005B1057">
        <w:rPr>
          <w:szCs w:val="24"/>
        </w:rPr>
        <w:t>,</w:t>
      </w:r>
      <w:r w:rsidRPr="00762161">
        <w:rPr>
          <w:szCs w:val="24"/>
        </w:rPr>
        <w:t xml:space="preserve"> this is essentially the notion of this paper in that stock prices are a leading indicator for the well being of the economy through the proxy of GDP. Secondly, changes in discount rates may affect stock prices and real investment </w:t>
      </w:r>
      <w:r w:rsidRPr="00762161">
        <w:rPr>
          <w:szCs w:val="24"/>
        </w:rPr>
        <w:lastRenderedPageBreak/>
        <w:t>similarly, yet the output from real investment does not appear for a period of time after it has been made. Lastly, changes in stock prices are potentially changes in wealth, and this can affect the demand for consumption and investment goods.</w:t>
      </w:r>
    </w:p>
    <w:p w:rsidR="009D61A9" w:rsidRPr="00762161" w:rsidRDefault="009D61A9" w:rsidP="009D61A9">
      <w:pPr>
        <w:spacing w:before="480"/>
      </w:pPr>
      <w:r w:rsidRPr="00762161">
        <w:t>Cheung &amp; Ng (1998) use quarterly data of Canada, Ger</w:t>
      </w:r>
      <w:r w:rsidR="00261F40">
        <w:t>many, Italy, Japan and the U.S.</w:t>
      </w:r>
      <w:r w:rsidRPr="00762161">
        <w:t xml:space="preserve"> and find evidence of long run comovements between the national stock market index levels and country specific aggregate economic real variables such as real oil price, real o</w:t>
      </w:r>
      <w:r w:rsidR="00261F40">
        <w:t>utput, real money supply</w:t>
      </w:r>
      <w:r w:rsidRPr="00762161">
        <w:t xml:space="preserve"> and real consumption. Mauro (2003) show that there is a positive and significant correlation between output growth and lagged stock returns in several countries, including both advanced countries with highly developed stock markets and developing countries with emerging but relatively undeveloped stock markets. The presence of this association in a variety of countries at differing stages of economic and financial development, allows the author to suggest that the relationship is f</w:t>
      </w:r>
      <w:r w:rsidR="00261F40">
        <w:t>airly robust</w:t>
      </w:r>
      <w:r w:rsidRPr="00762161">
        <w:t xml:space="preserve"> and that development in stock prices should be taken int</w:t>
      </w:r>
      <w:r w:rsidR="00261F40">
        <w:t>o account in forecasting output</w:t>
      </w:r>
      <w:r w:rsidRPr="00762161">
        <w:t xml:space="preserve"> in both advanced and emerging economies. The author also finds that with the correlation between real output growth and stock market returns being significant even in countries with relatively small market capitalisation also seems to lend support to the notion that the correlation between output growth and stock returns is due to the causal link from news about output growth to stock returns.</w:t>
      </w:r>
    </w:p>
    <w:p w:rsidR="006701E9" w:rsidRDefault="006701E9" w:rsidP="009D61A9">
      <w:pPr>
        <w:spacing w:before="480"/>
        <w:rPr>
          <w:rFonts w:eastAsia="SimSun"/>
        </w:rPr>
        <w:sectPr w:rsidR="006701E9" w:rsidSect="009A1D23">
          <w:type w:val="continuous"/>
          <w:pgSz w:w="12240" w:h="15840"/>
          <w:pgMar w:top="1440" w:right="1467" w:bottom="1440" w:left="1440" w:header="708" w:footer="708" w:gutter="0"/>
          <w:cols w:space="708"/>
          <w:titlePg/>
          <w:docGrid w:linePitch="360"/>
        </w:sectPr>
      </w:pPr>
    </w:p>
    <w:p w:rsidR="009D61A9" w:rsidRPr="00762161" w:rsidRDefault="009D61A9" w:rsidP="009D61A9">
      <w:pPr>
        <w:spacing w:before="480"/>
      </w:pPr>
      <w:r w:rsidRPr="00762161">
        <w:lastRenderedPageBreak/>
        <w:t>Several of the aforementioned factors were found to be significant in explaining expected stock returns; the best predictor was industrial production, followed by changes in the risk premia and yield curve as well as measures of inflation (Chen, Roll &amp; Ross, 1986). This lend</w:t>
      </w:r>
      <w:r w:rsidR="00261F40">
        <w:t>s</w:t>
      </w:r>
      <w:r w:rsidRPr="00762161">
        <w:t xml:space="preserve"> credence to the idea that should stock prices lead economic activity, simply due to the relationship that is shared between industrial production and share prices, so will industrial production indirectly.</w:t>
      </w:r>
    </w:p>
    <w:p w:rsidR="00BC7B6D" w:rsidRPr="00762161" w:rsidRDefault="00BC7B6D" w:rsidP="00BC7B6D">
      <w:pPr>
        <w:spacing w:before="480"/>
        <w:rPr>
          <w:szCs w:val="24"/>
        </w:rPr>
      </w:pPr>
      <w:r w:rsidRPr="00762161">
        <w:rPr>
          <w:szCs w:val="24"/>
        </w:rPr>
        <w:lastRenderedPageBreak/>
        <w:t>As stated previously, individual leading indicators should not be used in isolation, as Mitchell &amp; Burns (1938) emphasized when they developed the system of leading indicators, their signals should be interpreted collectively. Forecasts based on individual indicators are unstable. Finding an indicator that has a high predictive power in one period is no guarantee that this power will carry over into subsequent periods (Stock &amp; Watson, 2003b). Fischer &amp; Merton (1984) agree, even if stock prices were known to reflect all available information, one would not expect this to be so because the market’s function is not to directly predict GNP. The correlation between changes in current stock prices and future changes in GNP arises from the markets attempt to forecast future earnings, which are correlated with GNP.</w:t>
      </w:r>
    </w:p>
    <w:p w:rsidR="005B1057" w:rsidRPr="00762161" w:rsidRDefault="005B1057" w:rsidP="005B1057">
      <w:pPr>
        <w:spacing w:before="480"/>
      </w:pPr>
      <w:r>
        <w:rPr>
          <w:szCs w:val="24"/>
        </w:rPr>
        <w:t>However, e</w:t>
      </w:r>
      <w:r w:rsidRPr="00762161">
        <w:rPr>
          <w:szCs w:val="24"/>
        </w:rPr>
        <w:t>vidence to the contrary, of stock returns being an important predictor of future economic activity</w:t>
      </w:r>
      <w:r w:rsidR="00261F40">
        <w:rPr>
          <w:szCs w:val="24"/>
        </w:rPr>
        <w:t>,</w:t>
      </w:r>
      <w:r w:rsidRPr="00762161">
        <w:rPr>
          <w:szCs w:val="24"/>
        </w:rPr>
        <w:t xml:space="preserve"> has begun to surface. Barro (1990) reports that the stock market was incorrect in the prediction of an additional three recessions that never occurred in 1963, 1967 and 1978. </w:t>
      </w:r>
      <w:r w:rsidR="004E2181">
        <w:t>Cheung &amp; Ng (1998)</w:t>
      </w:r>
      <w:r w:rsidRPr="00762161">
        <w:t xml:space="preserve"> find the effect of real GNP on the stock market is insignificant and thus has weak explanatory power.</w:t>
      </w:r>
      <w:r w:rsidRPr="00762161">
        <w:rPr>
          <w:szCs w:val="24"/>
        </w:rPr>
        <w:t xml:space="preserve"> Stock &amp; Watson (1990) show that the relationship between stock returns has not been entirely stable over their sample period, and that the systematic predictive information of stock returns for future activity is also contained in other financial variables which are discussed below, such as yield spreads between 3 month and 10 year government bonds or between treasury bills and commercial paper. </w:t>
      </w:r>
      <w:r w:rsidR="00775515">
        <w:rPr>
          <w:szCs w:val="24"/>
        </w:rPr>
        <w:t>Henry, Olekalns &amp; Thong (2004)</w:t>
      </w:r>
      <w:r w:rsidRPr="00762161">
        <w:rPr>
          <w:szCs w:val="24"/>
        </w:rPr>
        <w:t xml:space="preserve"> argues that the yield between these long and short term government bonds is a better predictor of future economic activity than the stock mark</w:t>
      </w:r>
      <w:r w:rsidR="00261F40">
        <w:rPr>
          <w:szCs w:val="24"/>
        </w:rPr>
        <w:t>et returns in the G</w:t>
      </w:r>
      <w:r w:rsidRPr="00762161">
        <w:rPr>
          <w:szCs w:val="24"/>
        </w:rPr>
        <w:t>7 countries. Binswanger (2000) presents evidence that there has been a break down in the relation between stock returns and future real activity in the U.S. economy sinc</w:t>
      </w:r>
      <w:r w:rsidR="00261F40">
        <w:rPr>
          <w:szCs w:val="24"/>
        </w:rPr>
        <w:t xml:space="preserve">e the early 1980s. </w:t>
      </w:r>
      <w:r w:rsidR="00775515">
        <w:rPr>
          <w:szCs w:val="24"/>
        </w:rPr>
        <w:t>These</w:t>
      </w:r>
      <w:r w:rsidR="00261F40">
        <w:rPr>
          <w:szCs w:val="24"/>
        </w:rPr>
        <w:t xml:space="preserve"> results</w:t>
      </w:r>
      <w:r w:rsidR="00775515">
        <w:rPr>
          <w:szCs w:val="24"/>
        </w:rPr>
        <w:t xml:space="preserve"> </w:t>
      </w:r>
      <w:r w:rsidRPr="00762161">
        <w:rPr>
          <w:szCs w:val="24"/>
        </w:rPr>
        <w:t xml:space="preserve">holds true whether the author uses monthly, quarterly, or annual real stock returns or whether real activity is represented by production growth rates or </w:t>
      </w:r>
      <w:r w:rsidR="00627488">
        <w:rPr>
          <w:szCs w:val="24"/>
        </w:rPr>
        <w:t>Real GDP</w:t>
      </w:r>
      <w:r w:rsidRPr="00762161">
        <w:rPr>
          <w:szCs w:val="24"/>
        </w:rPr>
        <w:t xml:space="preserve"> growth rates. Current stock returns do not contain significant information about future real activity as has been seen before. However, the author </w:t>
      </w:r>
      <w:r w:rsidRPr="00762161">
        <w:rPr>
          <w:szCs w:val="24"/>
        </w:rPr>
        <w:lastRenderedPageBreak/>
        <w:t>states</w:t>
      </w:r>
      <w:r>
        <w:rPr>
          <w:szCs w:val="24"/>
        </w:rPr>
        <w:t xml:space="preserve"> that because the sample period</w:t>
      </w:r>
      <w:r w:rsidRPr="00762161">
        <w:rPr>
          <w:szCs w:val="24"/>
        </w:rPr>
        <w:t xml:space="preserve"> 1984-1995, which was found to be characterized by the absence of a relation between stock returns and future real activity, is relatively short</w:t>
      </w:r>
      <w:r>
        <w:rPr>
          <w:szCs w:val="24"/>
        </w:rPr>
        <w:t xml:space="preserve"> </w:t>
      </w:r>
      <w:r w:rsidR="00261F40">
        <w:rPr>
          <w:szCs w:val="24"/>
        </w:rPr>
        <w:t xml:space="preserve">and </w:t>
      </w:r>
      <w:r w:rsidRPr="00762161">
        <w:rPr>
          <w:szCs w:val="24"/>
        </w:rPr>
        <w:t xml:space="preserve">there cannot </w:t>
      </w:r>
      <w:r>
        <w:rPr>
          <w:szCs w:val="24"/>
        </w:rPr>
        <w:t>be strong conclusions formed as the results may be either permanent in nature or due to a temporary lapse.</w:t>
      </w:r>
    </w:p>
    <w:p w:rsidR="00967372" w:rsidRPr="00762161" w:rsidRDefault="00967372" w:rsidP="00967372">
      <w:pPr>
        <w:spacing w:before="480"/>
      </w:pPr>
      <w:r w:rsidRPr="00762161">
        <w:t>Park (1997) on the other hand finds evidence suggesting that there is a negative relationship between current output and future stock prices. This evidence may be due in part to the reaction of stock market participants to other macroeconomic variables which are closely linked to output, such as employment and inflation, which</w:t>
      </w:r>
      <w:r w:rsidR="00261F40">
        <w:t xml:space="preserve"> in turn</w:t>
      </w:r>
      <w:r w:rsidRPr="00762161">
        <w:t xml:space="preserve"> are negatively related to future earnings and business conditions. The authors’ claims that the negative correlation of growth with future stock returns may be attributed to factors closely related to future growth and to countercyclical macroeconomic policy. A rise in output growth would usually be considered a sign of higher future inflation, which would subsequently impact negatively on future growth and returns. Policy makers may respond by raising interest rates and thus, reducing future cash flow to the firm. Alternatively, after a rise in output increasing adjustment costs reduce the initial rise in </w:t>
      </w:r>
      <w:r w:rsidR="00627488">
        <w:t>Real Stock Price</w:t>
      </w:r>
      <w:r w:rsidRPr="00762161">
        <w:t xml:space="preserve">s. The economy would therefore end up with higher growth and </w:t>
      </w:r>
      <w:r w:rsidR="00627488">
        <w:t>Real Stock Price</w:t>
      </w:r>
      <w:r w:rsidRPr="00762161">
        <w:t>s. Kaul (1987) finds the relation between inflation and the current real activity variable to be consistently positive and significant, whereas the future real activity has a coefficient which is neither indistinguishable from zero nor significantly positive.</w:t>
      </w:r>
    </w:p>
    <w:p w:rsidR="00967372" w:rsidRPr="00762161" w:rsidRDefault="00967372" w:rsidP="00967372">
      <w:pPr>
        <w:spacing w:before="480"/>
      </w:pPr>
      <w:r w:rsidRPr="00762161">
        <w:t>Fama (1981) and Kaul (1987) find that real activity explains more variation in returns of longer return horizons. Future production growth rates explain 6% of the variance of monthly returns on the</w:t>
      </w:r>
      <w:r>
        <w:t xml:space="preserve"> </w:t>
      </w:r>
      <w:r w:rsidR="00B035F8">
        <w:t>NYSE</w:t>
      </w:r>
      <w:r>
        <w:t xml:space="preserve"> </w:t>
      </w:r>
      <w:r w:rsidRPr="00762161">
        <w:t>value weighted portfolio. The pro</w:t>
      </w:r>
      <w:r w:rsidR="00261F40">
        <w:t>portion rises, to a much larger</w:t>
      </w:r>
      <w:r w:rsidRPr="00762161">
        <w:t xml:space="preserve"> 43% for annual returns. Kaul (1987) finds that by using annual as opposed to monthly or quarterly data, the </w:t>
      </w:r>
      <w:r w:rsidRPr="00762161">
        <w:rPr>
          <w:i/>
        </w:rPr>
        <w:t>R</w:t>
      </w:r>
      <w:r w:rsidRPr="00762161">
        <w:t xml:space="preserve"> from the regression on average double, and in some cause triple. Fama (1990: 1090) has developed a model to better explain the implications. The model says that, if information about </w:t>
      </w:r>
      <w:r w:rsidRPr="00762161">
        <w:lastRenderedPageBreak/>
        <w:t xml:space="preserve">the production of a given month evolves over many previous months, the production of a given month will affect stock returns of many previous months. A given monthly return then has information about many future production growth rates, but adjacent returns have additional information about the same production growth rates. The </w:t>
      </w:r>
      <w:r w:rsidRPr="00762161">
        <w:rPr>
          <w:i/>
        </w:rPr>
        <w:t>R</w:t>
      </w:r>
      <w:r w:rsidRPr="00762161">
        <w:t xml:space="preserve"> from regressions of monthly returns on future production growth rates will then understate the information about production in the sequence of returns. Consistent with the evidence, the model says that the proportion of the variation in returns due to information about production is captured better when longer horizon returns are regressed on future production growth rates. Park (1997) also finds that results are weaker with monthly and quarterly data. The author explains the weaker short term results through the high degree of impact from volatility in shorter sample horizons.</w:t>
      </w:r>
    </w:p>
    <w:p w:rsidR="009D61A9" w:rsidRPr="00762161" w:rsidRDefault="009D61A9" w:rsidP="009D61A9">
      <w:pPr>
        <w:spacing w:before="480"/>
      </w:pPr>
    </w:p>
    <w:p w:rsidR="009D61A9" w:rsidRPr="00762161" w:rsidRDefault="009D61A9" w:rsidP="009D61A9">
      <w:pPr>
        <w:pStyle w:val="ListParagraph"/>
        <w:keepNext/>
        <w:keepLines/>
        <w:numPr>
          <w:ilvl w:val="0"/>
          <w:numId w:val="8"/>
        </w:numPr>
        <w:spacing w:before="480"/>
        <w:contextualSpacing w:val="0"/>
        <w:outlineLvl w:val="1"/>
        <w:rPr>
          <w:rFonts w:ascii="Cambria" w:eastAsia="SimSun" w:hAnsi="Cambria"/>
          <w:b/>
          <w:bCs/>
          <w:vanish/>
          <w:color w:val="4F81BD"/>
          <w:sz w:val="26"/>
          <w:szCs w:val="26"/>
        </w:rPr>
      </w:pPr>
      <w:bookmarkStart w:id="147" w:name="_Toc278367119"/>
      <w:bookmarkStart w:id="148" w:name="_Toc278448070"/>
      <w:bookmarkStart w:id="149" w:name="_Toc278471254"/>
      <w:bookmarkStart w:id="150" w:name="_Toc278964414"/>
      <w:bookmarkStart w:id="151" w:name="_Toc278964507"/>
      <w:bookmarkStart w:id="152" w:name="_Toc282515143"/>
      <w:bookmarkStart w:id="153" w:name="_Toc282515170"/>
      <w:bookmarkStart w:id="154" w:name="_Toc282517961"/>
      <w:bookmarkStart w:id="155" w:name="_Toc282518247"/>
      <w:bookmarkStart w:id="156" w:name="_Toc282531617"/>
      <w:bookmarkStart w:id="157" w:name="_Toc283187544"/>
      <w:bookmarkStart w:id="158" w:name="_Toc283473739"/>
      <w:bookmarkStart w:id="159" w:name="_Toc283549273"/>
      <w:bookmarkStart w:id="160" w:name="_Toc283572403"/>
      <w:bookmarkStart w:id="161" w:name="_Toc283809033"/>
      <w:bookmarkStart w:id="162" w:name="_Toc285272518"/>
      <w:bookmarkStart w:id="163" w:name="_Toc285273845"/>
      <w:bookmarkStart w:id="164" w:name="_Toc285274067"/>
      <w:bookmarkStart w:id="165" w:name="_Toc286584803"/>
      <w:bookmarkStart w:id="166" w:name="_Toc286603515"/>
      <w:bookmarkStart w:id="167" w:name="_Toc28661630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p>
    <w:p w:rsidR="009D61A9" w:rsidRPr="00762161" w:rsidRDefault="009D61A9" w:rsidP="009D61A9">
      <w:pPr>
        <w:pStyle w:val="ListParagraph"/>
        <w:keepNext/>
        <w:keepLines/>
        <w:numPr>
          <w:ilvl w:val="0"/>
          <w:numId w:val="8"/>
        </w:numPr>
        <w:spacing w:before="480"/>
        <w:contextualSpacing w:val="0"/>
        <w:outlineLvl w:val="1"/>
        <w:rPr>
          <w:rFonts w:ascii="Cambria" w:eastAsia="SimSun" w:hAnsi="Cambria"/>
          <w:b/>
          <w:bCs/>
          <w:vanish/>
          <w:color w:val="4F81BD"/>
          <w:sz w:val="26"/>
          <w:szCs w:val="26"/>
        </w:rPr>
      </w:pPr>
      <w:bookmarkStart w:id="168" w:name="_Toc278367120"/>
      <w:bookmarkStart w:id="169" w:name="_Toc278448071"/>
      <w:bookmarkStart w:id="170" w:name="_Toc278471255"/>
      <w:bookmarkStart w:id="171" w:name="_Toc278964415"/>
      <w:bookmarkStart w:id="172" w:name="_Toc278964508"/>
      <w:bookmarkStart w:id="173" w:name="_Toc282515144"/>
      <w:bookmarkStart w:id="174" w:name="_Toc282515171"/>
      <w:bookmarkStart w:id="175" w:name="_Toc282517962"/>
      <w:bookmarkStart w:id="176" w:name="_Toc282518248"/>
      <w:bookmarkStart w:id="177" w:name="_Toc282531618"/>
      <w:bookmarkStart w:id="178" w:name="_Toc283187545"/>
      <w:bookmarkStart w:id="179" w:name="_Toc283473740"/>
      <w:bookmarkStart w:id="180" w:name="_Toc283549274"/>
      <w:bookmarkStart w:id="181" w:name="_Toc283572404"/>
      <w:bookmarkStart w:id="182" w:name="_Toc283809034"/>
      <w:bookmarkStart w:id="183" w:name="_Toc285272519"/>
      <w:bookmarkStart w:id="184" w:name="_Toc285273846"/>
      <w:bookmarkStart w:id="185" w:name="_Toc285274068"/>
      <w:bookmarkStart w:id="186" w:name="_Toc286584804"/>
      <w:bookmarkStart w:id="187" w:name="_Toc286603516"/>
      <w:bookmarkStart w:id="188" w:name="_Toc28661630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p>
    <w:p w:rsidR="009D61A9" w:rsidRPr="00762161" w:rsidRDefault="009D61A9" w:rsidP="009D61A9">
      <w:pPr>
        <w:pStyle w:val="ListParagraph"/>
        <w:keepNext/>
        <w:keepLines/>
        <w:numPr>
          <w:ilvl w:val="0"/>
          <w:numId w:val="8"/>
        </w:numPr>
        <w:spacing w:before="480"/>
        <w:contextualSpacing w:val="0"/>
        <w:outlineLvl w:val="1"/>
        <w:rPr>
          <w:rFonts w:ascii="Cambria" w:eastAsia="SimSun" w:hAnsi="Cambria"/>
          <w:b/>
          <w:bCs/>
          <w:vanish/>
          <w:color w:val="4F81BD"/>
          <w:sz w:val="26"/>
          <w:szCs w:val="26"/>
        </w:rPr>
      </w:pPr>
      <w:bookmarkStart w:id="189" w:name="_Toc278367121"/>
      <w:bookmarkStart w:id="190" w:name="_Toc278448072"/>
      <w:bookmarkStart w:id="191" w:name="_Toc278471256"/>
      <w:bookmarkStart w:id="192" w:name="_Toc278964416"/>
      <w:bookmarkStart w:id="193" w:name="_Toc278964509"/>
      <w:bookmarkStart w:id="194" w:name="_Toc282515145"/>
      <w:bookmarkStart w:id="195" w:name="_Toc282515172"/>
      <w:bookmarkStart w:id="196" w:name="_Toc282517963"/>
      <w:bookmarkStart w:id="197" w:name="_Toc282518249"/>
      <w:bookmarkStart w:id="198" w:name="_Toc282531619"/>
      <w:bookmarkStart w:id="199" w:name="_Toc283187546"/>
      <w:bookmarkStart w:id="200" w:name="_Toc283473741"/>
      <w:bookmarkStart w:id="201" w:name="_Toc283549275"/>
      <w:bookmarkStart w:id="202" w:name="_Toc283572405"/>
      <w:bookmarkStart w:id="203" w:name="_Toc283809035"/>
      <w:bookmarkStart w:id="204" w:name="_Toc285272520"/>
      <w:bookmarkStart w:id="205" w:name="_Toc285273847"/>
      <w:bookmarkStart w:id="206" w:name="_Toc285274069"/>
      <w:bookmarkStart w:id="207" w:name="_Toc286584805"/>
      <w:bookmarkStart w:id="208" w:name="_Toc286603517"/>
      <w:bookmarkStart w:id="209" w:name="_Toc28661630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p>
    <w:p w:rsidR="009D61A9" w:rsidRPr="00762161" w:rsidRDefault="009D61A9" w:rsidP="009D61A9">
      <w:pPr>
        <w:pStyle w:val="ListParagraph"/>
        <w:keepNext/>
        <w:keepLines/>
        <w:numPr>
          <w:ilvl w:val="0"/>
          <w:numId w:val="8"/>
        </w:numPr>
        <w:spacing w:before="480"/>
        <w:contextualSpacing w:val="0"/>
        <w:outlineLvl w:val="1"/>
        <w:rPr>
          <w:rFonts w:ascii="Cambria" w:eastAsia="SimSun" w:hAnsi="Cambria"/>
          <w:b/>
          <w:bCs/>
          <w:vanish/>
          <w:color w:val="4F81BD"/>
          <w:sz w:val="26"/>
          <w:szCs w:val="26"/>
        </w:rPr>
      </w:pPr>
      <w:bookmarkStart w:id="210" w:name="_Toc278367122"/>
      <w:bookmarkStart w:id="211" w:name="_Toc278448073"/>
      <w:bookmarkStart w:id="212" w:name="_Toc278471257"/>
      <w:bookmarkStart w:id="213" w:name="_Toc278964417"/>
      <w:bookmarkStart w:id="214" w:name="_Toc278964510"/>
      <w:bookmarkStart w:id="215" w:name="_Toc282515146"/>
      <w:bookmarkStart w:id="216" w:name="_Toc282515173"/>
      <w:bookmarkStart w:id="217" w:name="_Toc282517964"/>
      <w:bookmarkStart w:id="218" w:name="_Toc282518250"/>
      <w:bookmarkStart w:id="219" w:name="_Toc282531620"/>
      <w:bookmarkStart w:id="220" w:name="_Toc283187547"/>
      <w:bookmarkStart w:id="221" w:name="_Toc283473742"/>
      <w:bookmarkStart w:id="222" w:name="_Toc283549276"/>
      <w:bookmarkStart w:id="223" w:name="_Toc283572406"/>
      <w:bookmarkStart w:id="224" w:name="_Toc283809036"/>
      <w:bookmarkStart w:id="225" w:name="_Toc285272521"/>
      <w:bookmarkStart w:id="226" w:name="_Toc285273848"/>
      <w:bookmarkStart w:id="227" w:name="_Toc285274070"/>
      <w:bookmarkStart w:id="228" w:name="_Toc286584806"/>
      <w:bookmarkStart w:id="229" w:name="_Toc286603518"/>
      <w:bookmarkStart w:id="230" w:name="_Toc2866163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p>
    <w:p w:rsidR="009D61A9" w:rsidRPr="00762161" w:rsidRDefault="009D61A9" w:rsidP="009D61A9">
      <w:pPr>
        <w:pStyle w:val="Heading2"/>
        <w:numPr>
          <w:ilvl w:val="1"/>
          <w:numId w:val="8"/>
        </w:numPr>
        <w:spacing w:before="480"/>
      </w:pPr>
      <w:bookmarkStart w:id="231" w:name="_Toc282531621"/>
      <w:bookmarkStart w:id="232" w:name="_Toc286616310"/>
      <w:r w:rsidRPr="00762161">
        <w:t>Industrial Production</w:t>
      </w:r>
      <w:bookmarkEnd w:id="231"/>
      <w:bookmarkEnd w:id="232"/>
    </w:p>
    <w:p w:rsidR="009D61A9" w:rsidRPr="00762161" w:rsidRDefault="009D61A9" w:rsidP="009D61A9">
      <w:pPr>
        <w:spacing w:before="480"/>
        <w:rPr>
          <w:szCs w:val="24"/>
        </w:rPr>
      </w:pPr>
      <w:r w:rsidRPr="00762161">
        <w:rPr>
          <w:szCs w:val="24"/>
        </w:rPr>
        <w:t xml:space="preserve">Looking at Fama (1981), Geske &amp; Roll (1983), Kaul (1987), and </w:t>
      </w:r>
      <w:r w:rsidRPr="00762161">
        <w:t xml:space="preserve">Fischer &amp; Merton (1984) </w:t>
      </w:r>
      <w:r w:rsidRPr="00762161">
        <w:rPr>
          <w:szCs w:val="24"/>
        </w:rPr>
        <w:t xml:space="preserve">variation in stock returns due to expectations of future cash flows is estimated by regressing stock returns on future growth rates of real activity. The authors find that industrial production explains as much as, or more, variation as alternative real activity variables, but growth rates of real GNP and Gross Private Investment are close competitors. Further findings suggest that profits or investment may have marginal explanatory power in regressions that include the variable production, but the improvements are small and often they are unreliable. </w:t>
      </w:r>
      <w:r w:rsidRPr="00762161">
        <w:t xml:space="preserve">Fischer &amp; Merton (1984) finds, by using annual data, that the change in stock prices in isolation as a predictive </w:t>
      </w:r>
      <w:r w:rsidR="00553DB8" w:rsidRPr="00762161">
        <w:t>variable</w:t>
      </w:r>
      <w:r w:rsidRPr="00762161">
        <w:t xml:space="preserve"> carries power to predict business and fixed investment and inventory investment even when other financial variables and lagged real GNP growth are included in the regression equations. </w:t>
      </w:r>
      <w:r w:rsidRPr="00762161">
        <w:rPr>
          <w:szCs w:val="24"/>
        </w:rPr>
        <w:t xml:space="preserve">The relation between stock returns and future production should reflect the </w:t>
      </w:r>
      <w:r w:rsidRPr="00762161">
        <w:rPr>
          <w:szCs w:val="24"/>
        </w:rPr>
        <w:lastRenderedPageBreak/>
        <w:t xml:space="preserve">information about cash flows in production, but there are at least two other possibilities which Barro mentions in his 1990 paper, and </w:t>
      </w:r>
      <w:r w:rsidR="00261F40">
        <w:rPr>
          <w:szCs w:val="24"/>
        </w:rPr>
        <w:t>which has previously</w:t>
      </w:r>
      <w:r w:rsidRPr="00762161">
        <w:rPr>
          <w:szCs w:val="24"/>
        </w:rPr>
        <w:t xml:space="preserve"> been alluded to, (1) Stock prices and production can respond together to other variables. (2) Stock returns might also cause changes in real activity. Thus, an increase in stock prices is an increase in wealth, which is likely to increase the demand for consumption and/or investment goods</w:t>
      </w:r>
      <w:r w:rsidR="0013546C">
        <w:rPr>
          <w:szCs w:val="24"/>
        </w:rPr>
        <w:t>, consumption based asset pricing will be elaborated on later</w:t>
      </w:r>
      <w:r w:rsidRPr="00762161">
        <w:rPr>
          <w:szCs w:val="24"/>
        </w:rPr>
        <w:t xml:space="preserve">. Furthermore, </w:t>
      </w:r>
      <w:r w:rsidR="0013546C">
        <w:rPr>
          <w:szCs w:val="24"/>
        </w:rPr>
        <w:t>because</w:t>
      </w:r>
      <w:r w:rsidRPr="00762161">
        <w:rPr>
          <w:szCs w:val="24"/>
        </w:rPr>
        <w:t xml:space="preserve"> industrial production is clearly in the tradable sector of the economy</w:t>
      </w:r>
      <w:r w:rsidR="0013546C">
        <w:rPr>
          <w:szCs w:val="24"/>
        </w:rPr>
        <w:t>,</w:t>
      </w:r>
      <w:r w:rsidRPr="00762161">
        <w:rPr>
          <w:szCs w:val="24"/>
        </w:rPr>
        <w:t xml:space="preserve"> </w:t>
      </w:r>
      <w:r w:rsidR="0013546C">
        <w:rPr>
          <w:szCs w:val="24"/>
        </w:rPr>
        <w:t>it is</w:t>
      </w:r>
      <w:r w:rsidRPr="00762161">
        <w:rPr>
          <w:szCs w:val="24"/>
        </w:rPr>
        <w:t xml:space="preserve"> under </w:t>
      </w:r>
      <w:r w:rsidR="0013546C">
        <w:rPr>
          <w:szCs w:val="24"/>
        </w:rPr>
        <w:t>greater</w:t>
      </w:r>
      <w:r w:rsidRPr="00762161">
        <w:rPr>
          <w:szCs w:val="24"/>
        </w:rPr>
        <w:t xml:space="preserve"> influence </w:t>
      </w:r>
      <w:r w:rsidR="0013546C">
        <w:rPr>
          <w:szCs w:val="24"/>
        </w:rPr>
        <w:t>from asset prices,</w:t>
      </w:r>
      <w:r w:rsidRPr="00762161">
        <w:rPr>
          <w:szCs w:val="24"/>
        </w:rPr>
        <w:t xml:space="preserve"> such as stock prices (Christoffersen &amp; Slok, 2000). Ibrahim (2010) show that through their out of sample evaluation statistic, stock returns do add incremental information for future output growth.</w:t>
      </w:r>
    </w:p>
    <w:p w:rsidR="005A261E" w:rsidRPr="00762161" w:rsidRDefault="005A261E" w:rsidP="005A261E">
      <w:pPr>
        <w:spacing w:before="480"/>
      </w:pPr>
      <w:r w:rsidRPr="00762161">
        <w:t xml:space="preserve">There is also much debate circling around the impact on investment schedules given incorrect market expectations or irrationality. </w:t>
      </w:r>
      <w:r w:rsidR="00261F40">
        <w:t>Fischer &amp; Merton (1984) explain</w:t>
      </w:r>
      <w:r w:rsidRPr="00762161">
        <w:t xml:space="preserve"> that, logically, managers will adjust their investment schedul</w:t>
      </w:r>
      <w:r w:rsidR="00261F40">
        <w:t>es in response to price changes</w:t>
      </w:r>
      <w:r w:rsidRPr="00762161">
        <w:t xml:space="preserve"> even if, given extreme circumstances, managers hold their belief with certainty and the stock price changes are inconsistent w</w:t>
      </w:r>
      <w:r w:rsidR="00261F40">
        <w:t>ith this belief. This mechanism</w:t>
      </w:r>
      <w:r w:rsidRPr="00762161">
        <w:t xml:space="preserve"> by which stock prices lead investment decisions, works regardless of whether the reasons underlying the price changes are rational or irrational. This indistinguishable mechanism may be perceived as a curse, it can also be a blessing in disguise. Should the manager have low expectations, the market may with its high expectations reward the manager for following the level of the stock price changes as opposed to his own pessimistic perceptions. </w:t>
      </w:r>
      <w:r w:rsidR="00284D70">
        <w:t>Bosworth, Hymans &amp; Modigliani</w:t>
      </w:r>
      <w:r w:rsidR="00627488">
        <w:t xml:space="preserve"> (1975)</w:t>
      </w:r>
      <w:r w:rsidRPr="00762161">
        <w:t xml:space="preserve"> asserts that management will not scrap investment plans in response to the highly volatile short run changes in stock prices. Fischer &amp; Merton (1984) continues by explaining that if the stock market corrects itself quicker than manager’s ability to react to irrational changes in prices, there will be no effect on investment. Even if a manager believes that the stock market fluctuates excessively, a rational predictor of investment knows that the market may have information about investment prospects and future ear</w:t>
      </w:r>
      <w:r w:rsidR="00261F40">
        <w:t>nings that the manager does not</w:t>
      </w:r>
      <w:r w:rsidRPr="00762161">
        <w:t xml:space="preserve"> </w:t>
      </w:r>
      <w:r w:rsidR="002D03D9">
        <w:t xml:space="preserve">and </w:t>
      </w:r>
      <w:r w:rsidRPr="00762161">
        <w:t xml:space="preserve">will use stock prices to modify his prior </w:t>
      </w:r>
      <w:r w:rsidRPr="00762161">
        <w:lastRenderedPageBreak/>
        <w:t>beliefs. Therefore, the uncertainty about whether or not a particular stock price change is warranted serves to strengthen further the effect of stock price changes on investment. The authors therefore conclude that investment plans of rational man</w:t>
      </w:r>
      <w:r w:rsidR="00261F40">
        <w:t>agers will react to stock price</w:t>
      </w:r>
      <w:r w:rsidRPr="00762161">
        <w:t xml:space="preserve"> changes regardless if the managers have good reason to believe that stock prices fluctuate excessively.</w:t>
      </w:r>
    </w:p>
    <w:p w:rsidR="009D61A9" w:rsidRPr="00762161" w:rsidRDefault="009D61A9" w:rsidP="009D61A9">
      <w:pPr>
        <w:spacing w:before="480"/>
      </w:pPr>
      <w:r w:rsidRPr="00762161">
        <w:t xml:space="preserve">Stock prices can also be looked at from a lagging point of view. Fama (1990) finds evidence that variables </w:t>
      </w:r>
      <w:r w:rsidR="00261F40">
        <w:t>which</w:t>
      </w:r>
      <w:r w:rsidRPr="00762161">
        <w:t xml:space="preserve"> measure time varying expected returns and shocks to expected returns capture 30% of the variance of annual real returns on the value weighted portfolio of</w:t>
      </w:r>
      <w:r w:rsidR="007A6B4B">
        <w:t xml:space="preserve"> </w:t>
      </w:r>
      <w:r w:rsidR="00B035F8">
        <w:t>NYSE</w:t>
      </w:r>
      <w:r w:rsidR="007A6B4B">
        <w:t xml:space="preserve"> </w:t>
      </w:r>
      <w:r w:rsidRPr="00762161">
        <w:t>stocks. Future growth rates of industrial production, which the author uses to proxy for shocks to expected cash flows, explain 43% of the variance of annual returns. Yet, production growth rates, expected returns, and shocks to expected returns are all related to business conditions, the combined explanatory power of the variables</w:t>
      </w:r>
      <w:r w:rsidR="005A4EDE">
        <w:t xml:space="preserve">, </w:t>
      </w:r>
      <w:r w:rsidRPr="00762161">
        <w:t>about 58% of the variance of annual returns</w:t>
      </w:r>
      <w:r w:rsidR="005A4EDE">
        <w:t>,</w:t>
      </w:r>
      <w:r w:rsidRPr="00762161">
        <w:t xml:space="preserve"> is less than the sum of their separate explanatory powers. From a market efficiency standpoint, an argument can be made that the variance explained is understated because the explanatory variables do not capture all of the rational variation in returns. Alternatively, the variance explained is overstated because the explanatory variables are chosen largely on the basis of goodness of fit. In dispute of this, Fama (1981) conducts tests whish show that the stock return is never led by any of the real variables, and industrial production is the only real variable that shows a strong contemporaneous relation with the stock return.</w:t>
      </w:r>
    </w:p>
    <w:p w:rsidR="005A261E" w:rsidRPr="00762161" w:rsidRDefault="005A261E" w:rsidP="005A261E">
      <w:pPr>
        <w:spacing w:before="480"/>
        <w:rPr>
          <w:szCs w:val="24"/>
        </w:rPr>
      </w:pPr>
      <w:r>
        <w:rPr>
          <w:szCs w:val="24"/>
        </w:rPr>
        <w:t xml:space="preserve">However, as </w:t>
      </w:r>
      <w:r w:rsidRPr="00762161">
        <w:rPr>
          <w:szCs w:val="24"/>
        </w:rPr>
        <w:t xml:space="preserve">Binswanger (2000) </w:t>
      </w:r>
      <w:r>
        <w:rPr>
          <w:szCs w:val="24"/>
        </w:rPr>
        <w:t xml:space="preserve">finds, by </w:t>
      </w:r>
      <w:r w:rsidRPr="00762161">
        <w:rPr>
          <w:szCs w:val="24"/>
        </w:rPr>
        <w:t>consider</w:t>
      </w:r>
      <w:r>
        <w:rPr>
          <w:szCs w:val="24"/>
        </w:rPr>
        <w:t>ing</w:t>
      </w:r>
      <w:r w:rsidRPr="00762161">
        <w:rPr>
          <w:szCs w:val="24"/>
        </w:rPr>
        <w:t xml:space="preserve"> the U.S. economy</w:t>
      </w:r>
      <w:r>
        <w:rPr>
          <w:szCs w:val="24"/>
        </w:rPr>
        <w:t>,</w:t>
      </w:r>
      <w:r w:rsidRPr="00762161">
        <w:rPr>
          <w:szCs w:val="24"/>
        </w:rPr>
        <w:t xml:space="preserve"> future production growth rates have not been significant in explaining variations in stock returns since 1984. </w:t>
      </w:r>
      <w:r>
        <w:rPr>
          <w:szCs w:val="24"/>
        </w:rPr>
        <w:t>Keeping in line,</w:t>
      </w:r>
      <w:r w:rsidRPr="00762161">
        <w:rPr>
          <w:szCs w:val="24"/>
        </w:rPr>
        <w:t xml:space="preserve"> Fama (1990) states that it is unlikely there will be one macroeconomic variable, in this case </w:t>
      </w:r>
      <w:r>
        <w:rPr>
          <w:szCs w:val="24"/>
        </w:rPr>
        <w:t xml:space="preserve">industrial </w:t>
      </w:r>
      <w:r w:rsidRPr="00762161">
        <w:rPr>
          <w:szCs w:val="24"/>
        </w:rPr>
        <w:t xml:space="preserve">production, which captures all variation in returns due to information about future cash flows. Conversely, it is likely that there is variation in future production that is </w:t>
      </w:r>
      <w:r w:rsidRPr="00762161">
        <w:rPr>
          <w:szCs w:val="24"/>
        </w:rPr>
        <w:lastRenderedPageBreak/>
        <w:t xml:space="preserve">irrelevant to current stock returns. Some of this production growth for future periods is unpredictable and </w:t>
      </w:r>
      <w:r>
        <w:rPr>
          <w:szCs w:val="24"/>
        </w:rPr>
        <w:t>thus</w:t>
      </w:r>
      <w:r w:rsidRPr="00762161">
        <w:rPr>
          <w:szCs w:val="24"/>
        </w:rPr>
        <w:t xml:space="preserve"> irrelevant for current returns. Looking from the other direction, irrational variation in stock prices might, through a standard wealth effect, induce variation in production. In brief, the authors’ empirical tests, over the period 1953-1987, suggest that a large fraction of the variation of stock returns can be explained, primarily through the time variation of expected returns and through forecasts of real activity. The author goes on further to show that stock returns and production growth rates will not be perfectly correlated even if information about future production causes all the variation in stock prices. In essence, due to stock prices reflecting the value of cash flows at future horizons, current stock prices are related to variation in all future growth rates. </w:t>
      </w:r>
    </w:p>
    <w:p w:rsidR="005A261E" w:rsidRPr="00762161" w:rsidRDefault="005A261E" w:rsidP="005A261E">
      <w:pPr>
        <w:spacing w:before="480"/>
      </w:pPr>
      <w:r w:rsidRPr="00762161">
        <w:t xml:space="preserve">Choi, Hauser, &amp; Kopecky </w:t>
      </w:r>
      <w:r>
        <w:t>(1999) find that there are few</w:t>
      </w:r>
      <w:r w:rsidRPr="00762161">
        <w:t xml:space="preserve"> instances in which the information available in stock market prices can be shown to provide significant additional insight into the future movements of industrial production. The authors explain that this finding can be almost entirely attributed to industrial production growth being relatively easier to forecast on the basis of its own past so that stock market information is redundant; stock market expectations are too uninformed or too volatile to be of systematic assistance in forecasting future industrial production growth, or the variance of innovations in other determinants of stock prices is so high that it overwhelms the information value of real stock returns for the industrial production growth. </w:t>
      </w:r>
    </w:p>
    <w:p w:rsidR="005A261E" w:rsidRPr="00762161" w:rsidRDefault="005A261E" w:rsidP="005A261E">
      <w:pPr>
        <w:spacing w:before="480"/>
      </w:pPr>
      <w:r w:rsidRPr="00762161">
        <w:t xml:space="preserve">Choi, Hauser, &amp; Kopecky (1999) find no confirming evidence of a significant predictive effect of stock prices on monthly forecasts of industrial production in Canada, France, Germany and Italy. The U.K. and Japan provide strong evidence in favour of enhanced sector predictability at the 5% level of significance. In both of these countries the selection of a 24 month stock return lag provides improved forecasts of industrial production growth relative to forecasts made </w:t>
      </w:r>
      <w:r w:rsidRPr="00762161">
        <w:lastRenderedPageBreak/>
        <w:t>without using stock return data. The authors find that lagged U.S. stock returns communicate relatively valuable information about the monthly movements of U.S. industrial production at the 10% level of significance. However</w:t>
      </w:r>
      <w:r w:rsidR="00D879C4">
        <w:t>,</w:t>
      </w:r>
      <w:r w:rsidRPr="00762161">
        <w:t xml:space="preserve"> this positive evidence occurs at 24 monthly lags of real stock returns rather than at the significant in sample lag length of 18 months. The authors state that industrial production evolves over time independently of stock returns and is determined by real sector influences such as technological change, labour force and demographic characteristic changes. These influences change gradually and thus industrial production growth will exhibit slow and backward looking behaviour. Since the value of the aggregate stock market is assumed to depend on the future evolution of industrial production, forward looking investors will have an incentive to try and anticipate innovations in the path of industrial production, which in turn will be incorporated into immediate changes in real stock returns. Assuming that these revised expectations are o</w:t>
      </w:r>
      <w:r w:rsidR="00D879C4">
        <w:t>n average correct, a forecaster</w:t>
      </w:r>
      <w:r w:rsidRPr="00762161">
        <w:t xml:space="preserve"> using data on real stock </w:t>
      </w:r>
      <w:r w:rsidR="00634027" w:rsidRPr="00762161">
        <w:t>returns</w:t>
      </w:r>
      <w:r w:rsidRPr="00762161">
        <w:t xml:space="preserve"> would thus be able to anticipate a component of future industrial production growth that could never be predicted from the past history of the path of industrial production.</w:t>
      </w:r>
    </w:p>
    <w:p w:rsidR="005A261E" w:rsidRDefault="005A261E" w:rsidP="005A261E">
      <w:pPr>
        <w:spacing w:before="480"/>
        <w:rPr>
          <w:szCs w:val="24"/>
        </w:rPr>
      </w:pPr>
      <w:r w:rsidRPr="00762161">
        <w:t xml:space="preserve">Despite all of this, Choi, Hauser, &amp; Kopecky’s (1999) results of their in sample tests show that the log levels of industrial production and </w:t>
      </w:r>
      <w:r w:rsidR="00627488">
        <w:t>Real Stock Price</w:t>
      </w:r>
      <w:r w:rsidRPr="00762161">
        <w:t xml:space="preserve">s are </w:t>
      </w:r>
      <w:r>
        <w:t>correlated</w:t>
      </w:r>
      <w:r w:rsidRPr="00762161">
        <w:t xml:space="preserve"> in all </w:t>
      </w:r>
      <w:r w:rsidR="00D879C4">
        <w:t>G7</w:t>
      </w:r>
      <w:r w:rsidRPr="00762161">
        <w:t xml:space="preserve"> countries. In addition, over a short horizon the error correction models indicate that the growth rate of industrial production is correlated with lagged real stock returns at some data frequency in six of the seven </w:t>
      </w:r>
      <w:r w:rsidR="00D879C4">
        <w:t>G7</w:t>
      </w:r>
      <w:r w:rsidRPr="00762161">
        <w:t xml:space="preserve"> countries with Italy being the exception. When the authors test their hypothesis of improved predictions for industrial production, out of sample only the monthly results in the U.K., Japan and in part the U.S. and the quarterly results of Canada, the U.S. and to a small degree Germany show support. The authors find that the stock market is not predictive in every of the </w:t>
      </w:r>
      <w:r w:rsidR="00D879C4">
        <w:t>G7</w:t>
      </w:r>
      <w:r w:rsidRPr="00762161">
        <w:t xml:space="preserve"> countries simply because the variable’s</w:t>
      </w:r>
      <w:r w:rsidR="00D879C4">
        <w:t xml:space="preserve"> growth (industrial production)</w:t>
      </w:r>
      <w:r w:rsidRPr="00762161">
        <w:t xml:space="preserve"> is sometimes so predictable that the stock market can make only a relatively minor contribution to understanding the future path or evolution. Yet the authors do find evidence in the U.S., Canada, Japan and the </w:t>
      </w:r>
      <w:r w:rsidRPr="00762161">
        <w:lastRenderedPageBreak/>
        <w:t xml:space="preserve">U.K. that domestic stock markets do incorporate information about future industrial production growth, </w:t>
      </w:r>
      <w:r w:rsidR="00D879C4">
        <w:t>i.e. it</w:t>
      </w:r>
      <w:r w:rsidRPr="00762161">
        <w:t xml:space="preserve"> does not show up in only historical data. Looking at Czech Republic, Russia, Poland, Hungary, Slovenia and Slovakia, </w:t>
      </w:r>
      <w:r w:rsidRPr="00762161">
        <w:rPr>
          <w:szCs w:val="24"/>
        </w:rPr>
        <w:t>Christoffersen &amp; Slok’s (2000) empirical results point show that asset returns are better linear signals of industrial production than the unemployment rate or the real wage rate. The authors, also, conclude that an increase in the stock prices is a clear indication that there will be an increase in the future growth of industrial production.</w:t>
      </w:r>
    </w:p>
    <w:p w:rsidR="009D61A9" w:rsidRDefault="009D61A9" w:rsidP="009D61A9">
      <w:pPr>
        <w:spacing w:before="480"/>
      </w:pPr>
      <w:r w:rsidRPr="00762161">
        <w:t xml:space="preserve">As Chen, Roll &amp; Ross (1986) have done in their own methodology; industrial production must be examined on yearly growth rates because the equity market is related to changes in industrial activity in the long run. Stock market prices involve the valuation of cash flows over long periods in the </w:t>
      </w:r>
      <w:r w:rsidR="00553DB8" w:rsidRPr="00762161">
        <w:t>future;</w:t>
      </w:r>
      <w:r w:rsidRPr="00762161">
        <w:t xml:space="preserve"> monthly stock returns may not be related to contemporaneous monthly changes in the rate of industrial production, although such changes might capture the information pertinent for pricing. This month’s change in stock prices will most probably reflect changes in industrial production anticipated many months into the future. Binswanger (2000) also finds that there is evidence for an asymmetry in the predictability of industrial production growth rates by stock returns. According to Estrella &amp; Mishki</w:t>
      </w:r>
      <w:r w:rsidR="00775515">
        <w:t xml:space="preserve">n (1998) </w:t>
      </w:r>
      <w:r w:rsidRPr="00762161">
        <w:t>negative stock returns are followed by sharp decreases in industrial production growth rates, while only slight increases in real activity follow positive stock returns. Consequently, stock returns should be especially powerful in predicting recessions particularly one to three quarters ahead.</w:t>
      </w:r>
    </w:p>
    <w:p w:rsidR="005A261E" w:rsidRPr="00762161" w:rsidRDefault="005A261E" w:rsidP="005A261E">
      <w:pPr>
        <w:spacing w:before="480"/>
      </w:pPr>
      <w:r w:rsidRPr="00762161">
        <w:t>Fama (1981) and Kaul (1987)</w:t>
      </w:r>
      <w:r>
        <w:t xml:space="preserve"> also</w:t>
      </w:r>
      <w:r w:rsidRPr="00762161">
        <w:t xml:space="preserve"> find that real activity explains more variation in returns of longer return horizons. Future production growth rates explain 6% of the variance of monthly returns on the</w:t>
      </w:r>
      <w:r>
        <w:t xml:space="preserve"> </w:t>
      </w:r>
      <w:r w:rsidR="00B035F8">
        <w:t>NYSE</w:t>
      </w:r>
      <w:r>
        <w:t xml:space="preserve"> </w:t>
      </w:r>
      <w:r w:rsidRPr="00762161">
        <w:t xml:space="preserve">value weighted </w:t>
      </w:r>
      <w:r w:rsidR="00D879C4">
        <w:t>portfolio. The proportion rises to a much larger</w:t>
      </w:r>
      <w:r w:rsidRPr="00762161">
        <w:t xml:space="preserve"> 43% for annual returns. Fama (1990: 1090) have developed a model to better explain the implications. The model says that, if information about the production of a given month evolves over many previous months, the production of a given month will affect stock returns of many previous </w:t>
      </w:r>
      <w:r w:rsidRPr="00762161">
        <w:lastRenderedPageBreak/>
        <w:t xml:space="preserve">months. A given monthly return then has information about many future production growth rates, but adjacent returns have additional information about the same production growth rates. The </w:t>
      </w:r>
      <w:r w:rsidRPr="00762161">
        <w:rPr>
          <w:i/>
        </w:rPr>
        <w:t>R</w:t>
      </w:r>
      <w:r w:rsidRPr="00762161">
        <w:t xml:space="preserve"> from regressions of monthly returns on future production growth rates will then understate the information about production in the sequence of returns. Consistent with the evidence, the model says that the proportion of the variation in returns due to information about production is captured better when longer horizon returns are regressed on future production growth rates.</w:t>
      </w:r>
    </w:p>
    <w:p w:rsidR="009D61A9" w:rsidRPr="00762161" w:rsidRDefault="009D61A9" w:rsidP="009D61A9">
      <w:pPr>
        <w:spacing w:before="480"/>
      </w:pPr>
      <w:r w:rsidRPr="00762161">
        <w:t xml:space="preserve">Similar to Mauro (2003) who finds that the correlation between stock prices and real output is stronger the longer the forecast horizon, Binswanger (2000) also notices that the degree of correlation between stock returns and future production growth rates </w:t>
      </w:r>
      <w:r w:rsidR="00D879C4">
        <w:t>increases</w:t>
      </w:r>
      <w:r w:rsidRPr="00762161">
        <w:t xml:space="preserve"> with the length of time period for which they were calculated. Variations of annual returns were explained well by future production growth rates while they only explained a fraction of monthly returns. Fama (1990) explains that information about a certain production period is spread over many previous periods. Therefore, short horizon returns only explain a fraction of future production growth rates but this fraction gets larger, the longer the time horizon of returns. The argument simply lies in the fact that not all information regarding future production becomes publically known over a short time period. Information is usually dispersed over longer time periods as production activities usually take place. Estrella &amp; Mishkin (1998) saw that the only variables that truly and consistently enhanced the out of sample power of the yield curve, with regard to term spread, beyond one quarter are stock prices. With horizons of one, two, three and five quarters, the results are improved. Ibrahim (2010) also found that as the forecasting horizon moves from one quarter to four quarters ahead, there is incremental explanatory power of stock returns in the authors’ output forecasting equations.</w:t>
      </w:r>
    </w:p>
    <w:p w:rsidR="009D61A9" w:rsidRPr="00762161" w:rsidRDefault="009D61A9" w:rsidP="009D61A9">
      <w:pPr>
        <w:spacing w:before="480"/>
      </w:pPr>
    </w:p>
    <w:p w:rsidR="009D61A9" w:rsidRPr="00762161" w:rsidRDefault="009D61A9" w:rsidP="009D61A9">
      <w:pPr>
        <w:pStyle w:val="Heading2"/>
        <w:numPr>
          <w:ilvl w:val="1"/>
          <w:numId w:val="8"/>
        </w:numPr>
        <w:spacing w:before="480"/>
      </w:pPr>
      <w:bookmarkStart w:id="233" w:name="_Toc282531622"/>
      <w:bookmarkStart w:id="234" w:name="_Toc286616311"/>
      <w:r w:rsidRPr="00762161">
        <w:lastRenderedPageBreak/>
        <w:t>GDP/GNP</w:t>
      </w:r>
      <w:bookmarkEnd w:id="233"/>
      <w:bookmarkEnd w:id="234"/>
    </w:p>
    <w:p w:rsidR="009D61A9" w:rsidRDefault="005A4EDE" w:rsidP="009D61A9">
      <w:pPr>
        <w:spacing w:before="480"/>
      </w:pPr>
      <w:r>
        <w:rPr>
          <w:szCs w:val="24"/>
        </w:rPr>
        <w:t>From an empirical context</w:t>
      </w:r>
      <w:r w:rsidR="009D61A9" w:rsidRPr="00762161">
        <w:rPr>
          <w:szCs w:val="24"/>
        </w:rPr>
        <w:t xml:space="preserve"> Hassapis &amp; Kalyvitis (2002)</w:t>
      </w:r>
      <w:r>
        <w:rPr>
          <w:szCs w:val="24"/>
        </w:rPr>
        <w:t xml:space="preserve"> explains that</w:t>
      </w:r>
      <w:r w:rsidR="009D61A9" w:rsidRPr="00762161">
        <w:rPr>
          <w:szCs w:val="24"/>
        </w:rPr>
        <w:t xml:space="preserve"> </w:t>
      </w:r>
      <w:r>
        <w:rPr>
          <w:szCs w:val="24"/>
        </w:rPr>
        <w:t>Goldsmith in 1969</w:t>
      </w:r>
      <w:r w:rsidRPr="00762161">
        <w:rPr>
          <w:szCs w:val="24"/>
        </w:rPr>
        <w:t xml:space="preserve"> </w:t>
      </w:r>
      <w:r w:rsidR="009D61A9" w:rsidRPr="00762161">
        <w:rPr>
          <w:szCs w:val="24"/>
        </w:rPr>
        <w:t xml:space="preserve">was the first author who assessed the positive relationship between stock returns and economic growth. The author used the GDP percentage of financial intermediary assets and established a positive correlation with growth in 35 countries. </w:t>
      </w:r>
      <w:r w:rsidR="00627488">
        <w:rPr>
          <w:szCs w:val="24"/>
        </w:rPr>
        <w:t>Bosworth, Hymans &amp; Modigliani (1975)</w:t>
      </w:r>
      <w:r w:rsidR="009D61A9" w:rsidRPr="00762161">
        <w:rPr>
          <w:szCs w:val="24"/>
        </w:rPr>
        <w:t>, observed similar cyclical patterns in the stock market and real economic activity with changes in nominal stock return preceding production changes</w:t>
      </w:r>
      <w:r w:rsidR="00F87F0D">
        <w:rPr>
          <w:szCs w:val="24"/>
        </w:rPr>
        <w:t>. Doan, Litterman &amp; Sims (1983)</w:t>
      </w:r>
      <w:r w:rsidR="009D61A9" w:rsidRPr="00762161">
        <w:rPr>
          <w:szCs w:val="24"/>
        </w:rPr>
        <w:t xml:space="preserve"> </w:t>
      </w:r>
      <w:r w:rsidR="009D61A9" w:rsidRPr="00762161">
        <w:t xml:space="preserve">used an autoregressive model and found that after one year stock returns and changes in business inventories are the leading indicators whose innovations account for movements in GNP. Over the longer four year horizon, innovations in stock prices are the single most important factor accounting for the variance in GNP. Chaudhuri &amp; Smiles (2004) also found that the growth rates in </w:t>
      </w:r>
      <w:r w:rsidR="00627488">
        <w:t>Real GDP</w:t>
      </w:r>
      <w:r w:rsidR="009D61A9" w:rsidRPr="00762161">
        <w:t xml:space="preserve"> influence the </w:t>
      </w:r>
      <w:r w:rsidR="00627488">
        <w:t>Real Stock Price</w:t>
      </w:r>
      <w:r w:rsidR="009D61A9" w:rsidRPr="00762161">
        <w:t xml:space="preserve"> variation as illustrated by the fourth, fifth, sixth and seventh lags of </w:t>
      </w:r>
      <w:r w:rsidR="00627488">
        <w:t>Real GDP</w:t>
      </w:r>
      <w:r w:rsidR="009D61A9" w:rsidRPr="00762161">
        <w:t xml:space="preserve"> growth rates being significant. Estrella &amp; Mishkin (1998) compared the out of sample performance of several financial and macroeconomic indicators as predictors of the numerous U.S. recessions, the authors noted that the useful role of both stock prices and spreads in macroeconomic prediction. The stock prices tended to perform well over one to three quarter forecasting horizons and even managed to beat term spreads as a predictor of the U.S. recessions for one quarter </w:t>
      </w:r>
      <w:r w:rsidR="00BC5D45">
        <w:t>lead</w:t>
      </w:r>
      <w:r w:rsidR="009D61A9" w:rsidRPr="00762161">
        <w:t xml:space="preserve"> forecasts. However, as Aylward &amp; Glen (2000) note, the </w:t>
      </w:r>
      <w:r w:rsidR="00553DB8" w:rsidRPr="00762161">
        <w:t>results for the developed markets seem</w:t>
      </w:r>
      <w:r w:rsidR="009D61A9" w:rsidRPr="00762161">
        <w:t xml:space="preserve"> to be more encouraging than the emerging markets.</w:t>
      </w:r>
    </w:p>
    <w:p w:rsidR="002C373A" w:rsidRPr="00762161" w:rsidRDefault="002C373A" w:rsidP="002C373A">
      <w:pPr>
        <w:spacing w:before="480"/>
        <w:rPr>
          <w:rFonts w:eastAsia="SimSun"/>
        </w:rPr>
      </w:pPr>
      <w:r w:rsidRPr="00762161">
        <w:rPr>
          <w:szCs w:val="24"/>
        </w:rPr>
        <w:t xml:space="preserve">Christoffersen &amp; Slok (2000) state that the effect from asset prices to real economic activity in developed economies may come through a number of channels. There are however several, pertinent differences between asset markets in developed and developing countries, which could affect the relationship between the asset prices and economic activity. Firstly, developing countries usually have a relatively smaller GDP. Secondly, stock markets in developing </w:t>
      </w:r>
      <w:r w:rsidRPr="00762161">
        <w:rPr>
          <w:szCs w:val="24"/>
        </w:rPr>
        <w:lastRenderedPageBreak/>
        <w:t>countries are usually dominated by formerly state owned companies, making true valuation difficult. Thirdly, developing countries are sometimes in the process of restructuring their economies, and hence, new information about major future reforms can have a significant impact on the discounted value of firms in developing economies. Fourthly, the ownership structure is fundamentally different, and in some cases privatisation may lead to a wide dispersion of ownership. Fifthly, asset prices in developing countries may be one of the few true indicators that investors have in assessing the state of the economy, making the asset market a crucial signalling tool. Lastly, the degree of foreign ownership has increased substantially in developing countries. These differences make it even more difficult to identify the exact nature of the transmission. It is, however, useful to know if asset prices overall yield information about future movements in real economic variables in developing economies.</w:t>
      </w:r>
    </w:p>
    <w:p w:rsidR="003C4133" w:rsidRDefault="003C4133" w:rsidP="003C4133">
      <w:pPr>
        <w:spacing w:before="480"/>
      </w:pPr>
      <w:r w:rsidRPr="00762161">
        <w:t>F</w:t>
      </w:r>
      <w:r>
        <w:t>ischer &amp; Merton (1984) regress</w:t>
      </w:r>
      <w:r w:rsidRPr="00762161">
        <w:t xml:space="preserve"> stock ma</w:t>
      </w:r>
      <w:r w:rsidR="00627488">
        <w:t>rket growth on GNP, and confirm</w:t>
      </w:r>
      <w:r w:rsidRPr="00762161">
        <w:t xml:space="preserve"> that the stock market contributes substantially to the prediction of the growth rate of real GNP. The stock market variable is subsequently found to be the most powerful single forecaster of the growth rate of real GNP. The author finds that the stock market</w:t>
      </w:r>
      <w:r w:rsidR="00627488">
        <w:t>’</w:t>
      </w:r>
      <w:r w:rsidRPr="00762161">
        <w:t xml:space="preserve">s forecasting ability can be traced to the fact that stock prices lead the GNP components, investment and consumption. Stock prices and the inflation rate provide strong predictive power for investment although the long term real interest rate also has a significant coefficient. </w:t>
      </w:r>
    </w:p>
    <w:p w:rsidR="00AF0F4E" w:rsidRPr="00762161" w:rsidRDefault="00AF0F4E" w:rsidP="00AF0F4E">
      <w:pPr>
        <w:spacing w:before="480"/>
        <w:rPr>
          <w:szCs w:val="24"/>
        </w:rPr>
      </w:pPr>
      <w:r w:rsidRPr="00762161">
        <w:rPr>
          <w:szCs w:val="24"/>
        </w:rPr>
        <w:t xml:space="preserve">Kuttner (2009) looked at the four quarter growth rates of equity prices and output for the five Asian economics as well as the U.S. The author found a noticeably strong and robust co-movement between the stock price and output fluctuations in Korea, Malaysia and Thailand (correlations of log differences of 0.4, 0.12 and 0.55 respectively). The high degree of correlation in these countries contrasts with the much weaker relationship observed for Indonesia and the Philippines, where the correlation coefficients are only 0.19 and -0.07. In the U.S. the </w:t>
      </w:r>
      <w:r w:rsidRPr="00762161">
        <w:rPr>
          <w:szCs w:val="24"/>
        </w:rPr>
        <w:lastRenderedPageBreak/>
        <w:t xml:space="preserve">link between output and stock prices appears quite strong during certain periods. However, a high degree of correlation is not sufficient to make the stock price an informative leading indicator. The crucial element is that stock price movements precede output fluctuations. In Korea and Malaysia, there does appear to be some instances in which the stock price leads output by a few months, however, comparable episodes are not evident in the Thailand data. </w:t>
      </w:r>
    </w:p>
    <w:p w:rsidR="00AF0F4E" w:rsidRPr="00762161" w:rsidRDefault="00AF0F4E" w:rsidP="00AF0F4E">
      <w:pPr>
        <w:spacing w:before="480"/>
        <w:rPr>
          <w:szCs w:val="24"/>
        </w:rPr>
      </w:pPr>
      <w:r w:rsidRPr="00762161">
        <w:rPr>
          <w:szCs w:val="24"/>
        </w:rPr>
        <w:t>Park (1997) looks at the S&amp;P 500 Index stocks over the ample period 1956-1995, and finds that when GDP is regressed on stock prices, GDP has positive coefficients, with high statistical and economic significance. The author finds that stock return</w:t>
      </w:r>
      <w:r>
        <w:rPr>
          <w:szCs w:val="24"/>
        </w:rPr>
        <w:t>s</w:t>
      </w:r>
      <w:r w:rsidRPr="00762161">
        <w:rPr>
          <w:szCs w:val="24"/>
        </w:rPr>
        <w:t xml:space="preserve"> increase by 3.38</w:t>
      </w:r>
      <w:r>
        <w:rPr>
          <w:szCs w:val="24"/>
        </w:rPr>
        <w:t xml:space="preserve">% </w:t>
      </w:r>
      <w:r w:rsidRPr="00762161">
        <w:rPr>
          <w:szCs w:val="24"/>
        </w:rPr>
        <w:t xml:space="preserve">when GDP increases by 1 percent. </w:t>
      </w:r>
    </w:p>
    <w:p w:rsidR="00AF0F4E" w:rsidRPr="00762161" w:rsidRDefault="00AF0F4E" w:rsidP="00AF0F4E">
      <w:pPr>
        <w:spacing w:before="480"/>
        <w:rPr>
          <w:szCs w:val="24"/>
        </w:rPr>
      </w:pPr>
      <w:r w:rsidRPr="00762161">
        <w:rPr>
          <w:szCs w:val="24"/>
        </w:rPr>
        <w:t xml:space="preserve">Mauro (2003) </w:t>
      </w:r>
      <w:r>
        <w:rPr>
          <w:szCs w:val="24"/>
        </w:rPr>
        <w:t>conducts</w:t>
      </w:r>
      <w:r w:rsidRPr="00762161">
        <w:rPr>
          <w:szCs w:val="24"/>
        </w:rPr>
        <w:t xml:space="preserve"> a panel estimation showing that lagged stock returns remain significantly associated with output growth in both advanced and emerging countries when controlling for lagged values of other leading indicators, including real short term interest rates, and the real growth rate of both narrow and broad money.</w:t>
      </w:r>
    </w:p>
    <w:p w:rsidR="00AF0F4E" w:rsidRPr="00762161" w:rsidRDefault="00AF0F4E" w:rsidP="00AF0F4E">
      <w:pPr>
        <w:spacing w:before="480"/>
      </w:pPr>
      <w:r w:rsidRPr="00762161">
        <w:t xml:space="preserve">Fama (1981: 563) finds evidence that </w:t>
      </w:r>
      <w:r w:rsidR="00627488">
        <w:t>Real Stock Price</w:t>
      </w:r>
      <w:r w:rsidRPr="00762161">
        <w:t>s are positively related to measures of real activity like capital expenditures, the average real rate of return on capital and output. The author hypothesizes that this reflects variation in the quantity of capital investment with expected rates of return in excess of costs of capital.</w:t>
      </w:r>
    </w:p>
    <w:p w:rsidR="00AF0F4E" w:rsidRPr="00762161" w:rsidRDefault="00AF0F4E" w:rsidP="00AF0F4E">
      <w:pPr>
        <w:spacing w:before="480"/>
        <w:rPr>
          <w:szCs w:val="24"/>
        </w:rPr>
      </w:pPr>
      <w:r w:rsidRPr="00762161">
        <w:rPr>
          <w:szCs w:val="24"/>
        </w:rPr>
        <w:t>Mauro (2003) finds the univariate correlation between real economic growth and real stock returns positive in all the countries in their sample except for India and significantly positive in 5 out of 8 emerging markets and 10 out of 17 advanced countries. The author finds that an increase in real stock returns by 10</w:t>
      </w:r>
      <w:r>
        <w:rPr>
          <w:szCs w:val="24"/>
        </w:rPr>
        <w:t xml:space="preserve">% </w:t>
      </w:r>
      <w:r w:rsidRPr="00762161">
        <w:rPr>
          <w:szCs w:val="24"/>
        </w:rPr>
        <w:t xml:space="preserve">is typically associated with higher real economic growth of 0.35 percent. The average slope coefficient is slightly higher in emerging countries than advanced </w:t>
      </w:r>
      <w:r w:rsidRPr="00762161">
        <w:rPr>
          <w:szCs w:val="24"/>
        </w:rPr>
        <w:lastRenderedPageBreak/>
        <w:t>countries, though this result is reversed when the regression includes lagged growth, as an additional independent variable. Controlling for lagged economic growth, real economic growth and real stock returns are positively and significantly associated in 4 out of 8 emerging market countries and 10 out of 17 advanced countries.</w:t>
      </w:r>
    </w:p>
    <w:p w:rsidR="007C6074" w:rsidRDefault="0031204B" w:rsidP="009D61A9">
      <w:pPr>
        <w:spacing w:before="480"/>
        <w:rPr>
          <w:szCs w:val="24"/>
        </w:rPr>
      </w:pPr>
      <w:r w:rsidRPr="00762161">
        <w:t>Morck, Shleifer</w:t>
      </w:r>
      <w:r>
        <w:t>,</w:t>
      </w:r>
      <w:r w:rsidRPr="00762161">
        <w:t xml:space="preserve"> Vishny</w:t>
      </w:r>
      <w:r>
        <w:t>, Shapiro and Poterba</w:t>
      </w:r>
      <w:r w:rsidRPr="00762161">
        <w:t xml:space="preserve"> (1990)</w:t>
      </w:r>
      <w:r w:rsidR="009D61A9" w:rsidRPr="00762161">
        <w:t>, argue that the stock market is largely a sideshow which merely reflects changes in expected output growth</w:t>
      </w:r>
      <w:r w:rsidR="007C6074">
        <w:t xml:space="preserve"> as opposed to changes in the underlying fundamentals.</w:t>
      </w:r>
      <w:r w:rsidR="009D61A9" w:rsidRPr="00762161">
        <w:t xml:space="preserve"> Blanchard, Rhee &amp; Summers (1993) support this statement by showing that stock price movements independent of fundamental have only a small impact on economic activity.</w:t>
      </w:r>
      <w:r w:rsidR="009D61A9" w:rsidRPr="00762161">
        <w:rPr>
          <w:szCs w:val="24"/>
        </w:rPr>
        <w:t xml:space="preserve"> </w:t>
      </w:r>
    </w:p>
    <w:p w:rsidR="009D61A9" w:rsidRPr="00762161" w:rsidRDefault="007C6074" w:rsidP="009D61A9">
      <w:pPr>
        <w:spacing w:before="480"/>
      </w:pPr>
      <w:r w:rsidRPr="00762161">
        <w:t xml:space="preserve">Morck, </w:t>
      </w:r>
      <w:r w:rsidR="00AC57EA">
        <w:t>et al.</w:t>
      </w:r>
      <w:r w:rsidR="00AC57EA" w:rsidRPr="00762161">
        <w:t xml:space="preserve"> (1990)</w:t>
      </w:r>
      <w:r w:rsidR="00AC57EA">
        <w:t xml:space="preserve"> describes</w:t>
      </w:r>
      <w:r w:rsidR="0031204B">
        <w:t>,</w:t>
      </w:r>
      <w:r w:rsidR="009D61A9" w:rsidRPr="00762161">
        <w:t xml:space="preserve"> through the use of a survey, the core theories in this section and briefly summarises the empirical literature that tests them. The theories may be grouped into those according to which stock price movements not reflecting changes in future fundamentals cannot predict changes in output (the passive informant hypothesis, and </w:t>
      </w:r>
      <w:r w:rsidR="0031204B">
        <w:t>the</w:t>
      </w:r>
      <w:r w:rsidR="009D61A9" w:rsidRPr="00762161">
        <w:t xml:space="preserve"> accurate active informant hypothesis), and those according to which they can (the faulty active informant, the financing hypothesis, and the stock market pressure on managers hypothesis). </w:t>
      </w:r>
    </w:p>
    <w:p w:rsidR="009D61A9" w:rsidRPr="00762161" w:rsidRDefault="007C6074" w:rsidP="009D61A9">
      <w:pPr>
        <w:spacing w:before="480"/>
      </w:pPr>
      <w:r>
        <w:t>Morck,</w:t>
      </w:r>
      <w:r w:rsidRPr="00762161">
        <w:t xml:space="preserve"> </w:t>
      </w:r>
      <w:r>
        <w:t>et al.</w:t>
      </w:r>
      <w:r w:rsidRPr="00762161">
        <w:t xml:space="preserve"> (1990)</w:t>
      </w:r>
      <w:r>
        <w:t xml:space="preserve"> </w:t>
      </w:r>
      <w:r w:rsidR="009D61A9" w:rsidRPr="00762161">
        <w:t>explains that according to the passive informant hypothesis, the assumption that the stock price is a reflection of the present discounted value of all future dividends and that dividend growth is representative of GDP growth, naturally gives rise to a correlation existing between this year’s stock returns and next year’s economic growth. All alternative theories reviewed below accept that the above mechanism plays a role, but leave room for additional mechanisms. Under the accurate active informant, stock price changes should provide managers with the information about the market’s expectation with regard to future economic developments. This hypothesis becomes somewhat of a self</w:t>
      </w:r>
      <w:r w:rsidR="00627488">
        <w:t xml:space="preserve"> fulfilling prophecy as </w:t>
      </w:r>
      <w:r w:rsidR="00634027">
        <w:t>manager</w:t>
      </w:r>
      <w:r w:rsidR="00634027" w:rsidRPr="00762161">
        <w:t>’s</w:t>
      </w:r>
      <w:r w:rsidR="009D61A9" w:rsidRPr="00762161">
        <w:t xml:space="preserve"> </w:t>
      </w:r>
      <w:r w:rsidR="009D61A9" w:rsidRPr="00762161">
        <w:lastRenderedPageBreak/>
        <w:t xml:space="preserve">base their decisions upon the described information, thus justifying the markets expectation. Under this hypothesis the stock price changes can become perfectly correlated with fundamentals. In the faulty active informant hypothesis, managers’ decisions about investment levels are influenced by the prevailing activity in the stock market. Crucially, managers do not possess the ability to distinguish between stock price changes resulting from changing fundamentals </w:t>
      </w:r>
      <w:r w:rsidR="00627488">
        <w:t>and</w:t>
      </w:r>
      <w:r w:rsidR="009D61A9" w:rsidRPr="00762161">
        <w:t xml:space="preserve"> market sentiment. Stock market movements that are not motivated by fundamentals can thus mislead managers into possible over investing compared with what later turns out to be warranted by fundamentals. The financing hypothesis, which is based upon Tobin’s (1969) </w:t>
      </w:r>
      <w:r w:rsidR="009D61A9" w:rsidRPr="00762161">
        <w:rPr>
          <w:i/>
        </w:rPr>
        <w:t>q</w:t>
      </w:r>
      <w:r w:rsidR="009D61A9" w:rsidRPr="00762161">
        <w:t xml:space="preserve"> theory of investment, argues that when stock prices are high compared to the replacement cost of capital, entrepreneurs will be more likely to expand their activities by investing in new physical capital rather than purchasing existing firms on the stock market. Lastly</w:t>
      </w:r>
      <w:r w:rsidR="00627488">
        <w:t>,</w:t>
      </w:r>
      <w:r w:rsidR="009D61A9" w:rsidRPr="00762161">
        <w:t xml:space="preserve"> the stock market pressure on manager</w:t>
      </w:r>
      <w:r w:rsidR="00627488">
        <w:t>’</w:t>
      </w:r>
      <w:r w:rsidR="009D61A9" w:rsidRPr="00762161">
        <w:t>s hypothesis states that the stock price changes can affect investment even if they neither convey information nor change the financing costs</w:t>
      </w:r>
      <w:r w:rsidR="00627488">
        <w:t>.</w:t>
      </w:r>
      <w:r w:rsidR="009D61A9" w:rsidRPr="00762161">
        <w:t xml:space="preserve"> If managers hold negative views in a firm’s prospects and drive down its stock price, managers may have to cut their investment projects to protect themselves from the possibility of being fired or the company being taken over.</w:t>
      </w:r>
    </w:p>
    <w:p w:rsidR="009D61A9" w:rsidRPr="00762161" w:rsidRDefault="009D61A9" w:rsidP="009D61A9">
      <w:pPr>
        <w:spacing w:before="480"/>
      </w:pPr>
      <w:r w:rsidRPr="00762161">
        <w:t xml:space="preserve">Mauro (2003) elaborates further by incorporating country characteristics that might be related to a strong growth returns link. Under the passive informant hypothesis, most country characteristics are unlikely to predict the strength of the association between stock returns and output growth, because good news </w:t>
      </w:r>
      <w:r w:rsidR="00AC57EA">
        <w:t>regarding</w:t>
      </w:r>
      <w:r w:rsidRPr="00762161">
        <w:t xml:space="preserve"> output leads to a capital gain on the stock regardless of the country characteristics. Similarly, under the active informant hypothesis, market capitalisation may matter, because a larger stock market implies that stock price changes will provide information that managers will undoubtedly consider more relevant. Under the financing hypothesis, countries with well developed financial markets as proxied by higher than, global average, market capitalisation and a larger number of listed domestic companies and </w:t>
      </w:r>
      <w:r w:rsidRPr="00762161">
        <w:lastRenderedPageBreak/>
        <w:t>initial public offerings should be expected to display a stronger link between stock returns and growth. Under the stock market pressure on manager’s hypothesis, the countries in which managers are less protected from shareholders should display a stronger growth returns association. Of all the explained hypotheses, stock market turnover, which would proxy for liquidity, seems to be a potential determinant of the strength of</w:t>
      </w:r>
      <w:r w:rsidR="00627488">
        <w:t xml:space="preserve"> the growth returns association</w:t>
      </w:r>
      <w:r w:rsidRPr="00762161">
        <w:t xml:space="preserve"> whereas, controlling for the other financial development indicators, the degree if economic development or the distinction between emerging and advanced countries would not be of importance.</w:t>
      </w:r>
      <w:r w:rsidR="00AC57EA">
        <w:t xml:space="preserve"> All in all, a relationship is shared between stock price changes and the GDP level or output growth.</w:t>
      </w:r>
    </w:p>
    <w:p w:rsidR="009D61A9" w:rsidRPr="00762161" w:rsidRDefault="009D61A9" w:rsidP="009D61A9">
      <w:pPr>
        <w:spacing w:before="480"/>
      </w:pPr>
      <w:r w:rsidRPr="00762161">
        <w:t xml:space="preserve">Mauro (2003) conducts panel tests that use market capitalisation as interaction terms </w:t>
      </w:r>
      <w:r w:rsidR="00CC5C88">
        <w:t>and finds</w:t>
      </w:r>
      <w:r w:rsidRPr="00762161">
        <w:t xml:space="preserve"> that the magnitude of a country’s slope coefficient in the stock returns to real output growth regressions would approximately double if a country were to double its market capitalisation to GDP ratio. The author concludes that the estimated coefficient on the interaction term with market capitalisation is more robust to possible changes in specification.</w:t>
      </w:r>
    </w:p>
    <w:p w:rsidR="009D61A9" w:rsidRPr="00762161" w:rsidRDefault="009D61A9" w:rsidP="009D61A9">
      <w:pPr>
        <w:spacing w:before="480"/>
        <w:rPr>
          <w:rFonts w:eastAsia="SimSun"/>
        </w:rPr>
      </w:pPr>
      <w:r w:rsidRPr="00762161">
        <w:t xml:space="preserve">Mauro (2003) </w:t>
      </w:r>
      <w:r w:rsidR="003C4133">
        <w:t xml:space="preserve">also </w:t>
      </w:r>
      <w:r w:rsidR="00CC5C88">
        <w:t>shows</w:t>
      </w:r>
      <w:r w:rsidRPr="00762161">
        <w:t xml:space="preserve"> that stock price developments can have a major impact on consumption as well, through the impact on wealth. One can expect this mechanism to be higher in countries where stocks constitute a large proportion of the consumer’s portfolio. Aylward &amp; Glen (2000) use an OLS estimation to find that on average their model, with lagged stock price changes, explains 15% of the variation in GDP. The model was somewhat better for the G7 countries with 21%, than for the emerging market. The authors found that lagged stock prices are significant predictors of consumption for 7 of the 23 countries in the sample, and in all of these cases the estimated coefficient had the expected positive sign. On average the</w:t>
      </w:r>
      <w:r w:rsidR="006F1E00" w:rsidRPr="00762161">
        <w:rPr>
          <w:rFonts w:eastAsia="SimSun"/>
        </w:rPr>
        <w:fldChar w:fldCharType="begin"/>
      </w:r>
      <w:r w:rsidRPr="00762161">
        <w:rPr>
          <w:rFonts w:eastAsia="SimSun"/>
        </w:rPr>
        <w:instrText xml:space="preserve"> QUOTE </w:instrText>
      </w:r>
      <w:r w:rsidRPr="00762161">
        <w:rPr>
          <w:noProof/>
          <w:lang w:val="en-ZA" w:eastAsia="en-ZA"/>
        </w:rPr>
        <w:drawing>
          <wp:inline distT="0" distB="0" distL="0" distR="0">
            <wp:extent cx="192405" cy="152400"/>
            <wp:effectExtent l="1905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cstate="print">
                      <a:clrChange>
                        <a:clrFrom>
                          <a:srgbClr val="FFFFFF"/>
                        </a:clrFrom>
                        <a:clrTo>
                          <a:srgbClr val="FFFFFF">
                            <a:alpha val="0"/>
                          </a:srgbClr>
                        </a:clrTo>
                      </a:clrChange>
                    </a:blip>
                    <a:srcRect/>
                    <a:stretch>
                      <a:fillRect/>
                    </a:stretch>
                  </pic:blipFill>
                  <pic:spPr bwMode="auto">
                    <a:xfrm>
                      <a:off x="0" y="0"/>
                      <a:ext cx="192405" cy="152400"/>
                    </a:xfrm>
                    <a:prstGeom prst="rect">
                      <a:avLst/>
                    </a:prstGeom>
                    <a:noFill/>
                    <a:ln w="9525">
                      <a:noFill/>
                      <a:miter lim="800000"/>
                      <a:headEnd/>
                      <a:tailEnd/>
                    </a:ln>
                  </pic:spPr>
                </pic:pic>
              </a:graphicData>
            </a:graphic>
          </wp:inline>
        </w:drawing>
      </w:r>
      <w:r w:rsidRPr="00762161">
        <w:rPr>
          <w:rFonts w:eastAsia="SimSun"/>
        </w:rPr>
        <w:instrText xml:space="preserve"> </w:instrText>
      </w:r>
      <w:r w:rsidR="006F1E00" w:rsidRPr="00762161">
        <w:rPr>
          <w:rFonts w:eastAsia="SimSun"/>
        </w:rPr>
        <w:fldChar w:fldCharType="end"/>
      </w:r>
      <w:r w:rsidR="00CC5C88">
        <w:rPr>
          <w:rFonts w:eastAsia="SimSun"/>
        </w:rPr>
        <w:t xml:space="preserve"> R</w:t>
      </w:r>
      <w:r w:rsidR="00CC5C88">
        <w:rPr>
          <w:rFonts w:eastAsia="SimSun"/>
          <w:vertAlign w:val="superscript"/>
        </w:rPr>
        <w:t>2</w:t>
      </w:r>
      <w:r w:rsidR="00CC5C88">
        <w:rPr>
          <w:rFonts w:eastAsia="SimSun"/>
        </w:rPr>
        <w:t xml:space="preserve"> </w:t>
      </w:r>
      <w:r w:rsidRPr="00762161">
        <w:rPr>
          <w:rFonts w:eastAsia="SimSun"/>
        </w:rPr>
        <w:t>for all countries, in the authors sample, increased by 64% (from 9 to 15) for GDP, 66% (from 8 to 14) for consumption,</w:t>
      </w:r>
      <w:r w:rsidR="00CC5C88">
        <w:rPr>
          <w:rFonts w:eastAsia="SimSun"/>
        </w:rPr>
        <w:t xml:space="preserve"> and by 51% (from 12 to 19) for</w:t>
      </w:r>
      <w:r w:rsidRPr="00762161">
        <w:rPr>
          <w:rFonts w:eastAsia="SimSun"/>
        </w:rPr>
        <w:t xml:space="preserve"> investment following the introduction of </w:t>
      </w:r>
      <w:r w:rsidRPr="00762161">
        <w:rPr>
          <w:rFonts w:eastAsia="SimSun"/>
        </w:rPr>
        <w:lastRenderedPageBreak/>
        <w:t>lagged stock prices into the forecasting model. The increase was substantially lower for the G7 countries in each case than for the emerging markets.</w:t>
      </w:r>
    </w:p>
    <w:p w:rsidR="009D61A9" w:rsidRPr="00762161" w:rsidRDefault="009D61A9" w:rsidP="009D61A9">
      <w:pPr>
        <w:spacing w:before="480"/>
      </w:pPr>
      <w:r w:rsidRPr="00762161">
        <w:t>Ferson &amp; Harvey (1991) explain that the asset pricing models of Merton (1973), Lucas (1978) and Breeden (1979</w:t>
      </w:r>
      <w:r w:rsidR="003C4133">
        <w:t>)</w:t>
      </w:r>
      <w:r w:rsidRPr="00762161">
        <w:t xml:space="preserve"> imply that priced variables must covary with the aggregate marginal utility of wealth. Marginal utility should vary inversely with changes in aggregate consumption when markets are complete and perfect and utility is time and state separable.</w:t>
      </w:r>
    </w:p>
    <w:p w:rsidR="003C4133" w:rsidRPr="00762161" w:rsidRDefault="003C4133" w:rsidP="003C4133">
      <w:pPr>
        <w:spacing w:before="480"/>
        <w:rPr>
          <w:szCs w:val="24"/>
        </w:rPr>
      </w:pPr>
      <w:r w:rsidRPr="00762161">
        <w:t>Binswanger (2000: 386)</w:t>
      </w:r>
      <w:r>
        <w:t xml:space="preserve">, </w:t>
      </w:r>
      <w:r w:rsidRPr="00762161">
        <w:t xml:space="preserve">states that a further </w:t>
      </w:r>
      <w:r w:rsidR="00AF0F4E">
        <w:t>point</w:t>
      </w:r>
      <w:r w:rsidRPr="00762161">
        <w:t xml:space="preserve"> </w:t>
      </w:r>
      <w:r w:rsidR="00AF0F4E">
        <w:t>which</w:t>
      </w:r>
      <w:r w:rsidRPr="00762161">
        <w:t xml:space="preserve"> may explain the breakdown of the relation between stock returns and subsequent real activity would be that globalisation</w:t>
      </w:r>
      <w:r>
        <w:t>,</w:t>
      </w:r>
      <w:r w:rsidRPr="00762161">
        <w:t xml:space="preserve"> </w:t>
      </w:r>
      <w:r>
        <w:t>provided</w:t>
      </w:r>
      <w:r w:rsidRPr="00762161">
        <w:t xml:space="preserve"> the financial markets cause expectations of future cash flows to be less related to domestic markets. Instead they would be more related to the expected development of the world markets where the big transnational companies, whose share prices dominate stock indices, sell most of their products. Also, positive expectations do not necessarily sti</w:t>
      </w:r>
      <w:r w:rsidR="00627488">
        <w:t>mulate domestic production</w:t>
      </w:r>
      <w:r w:rsidRPr="00762161">
        <w:t xml:space="preserve"> because goods and services are produced abroad. However, it is difficult to associate increasing globalization with the changes in the relation between real activity and stock returns. The author however</w:t>
      </w:r>
      <w:r w:rsidR="00627488">
        <w:t>,</w:t>
      </w:r>
      <w:r w:rsidRPr="00762161">
        <w:t xml:space="preserve"> finds that net foreign investments of</w:t>
      </w:r>
      <w:r>
        <w:t xml:space="preserve"> U.S. </w:t>
      </w:r>
      <w:r w:rsidRPr="00762161">
        <w:t>companies in relation to GDP show no increase during the ample period, which again points to the relation</w:t>
      </w:r>
      <w:r w:rsidR="00AF0F4E">
        <w:t>ship</w:t>
      </w:r>
      <w:r w:rsidRPr="00762161">
        <w:t xml:space="preserve"> between stock returns and real activity.</w:t>
      </w:r>
    </w:p>
    <w:p w:rsidR="003C4133" w:rsidRPr="00762161" w:rsidRDefault="003C4133" w:rsidP="003C4133">
      <w:pPr>
        <w:spacing w:before="480"/>
      </w:pPr>
      <w:r w:rsidRPr="00762161">
        <w:t xml:space="preserve">Fischer &amp; Merton (1984) found that in a regression analysis </w:t>
      </w:r>
      <w:r>
        <w:t>of</w:t>
      </w:r>
      <w:r w:rsidR="00627488">
        <w:t xml:space="preserve"> durable consumption</w:t>
      </w:r>
      <w:r w:rsidRPr="00762161">
        <w:t xml:space="preserve"> stock prices in isolation are a very good predictor, the author </w:t>
      </w:r>
      <w:r w:rsidR="00627488">
        <w:t xml:space="preserve">also </w:t>
      </w:r>
      <w:r w:rsidRPr="00762161">
        <w:t xml:space="preserve">found that the lagged change in the inflation rate </w:t>
      </w:r>
      <w:r>
        <w:t xml:space="preserve">level </w:t>
      </w:r>
      <w:r w:rsidRPr="00762161">
        <w:t xml:space="preserve">is the single most powerful predictor, with changes in stock prices second. The authors found that stock prices were the only variable that helped to predict the growth of real nondurable consumption expenditures. A </w:t>
      </w:r>
      <w:r>
        <w:t>20%</w:t>
      </w:r>
      <w:r w:rsidRPr="00762161">
        <w:t xml:space="preserve"> increase in the real value of the Standard and </w:t>
      </w:r>
      <w:r w:rsidRPr="00762161">
        <w:lastRenderedPageBreak/>
        <w:t>Poor’s 500 index was found to imply that the annual growth of consumption should be expected to rise by a relative amount of about one percent.</w:t>
      </w:r>
    </w:p>
    <w:p w:rsidR="009D61A9" w:rsidRPr="00762161" w:rsidRDefault="009D61A9" w:rsidP="009D61A9">
      <w:pPr>
        <w:spacing w:before="480"/>
        <w:rPr>
          <w:szCs w:val="24"/>
        </w:rPr>
      </w:pPr>
      <w:r w:rsidRPr="00762161">
        <w:rPr>
          <w:szCs w:val="24"/>
        </w:rPr>
        <w:t>Aside from their visibility and availability, there are several scenarios in which equity prices might contain information that would be useful (in the context of a simple macroeconomic model) in forecasting real output. Firstly, an increase in productivity would tend to increase the stock price and output. Secondly, policy-induced interest rate reductions will, at least over some ho</w:t>
      </w:r>
      <w:r w:rsidR="00627488">
        <w:rPr>
          <w:szCs w:val="24"/>
        </w:rPr>
        <w:t>rizon, tend to increase profits</w:t>
      </w:r>
      <w:r w:rsidRPr="00762161">
        <w:rPr>
          <w:szCs w:val="24"/>
        </w:rPr>
        <w:t xml:space="preserve"> while reducing the discount rate applied to those earnings; both effects will raise equity values, while the rate of reduction itself will lead to an expansion in output. Thirdly, equity prices should also contain information about other, non-monetary demand shocks, such as fiscal policy. This would be the result because the effect of the interest rate on equity values would work in the opposite direction from the profit effect (Kuttner, 2009).</w:t>
      </w:r>
    </w:p>
    <w:p w:rsidR="009D61A9" w:rsidRPr="00762161" w:rsidRDefault="009D61A9" w:rsidP="009D61A9">
      <w:pPr>
        <w:spacing w:before="480"/>
      </w:pPr>
      <w:r w:rsidRPr="00762161">
        <w:t xml:space="preserve">Stock &amp; Watson (2003b) state that upon closer scrutiny, the link between stock prices and real output is a murky one. The authors find that stock prices do not have substantial in sample predictive content for future output, even in bivariate regressions with no lagged dependant variables, and any predictive content is reduced by including lagged output growth. This small marginal predictive content is found in both linear regressions predicting output growth and in probit regressions of binary recession events. Chaudhuri &amp; Smiles (2004) found that following a </w:t>
      </w:r>
      <w:r w:rsidR="00627488">
        <w:t>Real GDP</w:t>
      </w:r>
      <w:r w:rsidRPr="00762161">
        <w:t xml:space="preserve"> shock, </w:t>
      </w:r>
      <w:r w:rsidR="00627488">
        <w:t>Real Stock Price</w:t>
      </w:r>
      <w:r w:rsidRPr="00762161">
        <w:t>s initially decline. Campbell, Lettau, Malkiel &amp; Xu</w:t>
      </w:r>
      <w:r w:rsidR="003B2D25">
        <w:t xml:space="preserve"> (2001) </w:t>
      </w:r>
      <w:r w:rsidRPr="00762161">
        <w:t>proposed that the variance of the stock returns as opposed to the actual stock returns themselves could have predictive power for output growth. Using in sample statistics, the authors found evidence that high volatility in one quarter signals low growth in the next quarter, as it might if high volatility was associated with increase</w:t>
      </w:r>
      <w:r w:rsidR="003B2D25">
        <w:t>d</w:t>
      </w:r>
      <w:r w:rsidRPr="00762161">
        <w:t xml:space="preserve"> doubts about short t</w:t>
      </w:r>
      <w:r w:rsidR="003B2D25">
        <w:t>erm economic prospects. However</w:t>
      </w:r>
      <w:r w:rsidRPr="00762161">
        <w:t xml:space="preserve"> Guo (2002</w:t>
      </w:r>
      <w:r w:rsidR="00634027" w:rsidRPr="00762161">
        <w:t>)</w:t>
      </w:r>
      <w:r w:rsidRPr="00762161">
        <w:t xml:space="preserve"> used out of sample statistics and found evidence for predictive content </w:t>
      </w:r>
      <w:r w:rsidRPr="00762161">
        <w:lastRenderedPageBreak/>
        <w:t>substantially weaker. These findings lend credence to the concept that the predictive content of stock market volatility being stronger during some periods as opposed to others.</w:t>
      </w:r>
    </w:p>
    <w:p w:rsidR="009D61A9" w:rsidRPr="00762161" w:rsidRDefault="009D61A9" w:rsidP="009D61A9">
      <w:pPr>
        <w:spacing w:before="480"/>
      </w:pPr>
      <w:r w:rsidRPr="00762161">
        <w:t>Blanchard in his 1981 article presented an IS-LM model that studied the effects of monetary and fiscal shocks on output, the stock market, and the term structure with gradual adjustment of output supply to possible demand shifts. The author showed that after an expansionary policy shock, asset prices changed as a result of anticipated changes in real interest rates and profitability. This affected wealth and spending, and fuelled a rise in supply and equilibrium output, which justified the original rise in stock prices. Within the constructed framework, asset prices should tend to predict future output, but are not the cause of such changes, because both variables will tend to respond to changes in the economic environment.</w:t>
      </w:r>
    </w:p>
    <w:p w:rsidR="009D61A9" w:rsidRPr="00762161" w:rsidRDefault="009D61A9" w:rsidP="009D61A9">
      <w:pPr>
        <w:spacing w:before="480"/>
      </w:pPr>
      <w:r w:rsidRPr="00762161">
        <w:t xml:space="preserve">Mauro (2003) finds </w:t>
      </w:r>
      <w:r w:rsidR="00AF0F4E">
        <w:t>the</w:t>
      </w:r>
      <w:r w:rsidRPr="00762161">
        <w:t xml:space="preserve"> empirical association between output growth and lagged stock returns </w:t>
      </w:r>
      <w:r w:rsidR="00AF0F4E">
        <w:t>to be</w:t>
      </w:r>
      <w:r w:rsidRPr="00762161">
        <w:t xml:space="preserve"> significant in several emerging and advanced economies. The association is also significantly stronger in countries that have high market capitalisation, a large number of listed domestic companies, initial public offerings and the regulations governing the stock market</w:t>
      </w:r>
      <w:r w:rsidR="00AF0F4E">
        <w:t xml:space="preserve"> of</w:t>
      </w:r>
      <w:r w:rsidR="00AF0F4E" w:rsidRPr="00AF0F4E">
        <w:t xml:space="preserve"> </w:t>
      </w:r>
      <w:r w:rsidR="00AF0F4E" w:rsidRPr="00762161">
        <w:t>English origin</w:t>
      </w:r>
      <w:r w:rsidRPr="00762161">
        <w:t>. Although all of these country characteristics are correlated, those with the best predictive power for whether a country has a strong association between output growth and stock returns are market capitalisation and regulations governing its stock market</w:t>
      </w:r>
      <w:r w:rsidR="00AF0F4E">
        <w:t xml:space="preserve"> of</w:t>
      </w:r>
      <w:r w:rsidR="00AF0F4E" w:rsidRPr="00AF0F4E">
        <w:t xml:space="preserve"> </w:t>
      </w:r>
      <w:r w:rsidR="00AF0F4E" w:rsidRPr="00762161">
        <w:t>English, or non</w:t>
      </w:r>
      <w:r w:rsidR="003B2D25">
        <w:t>-</w:t>
      </w:r>
      <w:r w:rsidR="00AF0F4E" w:rsidRPr="00762161">
        <w:t>French, legal origin</w:t>
      </w:r>
    </w:p>
    <w:p w:rsidR="003C4133" w:rsidRPr="00762161" w:rsidRDefault="003C4133" w:rsidP="003C4133">
      <w:pPr>
        <w:spacing w:before="480"/>
      </w:pPr>
      <w:r>
        <w:t>However,</w:t>
      </w:r>
      <w:r w:rsidRPr="00762161">
        <w:t xml:space="preserve"> Binswanger (2000) find</w:t>
      </w:r>
      <w:r w:rsidR="003B2D25">
        <w:t>s</w:t>
      </w:r>
      <w:r w:rsidRPr="00762161">
        <w:t xml:space="preserve"> no relation between past returns and </w:t>
      </w:r>
      <w:r w:rsidR="00627488">
        <w:t>Real GDP</w:t>
      </w:r>
      <w:r w:rsidRPr="00762161">
        <w:t xml:space="preserve"> growth rates, while the relation is especially strong over the sub</w:t>
      </w:r>
      <w:r w:rsidR="003B2D25">
        <w:t>-</w:t>
      </w:r>
      <w:r w:rsidRPr="00762161">
        <w:t xml:space="preserve">sample from 1953-1965. The absence of any correlation over the </w:t>
      </w:r>
      <w:r w:rsidR="003B2D25">
        <w:t>sub-sample</w:t>
      </w:r>
      <w:r w:rsidRPr="00762161">
        <w:t xml:space="preserve"> 1984-1995 is also demonstrated by the author’s multiple regressions of monthly, quarterly or annual returns on leads of quarterly production or GDP growth rates. </w:t>
      </w:r>
    </w:p>
    <w:p w:rsidR="003C4133" w:rsidRPr="00762161" w:rsidRDefault="003C4133" w:rsidP="003C4133">
      <w:pPr>
        <w:spacing w:before="480"/>
      </w:pPr>
      <w:r w:rsidRPr="00762161">
        <w:lastRenderedPageBreak/>
        <w:t>A plausible explanation of the lack of correlation between GDP and stock returns is outlined by Binswanger (2000). The author attributes the contradictory results to the possible existence of bubbles or fads, which have been a persistent phenomenon in the</w:t>
      </w:r>
      <w:r>
        <w:t xml:space="preserve"> U.S. </w:t>
      </w:r>
      <w:r w:rsidRPr="00762161">
        <w:t xml:space="preserve">stock market since 1984. This unfortunately is a very circumspect explanation, as this cannot be proved simply due to the fact that bubbles cannot be distinguished from unobserved fundamental factors, which could also be the cause of the finding. Barro (1990) and Fama (1990) outline that stock return and production growth rates may also be affected by alternative variables such as interest rates. Not all of stock price changes are influenced by changes in the underlying cash flows in production. A decrease of interest rates can cause an increase in the stock price as well as an increase in future production. These rising stock prices increase wealth which may stimulate future demand for consumption and investment goods. Unfortunately this still points to the widely expected finding that stock prices lead real activity. Speculative bubbles is a plausible explanation for the breakdown, this finding may also be explained by other factors such as monetary policy and increased globalisation. </w:t>
      </w:r>
    </w:p>
    <w:p w:rsidR="003C4133" w:rsidRDefault="003C4133" w:rsidP="003C4133">
      <w:pPr>
        <w:spacing w:before="480"/>
      </w:pPr>
      <w:r w:rsidRPr="00762161">
        <w:t xml:space="preserve">Binswanger (2000: 383) explains that changes in monetary policy </w:t>
      </w:r>
      <w:r>
        <w:t>due to</w:t>
      </w:r>
      <w:r w:rsidRPr="00762161">
        <w:t xml:space="preserve"> changes in nominal interest rates or inflation rates may also be a potential cause for the author</w:t>
      </w:r>
      <w:r w:rsidR="003B2D25">
        <w:t>’</w:t>
      </w:r>
      <w:r w:rsidRPr="00762161">
        <w:t>s finding</w:t>
      </w:r>
      <w:r>
        <w:t>,</w:t>
      </w:r>
      <w:r w:rsidRPr="00762161">
        <w:t xml:space="preserve"> as there is evidence that monetary policy exerts large effects on stock returns</w:t>
      </w:r>
      <w:r>
        <w:t xml:space="preserve">. </w:t>
      </w:r>
      <w:r w:rsidRPr="00762161">
        <w:t xml:space="preserve">But these effects should not disturb the relation between stock returns and real activity as, according to theory, monetary policy influences stock returns by increasing future cash flows or by decreasing the discount factors </w:t>
      </w:r>
      <w:r w:rsidR="003B2D25">
        <w:t>on</w:t>
      </w:r>
      <w:r w:rsidRPr="00762161">
        <w:t xml:space="preserve"> which those cash flows are capitalised. The effect on stock returns is supposed to be through effects on real activity and, in fact, supports the hypothesis that monetary policy has real effects at least in the short run. If monetary policy has effects on the real economy, it influences the fundamental value of stocks and the positive relation between stock returns and subseque</w:t>
      </w:r>
      <w:r w:rsidR="003B2D25">
        <w:t>nt real activity should persist.</w:t>
      </w:r>
      <w:r w:rsidRPr="00762161">
        <w:t xml:space="preserve"> If monetary policy has no real effects, it should not affect stock returns at all, as long as the investor</w:t>
      </w:r>
      <w:r w:rsidR="003B2D25">
        <w:t>’</w:t>
      </w:r>
      <w:r w:rsidRPr="00762161">
        <w:t xml:space="preserve">s behaviour is driven by fundamentals, and the positive </w:t>
      </w:r>
      <w:r w:rsidRPr="00762161">
        <w:lastRenderedPageBreak/>
        <w:t>relation between stock returns and real economic activity should still persist. Therefore, there is no reason why changes in monetary policy should disturb the relation between real activity and stock returns unless the investors are not driven by fundamentals or act irrationally on changes in mo</w:t>
      </w:r>
      <w:r w:rsidR="003B2D25">
        <w:t>netary policy</w:t>
      </w:r>
      <w:r w:rsidRPr="00762161">
        <w:t xml:space="preserve"> which again, would speak in favour of speculative bubbles. </w:t>
      </w:r>
    </w:p>
    <w:p w:rsidR="00AF0F4E" w:rsidRPr="00762161" w:rsidRDefault="00AF0F4E" w:rsidP="00AF0F4E">
      <w:pPr>
        <w:spacing w:before="480"/>
      </w:pPr>
      <w:r w:rsidRPr="00762161">
        <w:t>Mauro (2003) finds that the correlation between stock prices and real output is stronger the longer t</w:t>
      </w:r>
      <w:r w:rsidR="003B2D25">
        <w:t>he forecast horizon. The author</w:t>
      </w:r>
      <w:r w:rsidRPr="00762161">
        <w:t xml:space="preserve"> considers the case of quarter on quarter growth, finding the correlation positive and significant in 9 out of 18 advanced countries, and 2 out of 6 emerging economies, using </w:t>
      </w:r>
      <w:r w:rsidR="00627488">
        <w:t>Real GDP</w:t>
      </w:r>
      <w:r w:rsidRPr="00762161">
        <w:t>; and 13 out of 18 advanced count</w:t>
      </w:r>
      <w:r w:rsidR="004E2181">
        <w:t>r</w:t>
      </w:r>
      <w:r w:rsidRPr="00762161">
        <w:t xml:space="preserve">ies and 4 out of 13 emerging economies, using industrial production. </w:t>
      </w:r>
      <w:r w:rsidRPr="00762161">
        <w:rPr>
          <w:szCs w:val="24"/>
        </w:rPr>
        <w:t xml:space="preserve">Henry, Olekalns &amp; Thong (2004), interestingly explain that their empirical findings point towards stock returns only containing information that assists in the prediction of aggregate output only when economies are in recession. In non recession periods, the authors find no evidence that equity returns can be usefully employed to predict growth. </w:t>
      </w:r>
    </w:p>
    <w:p w:rsidR="00237060" w:rsidRPr="00762161" w:rsidRDefault="00237060" w:rsidP="009D61A9">
      <w:pPr>
        <w:spacing w:before="480"/>
      </w:pPr>
    </w:p>
    <w:p w:rsidR="009D61A9" w:rsidRPr="00762161" w:rsidRDefault="009D61A9" w:rsidP="009D61A9">
      <w:pPr>
        <w:pStyle w:val="Heading2"/>
        <w:numPr>
          <w:ilvl w:val="1"/>
          <w:numId w:val="8"/>
        </w:numPr>
        <w:spacing w:before="480"/>
      </w:pPr>
      <w:bookmarkStart w:id="235" w:name="_Toc282531623"/>
      <w:bookmarkStart w:id="236" w:name="_Toc286616312"/>
      <w:r w:rsidRPr="00762161">
        <w:t>Inflation</w:t>
      </w:r>
      <w:bookmarkEnd w:id="235"/>
      <w:bookmarkEnd w:id="236"/>
    </w:p>
    <w:p w:rsidR="00367550" w:rsidRPr="00762161" w:rsidRDefault="009D61A9" w:rsidP="009D61A9">
      <w:pPr>
        <w:spacing w:before="480"/>
      </w:pPr>
      <w:r w:rsidRPr="00762161">
        <w:t xml:space="preserve">Fama &amp; Schwert (1977), Fama (1981), Schwert (1981), Geske &amp; Roll (1983), Chen, Roll &amp; Ross (1986), Kaul (1987), </w:t>
      </w:r>
      <w:r w:rsidR="0054382F">
        <w:t xml:space="preserve">and </w:t>
      </w:r>
      <w:r w:rsidRPr="00762161">
        <w:t xml:space="preserve">Park (1997) have </w:t>
      </w:r>
      <w:r w:rsidR="003B2D25">
        <w:t xml:space="preserve">all </w:t>
      </w:r>
      <w:r w:rsidRPr="00762161">
        <w:t xml:space="preserve">documented a negative relationship between real stock returns and inflation. This is surprising as Kaul (1987) points out, in light of the view that common stocks, as claims against real assets, should be a good hedge against inflation. Chen, Roll &amp; Ross (1986) theorise that the negative relationship implies that stock market assets </w:t>
      </w:r>
      <w:r w:rsidRPr="00762161">
        <w:lastRenderedPageBreak/>
        <w:t xml:space="preserve">are generally perceived to be hedges against the adverse influence on other assets that are relatively more fixed in nominal terms. </w:t>
      </w:r>
    </w:p>
    <w:p w:rsidR="009D61A9" w:rsidRPr="00762161" w:rsidRDefault="009D61A9" w:rsidP="009D61A9">
      <w:pPr>
        <w:spacing w:before="480"/>
      </w:pPr>
      <w:r w:rsidRPr="00762161">
        <w:t>Many studies documenting the negative correlation between stock returns and inflation begin with Fama (1981) and the use of a proxy hypothesis. The negative relation between stock returns and expected inflation proxies for the positive and high correlation between stock returns and future real variables. Kaul (1987) clarifies this hypothesis by emphasizing that it relies on two key premises. Firstly, the positive relation between stock returns and future real activity, and secondly, the negative relation between inflation and real activity.</w:t>
      </w:r>
    </w:p>
    <w:p w:rsidR="00700C23" w:rsidRDefault="00700C23" w:rsidP="00700C23">
      <w:pPr>
        <w:spacing w:before="480"/>
      </w:pPr>
      <w:r w:rsidRPr="00762161">
        <w:t>Park (1997) reconciles the proxy hypothesis</w:t>
      </w:r>
      <w:r w:rsidR="003B2D25">
        <w:t>,</w:t>
      </w:r>
      <w:r w:rsidRPr="00762161">
        <w:t xml:space="preserve"> </w:t>
      </w:r>
      <w:r w:rsidR="003B2D25">
        <w:t>d</w:t>
      </w:r>
      <w:r w:rsidRPr="00762161">
        <w:t>ue to the tendency of stock prices to react negatively to positive news about real economic activity, by explaining that strong economic activity is a direct cause of inflation and will induce policy makers to implement a countercyclical</w:t>
      </w:r>
      <w:r>
        <w:t xml:space="preserve"> policy</w:t>
      </w:r>
      <w:r w:rsidRPr="00762161">
        <w:t>. Thus news of an expanding economy may be a signal</w:t>
      </w:r>
      <w:r w:rsidR="003B2D25">
        <w:t xml:space="preserve"> of</w:t>
      </w:r>
      <w:r w:rsidRPr="00762161">
        <w:t xml:space="preserve"> rising inflation rather than improving corporate cash</w:t>
      </w:r>
      <w:r w:rsidR="003B2D25">
        <w:t xml:space="preserve"> flows. McQueen &amp; Roley (1993) </w:t>
      </w:r>
      <w:r w:rsidRPr="00762161">
        <w:t>empi</w:t>
      </w:r>
      <w:r w:rsidR="00D34E0E">
        <w:t>rically affirmed these findings</w:t>
      </w:r>
      <w:r w:rsidRPr="00762161">
        <w:t xml:space="preserve"> </w:t>
      </w:r>
      <w:r w:rsidR="00BB4F64">
        <w:t>by showing</w:t>
      </w:r>
      <w:r w:rsidRPr="00762161">
        <w:t xml:space="preserve"> that news of high economic activity reduced stock prices in a booming economy</w:t>
      </w:r>
      <w:r w:rsidR="00D34E0E">
        <w:t>,</w:t>
      </w:r>
      <w:r w:rsidRPr="00762161">
        <w:t xml:space="preserve"> while the converse is also true whereby low economic activity gave rise to booming share prices. This led the authors to conclude that the stock market reacts rationally in the anticipation of expected inflation and output growth. By this rationality, Park (1997) states that stock prices should respond negatively to economic variables that are more related to future inflation and less to corporate cash flows, which is surprising given the concept that stock price intrinsic value is calculated by cash flows. </w:t>
      </w:r>
    </w:p>
    <w:p w:rsidR="00700C23" w:rsidRPr="00762161" w:rsidRDefault="00700C23" w:rsidP="00700C23">
      <w:pPr>
        <w:spacing w:before="480"/>
        <w:rPr>
          <w:szCs w:val="24"/>
        </w:rPr>
      </w:pPr>
      <w:r w:rsidRPr="00762161">
        <w:rPr>
          <w:szCs w:val="24"/>
        </w:rPr>
        <w:t xml:space="preserve">Choi, Hauser &amp; Kopecky (1999) revert to the discounted cash flow valuation model to explain that stock prices echo investors’ expectations about future real economic variables such as corporate earnings. Park (1997) does however emphasise the sentiment of Choi, Hauser &amp; </w:t>
      </w:r>
      <w:r w:rsidRPr="00762161">
        <w:rPr>
          <w:szCs w:val="24"/>
        </w:rPr>
        <w:lastRenderedPageBreak/>
        <w:t>Kopecky (1999) by explaining that stock prices should theoretically be equal to the pre</w:t>
      </w:r>
      <w:r w:rsidR="00D34E0E">
        <w:rPr>
          <w:szCs w:val="24"/>
        </w:rPr>
        <w:t>sent value of future cash flows</w:t>
      </w:r>
      <w:r w:rsidRPr="00762161">
        <w:rPr>
          <w:szCs w:val="24"/>
        </w:rPr>
        <w:t xml:space="preserve"> and will decline if expected cash flows decrease or if the real interest rate increases. Ignoring any possible inflationary impa</w:t>
      </w:r>
      <w:r w:rsidR="00D34E0E">
        <w:rPr>
          <w:szCs w:val="24"/>
        </w:rPr>
        <w:t>ct, corporate cash flows should logically</w:t>
      </w:r>
      <w:r w:rsidRPr="00762161">
        <w:rPr>
          <w:szCs w:val="24"/>
        </w:rPr>
        <w:t xml:space="preserve"> depend on the level of real economic activity which would proxy for product demand. Thus by this reasoning, strong economic activity should be associated with large future cash flows and hence a higher stock price. Geske &amp; Roll (1983) find that the first quarter’s corporate earnings lag contains most of the predictive power. A regression of the growth rate in earnings on the first quarter lagged stock market return alone actually has a higher adjusted </w:t>
      </w:r>
      <w:r w:rsidRPr="00762161">
        <w:rPr>
          <w:i/>
          <w:szCs w:val="24"/>
        </w:rPr>
        <w:t>R</w:t>
      </w:r>
      <w:r w:rsidRPr="00762161">
        <w:rPr>
          <w:i/>
          <w:szCs w:val="24"/>
          <w:vertAlign w:val="superscript"/>
        </w:rPr>
        <w:t>2</w:t>
      </w:r>
      <w:r w:rsidRPr="00762161">
        <w:rPr>
          <w:szCs w:val="24"/>
        </w:rPr>
        <w:t xml:space="preserve"> than the regression which includes contemporaneous and four lagged terms.</w:t>
      </w:r>
    </w:p>
    <w:p w:rsidR="009D61A9" w:rsidRPr="00762161" w:rsidRDefault="009D61A9" w:rsidP="009D61A9">
      <w:pPr>
        <w:spacing w:before="480"/>
      </w:pPr>
      <w:r w:rsidRPr="00762161">
        <w:t xml:space="preserve">Geske &amp; Roll (1983) consider a monetary response which justifies and reinforces Fama’s (1981) prediction of </w:t>
      </w:r>
      <w:r w:rsidR="00700C23">
        <w:t xml:space="preserve">a </w:t>
      </w:r>
      <w:r w:rsidRPr="00762161">
        <w:t xml:space="preserve">negative </w:t>
      </w:r>
      <w:r w:rsidR="00700C23">
        <w:t xml:space="preserve">relationship between </w:t>
      </w:r>
      <w:r w:rsidRPr="00762161">
        <w:t>the</w:t>
      </w:r>
      <w:r w:rsidR="00700C23">
        <w:t xml:space="preserve"> level of</w:t>
      </w:r>
      <w:r w:rsidRPr="00762161">
        <w:t xml:space="preserve"> inflation</w:t>
      </w:r>
      <w:r w:rsidR="00700C23">
        <w:t xml:space="preserve"> and </w:t>
      </w:r>
      <w:r w:rsidRPr="00762161">
        <w:t xml:space="preserve">real activity. The authors argue that the central bank responds counter cyclically to </w:t>
      </w:r>
      <w:r w:rsidR="0054382F">
        <w:t xml:space="preserve">upward </w:t>
      </w:r>
      <w:r w:rsidRPr="00762161">
        <w:t>real activity shocks</w:t>
      </w:r>
      <w:r w:rsidR="0054382F">
        <w:t xml:space="preserve"> (the converse also applies)</w:t>
      </w:r>
      <w:r w:rsidRPr="00762161">
        <w:t>. Specifically, a decrease in real activity leads to increased deficits which in turn can lead to an increase in money growth, assuming that debt is monetarised. An unanticipated drop in stock prices signals this chain of events, leading to negative relations between stock returns and changes in expected inflation. Kaul (1987) indicates empirically that counter cyclical monetary responses by the monetary authorities, explain all of the negative stock return inflation relations consistently across the U.S., Canada, the U.K. and Germany. The author finds that pro-cyclical movements in inflation, money and stock prices across their sample leads to relations which are either positive or insignificant, and are statistically insignificant. Geske &amp; Roll (1983) conclude by stating that sock price changes, which have been caused by anticipated changes in the prevailing economic conditions, will be negatively correlated with changes in expected inflation.</w:t>
      </w:r>
    </w:p>
    <w:p w:rsidR="009D61A9" w:rsidRPr="00762161" w:rsidRDefault="009D61A9" w:rsidP="009D61A9">
      <w:pPr>
        <w:spacing w:before="480"/>
      </w:pPr>
      <w:r w:rsidRPr="00762161">
        <w:rPr>
          <w:szCs w:val="24"/>
        </w:rPr>
        <w:lastRenderedPageBreak/>
        <w:t xml:space="preserve">Park (1997) </w:t>
      </w:r>
      <w:r w:rsidR="00BB4F64">
        <w:rPr>
          <w:szCs w:val="24"/>
        </w:rPr>
        <w:t xml:space="preserve">also </w:t>
      </w:r>
      <w:r w:rsidRPr="00762161">
        <w:rPr>
          <w:szCs w:val="24"/>
        </w:rPr>
        <w:t xml:space="preserve">looks at the effect that inflation may have on governmental policy implementation, contractionary macroeconomic policies reducing aggregate demand would offset the </w:t>
      </w:r>
      <w:r w:rsidR="00D34E0E">
        <w:rPr>
          <w:szCs w:val="24"/>
        </w:rPr>
        <w:t>positive effect on stock prices from strong economic activity</w:t>
      </w:r>
      <w:r w:rsidRPr="00762161">
        <w:rPr>
          <w:szCs w:val="24"/>
        </w:rPr>
        <w:t xml:space="preserve"> by decreasing corporate cash flows and possibly raising real interest rates to combat inflation. The impact on stock prices from this policy is almost entirely dependent on the correlation between future cash flows and inflation.</w:t>
      </w:r>
    </w:p>
    <w:p w:rsidR="009D61A9" w:rsidRPr="00762161" w:rsidRDefault="009D61A9" w:rsidP="009D61A9">
      <w:pPr>
        <w:spacing w:before="480"/>
      </w:pPr>
      <w:r w:rsidRPr="00762161">
        <w:t xml:space="preserve">Fama (1981: 563) further discusses the proxy effect hypothesis which implies that measures of real activity should dominate measures of inflation when both are used as explanatory variables in real stock return regressions. In monthly, quarterly, and annual data, growth rates of money and real activity eliminate the negative relations between real stock returns and expected inflation rates. In the annual stock return regressions unexpected inflation also loses explanatory power when placed in competition with future real activity. The author states that there are other respects where the empirical results are less supportive. In the monthly and quarterly data, future real activity does not explain the negative relations between real stock returns and unexpected inflation. This is suggestive evidence that is due to the deficiencies of overlapping annual growth rates of real activity as measures of the new monthly or quarterly information used by the stock market to set prices. However, the evidence for this explanation is indirect. Although the largely anomalous negative relations between real stock returns and expected inflation rates largely disappear in the face of competition from measures of future real activity, complete explanation of the expected inflation effect occurs only when the base growth rate, a variable highly correlated with the expected inflation rate, is also included in the stock return regressions. </w:t>
      </w:r>
    </w:p>
    <w:p w:rsidR="009D61A9" w:rsidRPr="00762161" w:rsidRDefault="009D61A9" w:rsidP="009D61A9">
      <w:pPr>
        <w:spacing w:before="480"/>
      </w:pPr>
      <w:r w:rsidRPr="00762161">
        <w:t xml:space="preserve">Stock returns are positively related to anticipated real activity due to the capital expenditure process. Geske &amp; Roll (1983) state that the capital expenditure process will be characterised by the following set of events: an increase in the level for real activity will put pressure on the </w:t>
      </w:r>
      <w:r w:rsidRPr="00762161">
        <w:lastRenderedPageBreak/>
        <w:t>existing capital stock, which will consequently raise the average return on capital and this, in turn, induces increased investment. A rational stock market anticipates this set of events, and therefore, stock prices incorporate information about future real variables. Thus</w:t>
      </w:r>
      <w:r w:rsidR="00D34E0E">
        <w:t>,</w:t>
      </w:r>
      <w:r w:rsidRPr="00762161">
        <w:t xml:space="preserve"> when stock returns are regressed on inflation</w:t>
      </w:r>
      <w:r w:rsidR="00D34E0E">
        <w:t>,</w:t>
      </w:r>
      <w:r w:rsidRPr="00762161">
        <w:t xml:space="preserve"> the negative relation proxies for the positive relation between stock returns and real variables as explained by Fama’s (1981) proxy hypothesis.</w:t>
      </w:r>
    </w:p>
    <w:p w:rsidR="009D61A9" w:rsidRPr="00762161" w:rsidRDefault="009D61A9" w:rsidP="009D61A9">
      <w:pPr>
        <w:spacing w:before="480"/>
      </w:pPr>
      <w:r w:rsidRPr="00762161">
        <w:t>Fama, in his 1981 paper, states that the primary reason for expected inflation rates to be used in stock return regressions primarily stems from their close relation to real activity growth rates which are of more direct concern to the stock market. As a consequence, the author finds that stock returns are determined by forecasts of more relevant real variables, and negative stock return-inflation relations are induced by negative relations between inflation and real activity. Subsequently using base and future real activity growth rates to explain real stock returns severely diminishes the explanatory power of expected inflation rates. Ferson &amp; Harvey (1991) explain the use of the inflation variable in their regressions from a marginal utility of wealth point of view. The author states that the asset pricing models of Merton (1973), Lucas (1978) and Breeden (1979</w:t>
      </w:r>
      <w:r w:rsidR="00634027" w:rsidRPr="00762161">
        <w:t>)</w:t>
      </w:r>
      <w:r w:rsidRPr="00762161">
        <w:t xml:space="preserve"> imply that priced variables must covary with the aggregate marginal utility of wealth. Further emphasis is put on what Fama (1981) has stated above by explaining  that unanticipated inflation could be a source of </w:t>
      </w:r>
      <w:r w:rsidR="00D34E0E">
        <w:t>economic risk only</w:t>
      </w:r>
      <w:r w:rsidRPr="00762161">
        <w:t xml:space="preserve"> if inflation has real effects, in the sense that inflation should be correlated with aggregate marginal utility.</w:t>
      </w:r>
    </w:p>
    <w:p w:rsidR="000F3BFE" w:rsidRPr="00762161" w:rsidRDefault="000F3BFE" w:rsidP="000F3BFE">
      <w:pPr>
        <w:spacing w:before="480"/>
      </w:pPr>
      <w:r w:rsidRPr="00762161">
        <w:t>Geske &amp; Roll (1983) finds that several explanation</w:t>
      </w:r>
      <w:r w:rsidR="00D34E0E">
        <w:t>s</w:t>
      </w:r>
      <w:r w:rsidRPr="00762161">
        <w:t xml:space="preserve">, other than Fama’s (1981) proxy hypothesis have </w:t>
      </w:r>
      <w:r w:rsidR="00D34E0E">
        <w:t xml:space="preserve">been </w:t>
      </w:r>
      <w:r w:rsidRPr="00762161">
        <w:t>put forward to explain the negative inflation stock return relationship. Geske &amp; Roll (1983), point</w:t>
      </w:r>
      <w:r w:rsidR="00DB2861">
        <w:t>s</w:t>
      </w:r>
      <w:r w:rsidRPr="00762161">
        <w:t xml:space="preserve"> out that unanticipated inflation benefits net debtors at the expense of net creditors. This signifies that equity returns of only those firms which are net creditors would be negatively related to unanticipated inflation and net debtors would be positively related to unanticipated inflation. The aggregate negative relation between inflation and all stocks would require that </w:t>
      </w:r>
      <w:r w:rsidRPr="00762161">
        <w:lastRenderedPageBreak/>
        <w:t xml:space="preserve">equity holders be net creditors on average. Since most nonfinancial corporations appear to have more fixed nominal liability commitments than fixed nominal assets, they are net debtors, thus Geske &amp; Roll (1983) finds this argument not empirically compelling. </w:t>
      </w:r>
    </w:p>
    <w:p w:rsidR="009D61A9" w:rsidRDefault="009D61A9" w:rsidP="009D61A9">
      <w:pPr>
        <w:spacing w:before="480"/>
      </w:pPr>
      <w:r w:rsidRPr="00762161">
        <w:t>Since the results with respect to the unexpected inflation rate are mixed</w:t>
      </w:r>
      <w:r w:rsidR="00D34E0E">
        <w:t>,</w:t>
      </w:r>
      <w:r w:rsidRPr="00762161">
        <w:t xml:space="preserve"> </w:t>
      </w:r>
      <w:r w:rsidR="00E13BBF">
        <w:t>an alternative</w:t>
      </w:r>
      <w:r w:rsidRPr="00762161">
        <w:t xml:space="preserve"> explanation</w:t>
      </w:r>
      <w:r w:rsidR="00E13BBF">
        <w:t xml:space="preserve"> must be noted</w:t>
      </w:r>
      <w:r w:rsidRPr="00762161">
        <w:t xml:space="preserve"> of the relations between stock returns and unexpected inflation which is offe</w:t>
      </w:r>
      <w:r w:rsidR="00E13BBF">
        <w:t>red by Modigliani &amp; Cohn (1979)</w:t>
      </w:r>
      <w:r w:rsidRPr="00762161">
        <w:t xml:space="preserve">. </w:t>
      </w:r>
      <w:r w:rsidR="00E13BBF">
        <w:t>Modigliani &amp; Cohn (1979) hypothesize</w:t>
      </w:r>
      <w:r w:rsidRPr="00762161">
        <w:t xml:space="preserve"> that the stock market is irrational. Nominal discount rates that vary directly with expected inflation are used by the market to price real payoffs generated by equities. As a consequence</w:t>
      </w:r>
      <w:r w:rsidR="00BB1228">
        <w:t>,</w:t>
      </w:r>
      <w:r w:rsidRPr="00762161">
        <w:t xml:space="preserve"> positive expected inflation, which implies higher future expected inflation in a world where expected inflation is approximately a random walk, as stipulated by Fama (1970), produces a decline in stock prices and a negative relation between stock returns and unexpected inflation. However, a more direct implication of the particular market irrationality hypothesized by </w:t>
      </w:r>
      <w:r w:rsidR="00E13BBF">
        <w:t xml:space="preserve">Modigliani &amp; Cohn (1979) </w:t>
      </w:r>
      <w:r w:rsidRPr="00762161">
        <w:t>is that expected real stock returns should be positively related to the expected inflation rate.</w:t>
      </w:r>
    </w:p>
    <w:p w:rsidR="00097FFE" w:rsidRPr="00762161" w:rsidRDefault="00097FFE" w:rsidP="00097FFE">
      <w:pPr>
        <w:spacing w:before="480"/>
      </w:pPr>
      <w:r w:rsidRPr="00762161">
        <w:t>Geske &amp; Roll (1983:</w:t>
      </w:r>
      <w:r w:rsidR="003F5E0F">
        <w:t xml:space="preserve"> </w:t>
      </w:r>
      <w:r w:rsidRPr="00762161">
        <w:t xml:space="preserve">28-29) offer their own supplemental explanation consisting of the following argument: a random negative (positive) real shock affects stock prices which, in turn, signal higher (lower) unemployment and lower (higher) corporate earnings. This leads to lower (higher) personal and corporate tax revenues. Government expenditures do not change to accommodate the change in revenues so the Treasury’s deficit increases (decreases). The Treasury responds by increasing (decreasing) borrowing from the public. The Federal Reserve System purchases some of the change in Treasury debt and eventually pays for it by expanding (contracting) the growth rate of base money. Higher (lower) inflation is induced by the altered money base growth rate. Rational investors realise that a random real shock signalled by the stock market will trigger this chain of fiscal and monetary responses. </w:t>
      </w:r>
    </w:p>
    <w:p w:rsidR="009D61A9" w:rsidRPr="00762161" w:rsidRDefault="009D61A9" w:rsidP="009D61A9">
      <w:pPr>
        <w:spacing w:before="480"/>
      </w:pPr>
      <w:r w:rsidRPr="00762161">
        <w:lastRenderedPageBreak/>
        <w:t xml:space="preserve">Fama (1981) finds evidence of consistent negative relations between inflation and real activity which the author interprets in the context of money demand theory and the quantity theory of money. Additionally, stock returns and inflation rates are most strongly related to measures of future real activity. This finding is consistent with the rational expectations point of view, in which markets for goods and securities set current prices on the basis of forecasts of relevant real variables. When looking at money supply in isolation as an indicator for economic activity Stock &amp; Watson (2003a) found the variable to perform badly in its predictive role, included in this group of poor performers was consumer expectations, and long term interest rates. Geske &amp; Roll (1983) find the logic of this money demand approach to be sound, yet the magnitude of the effect it predicts may not be sufficient to explain the observed negative relation between real activity and inflation. </w:t>
      </w:r>
      <w:r w:rsidR="00775515">
        <w:t>The authors found</w:t>
      </w:r>
      <w:r w:rsidRPr="00762161">
        <w:t xml:space="preserve"> that in pre-deficit days, real activity and inflation was either unrelated or at times positively related. Since the theory of money demand applied in those years as well, the absence of a consistent negative relation suggests that another unexplained force is at work. The second problem which </w:t>
      </w:r>
      <w:r w:rsidR="00775515">
        <w:t>the authors</w:t>
      </w:r>
      <w:r w:rsidRPr="00762161">
        <w:t xml:space="preserve"> explain with money demand is that it attributes the theory to a purely passive role of the government. Yet in periods of prolonged deficits, during which the negative relation has been most noticeable, the money supply has not been constant, but instead significantly increased.</w:t>
      </w:r>
    </w:p>
    <w:p w:rsidR="009D61A9" w:rsidRPr="00762161" w:rsidRDefault="009D61A9" w:rsidP="009D61A9">
      <w:pPr>
        <w:spacing w:before="480"/>
      </w:pPr>
      <w:r w:rsidRPr="00762161">
        <w:t>Lintner (1975</w:t>
      </w:r>
      <w:r w:rsidR="00634027" w:rsidRPr="00762161">
        <w:t>)</w:t>
      </w:r>
      <w:r w:rsidRPr="00762161">
        <w:t xml:space="preserve"> argues that inflation, whether it is anticipated or unanticipated increases the external financing required by corporations, this in turn decreases the returns to </w:t>
      </w:r>
      <w:r w:rsidR="000F3BFE">
        <w:t xml:space="preserve">existing </w:t>
      </w:r>
      <w:r w:rsidRPr="00762161">
        <w:t xml:space="preserve">equity shares after the additional interest repayment on the debt has been made. The author argues that firms with fixed gross profit margins and fixed dividend payout ratios require a higher fraction of external funding during periods of high inflation in order to sustain working capital in a fixed proportion to sales. Kaul (1997) also dismisses this theory, as it seems implausible that managers would be so inflexible that they obtain external funds and invest them in below par assets. The author explains that managers will act to the contrary, in that corporate treasurers will respond </w:t>
      </w:r>
      <w:r w:rsidRPr="00762161">
        <w:lastRenderedPageBreak/>
        <w:t>aggressively to the increased inflation by cutting cash balances, tightening the terms of trade credit,</w:t>
      </w:r>
      <w:r w:rsidR="000F3BFE">
        <w:t xml:space="preserve"> and</w:t>
      </w:r>
      <w:r w:rsidRPr="00762161">
        <w:t xml:space="preserve"> delaying payments. Therefore, Lintner’s (1975) theory also does not sufficiently explain the previously stated phenomenon.</w:t>
      </w:r>
    </w:p>
    <w:p w:rsidR="009D61A9" w:rsidRPr="00762161" w:rsidRDefault="009D61A9" w:rsidP="009D61A9">
      <w:pPr>
        <w:spacing w:before="480"/>
      </w:pPr>
      <w:r w:rsidRPr="00762161">
        <w:t>Modigliani &amp; Cohn (1979) believe that investors restrict themselves by the illusion of money, resulting in their pricing of equities that fail to reflect the true intrinsic value. This theory goes in complete contrast to rational expectations and market efficiency, Geske &amp; Roll (1983) debunks the theory by emphasizing that it suffers the often typical defect of a theory based on irrationality and devised after data had been observed.</w:t>
      </w:r>
    </w:p>
    <w:p w:rsidR="009D61A9" w:rsidRPr="00762161" w:rsidRDefault="00097FFE" w:rsidP="009D61A9">
      <w:pPr>
        <w:spacing w:before="480"/>
      </w:pPr>
      <w:r>
        <w:t>Fama (1981) argue</w:t>
      </w:r>
      <w:r w:rsidR="00D34E0E">
        <w:t>s</w:t>
      </w:r>
      <w:r w:rsidR="009D61A9" w:rsidRPr="00762161">
        <w:t xml:space="preserve"> that the money demand theory implies a negative relation between the actual inflation rate and the growth rate of real activity. Since stock returns predict real economic activity, a negative correlation is induced between stock returns and inflation. However, </w:t>
      </w:r>
      <w:r w:rsidR="00D34E0E">
        <w:t>the author’s</w:t>
      </w:r>
      <w:r w:rsidR="009D61A9" w:rsidRPr="00762161">
        <w:t xml:space="preserve"> empirical results still indicate a puzzle, in that various measures of real activity did not eliminate the negative inflation stock returns relation. Monthly data showed that the effect of unexpected inflation is never eliminated. The author found that both expected and unexpected inflation were, however, eliminated in regressions with annual data but only once the growth rate of the monetary base was included as an additional explanatory variable. However there is no real economic reason for the inclusion of the additional variable. Upon further inspection, </w:t>
      </w:r>
      <w:r w:rsidR="00D34E0E">
        <w:t>the author</w:t>
      </w:r>
      <w:r w:rsidR="009D61A9" w:rsidRPr="00762161">
        <w:t xml:space="preserve"> finds that monetary base and inflation are highly </w:t>
      </w:r>
      <w:r w:rsidR="00634027" w:rsidRPr="00762161">
        <w:t>correlated;</w:t>
      </w:r>
      <w:r w:rsidR="009D61A9" w:rsidRPr="00762161">
        <w:t xml:space="preserve"> subsequently one measure of inflation has simply been replaced by another.</w:t>
      </w:r>
    </w:p>
    <w:p w:rsidR="009D61A9" w:rsidRDefault="009D61A9" w:rsidP="009D61A9">
      <w:pPr>
        <w:spacing w:before="480"/>
      </w:pPr>
      <w:r w:rsidRPr="00762161">
        <w:t xml:space="preserve">Ferson &amp; Harvey (1991) also find, in their study, that the average premium for unexpected inflation is negative. </w:t>
      </w:r>
      <w:r w:rsidR="00097FFE">
        <w:t>The authors</w:t>
      </w:r>
      <w:r w:rsidRPr="00762161">
        <w:t xml:space="preserve"> find evidence </w:t>
      </w:r>
      <w:r w:rsidR="00097FFE">
        <w:t>of such</w:t>
      </w:r>
      <w:r w:rsidRPr="00762161">
        <w:t xml:space="preserve"> insignificance </w:t>
      </w:r>
      <w:r w:rsidR="00097FFE">
        <w:t>in</w:t>
      </w:r>
      <w:r w:rsidRPr="00762161">
        <w:t xml:space="preserve"> unexpected inflation in its relation with stock returns that their regression analyses improve in performance once the variable has been excluded from their analysis. An important aspect to Kaul (1987) results is that </w:t>
      </w:r>
      <w:r w:rsidRPr="00762161">
        <w:lastRenderedPageBreak/>
        <w:t>by simply including the real activity variables in the authors’ regression analysis</w:t>
      </w:r>
      <w:r w:rsidR="004E0ED6">
        <w:t>,</w:t>
      </w:r>
      <w:r w:rsidRPr="00762161">
        <w:t xml:space="preserve"> is sufficient to completely eliminate the expected inflation effect across all countries within the sample. </w:t>
      </w:r>
    </w:p>
    <w:p w:rsidR="0054382F" w:rsidRPr="00762161" w:rsidRDefault="0054382F" w:rsidP="0054382F">
      <w:pPr>
        <w:spacing w:before="480"/>
      </w:pPr>
      <w:r w:rsidRPr="00762161">
        <w:t>In a South African context, Geyser &amp; Lowies (2001) found that companies listed in the mining sector are correlated negatively with inflation, whereas selected companies from the financial services, information technology and food and beverages sectors reveal a slightly positive correlation between changes in share prices and inflation. By this reasoning, within South Africa, only share</w:t>
      </w:r>
      <w:r>
        <w:t>s</w:t>
      </w:r>
      <w:r w:rsidRPr="00762161">
        <w:t xml:space="preserve"> in the mining sector should be used to hedge against the effects of inflation.</w:t>
      </w:r>
    </w:p>
    <w:p w:rsidR="009D61A9" w:rsidRPr="00762161" w:rsidRDefault="009D61A9" w:rsidP="009D61A9">
      <w:pPr>
        <w:tabs>
          <w:tab w:val="left" w:pos="1245"/>
        </w:tabs>
        <w:spacing w:before="480"/>
      </w:pPr>
    </w:p>
    <w:p w:rsidR="009D61A9" w:rsidRPr="00762161" w:rsidRDefault="009D61A9" w:rsidP="009D61A9">
      <w:pPr>
        <w:pStyle w:val="Heading2"/>
        <w:numPr>
          <w:ilvl w:val="1"/>
          <w:numId w:val="8"/>
        </w:numPr>
        <w:spacing w:before="480"/>
      </w:pPr>
      <w:bookmarkStart w:id="237" w:name="_Toc282531624"/>
      <w:bookmarkStart w:id="238" w:name="_Toc286616313"/>
      <w:r w:rsidRPr="00762161">
        <w:t>Alternative Indicators</w:t>
      </w:r>
      <w:bookmarkEnd w:id="237"/>
      <w:bookmarkEnd w:id="238"/>
    </w:p>
    <w:p w:rsidR="00887B76" w:rsidRPr="00762161" w:rsidRDefault="00887B76" w:rsidP="009D61A9">
      <w:pPr>
        <w:spacing w:before="480"/>
        <w:rPr>
          <w:szCs w:val="24"/>
        </w:rPr>
      </w:pPr>
      <w:r>
        <w:rPr>
          <w:szCs w:val="24"/>
        </w:rPr>
        <w:t xml:space="preserve">This study has looked at stock prices as the exclusive economic indicator, and in doing so glossed over many alternative leading indicators. Term spreads, interest rate movements, default spreads, </w:t>
      </w:r>
      <w:r w:rsidR="00AC5806">
        <w:rPr>
          <w:szCs w:val="24"/>
        </w:rPr>
        <w:t xml:space="preserve">M1, M2, M3 money supply </w:t>
      </w:r>
      <w:r>
        <w:rPr>
          <w:szCs w:val="24"/>
        </w:rPr>
        <w:t xml:space="preserve">and house purchase rates are some of a long line in economic indicators. Stock prices have been looked at in isolation firstly, due to the narrow scope of the study, but secondly and more importantly because stock prices are readily available and easily interpreted. </w:t>
      </w:r>
      <w:r w:rsidR="00511EA3" w:rsidRPr="00762161">
        <w:rPr>
          <w:szCs w:val="24"/>
        </w:rPr>
        <w:t>Ibrahim (2010) argues</w:t>
      </w:r>
      <w:r w:rsidR="00511EA3">
        <w:rPr>
          <w:szCs w:val="24"/>
        </w:rPr>
        <w:t xml:space="preserve"> a similar point,</w:t>
      </w:r>
      <w:r w:rsidR="00511EA3" w:rsidRPr="00762161">
        <w:rPr>
          <w:szCs w:val="24"/>
        </w:rPr>
        <w:t xml:space="preserve"> that stock prices have the edge as a predictor of real activity since stock price data is readily available. Yet the author argues that the major downside of stock prices is that they contain a substantial amount of noise.</w:t>
      </w:r>
      <w:r w:rsidR="00511EA3">
        <w:rPr>
          <w:szCs w:val="24"/>
        </w:rPr>
        <w:t xml:space="preserve"> </w:t>
      </w:r>
      <w:r>
        <w:rPr>
          <w:szCs w:val="24"/>
        </w:rPr>
        <w:t>Spreads</w:t>
      </w:r>
      <w:r w:rsidR="00AC5806">
        <w:rPr>
          <w:szCs w:val="24"/>
        </w:rPr>
        <w:t>, the money supply indicators</w:t>
      </w:r>
      <w:r>
        <w:rPr>
          <w:szCs w:val="24"/>
        </w:rPr>
        <w:t xml:space="preserve"> and house purchases are much tougher economic variables to conceptually gr</w:t>
      </w:r>
      <w:r w:rsidR="003F5E0F">
        <w:rPr>
          <w:szCs w:val="24"/>
        </w:rPr>
        <w:t>asp and intuitively understand, and therefore have not been focused empirically on.</w:t>
      </w:r>
    </w:p>
    <w:p w:rsidR="009D61A9" w:rsidRPr="00762161" w:rsidRDefault="00457FC5" w:rsidP="009D61A9">
      <w:pPr>
        <w:spacing w:before="480"/>
      </w:pPr>
      <w:r>
        <w:lastRenderedPageBreak/>
        <w:t xml:space="preserve">There are in fact large arrays of indicators that have had varying success at indicating placement, within the business cycle model, of the economy. </w:t>
      </w:r>
      <w:r w:rsidR="009D61A9" w:rsidRPr="00762161">
        <w:t xml:space="preserve">Hall (2002), as cited in Stock &amp; Watson (2003a), state the Conference Board’s Index of Coincident Indicators: employment in non-agricultural business, industrial production, real personal income less transfers, and real manufacturing and trade sales. Employment is the particularly interesting variable in these indicators and will be further explained by Park (1997). Stock &amp; Watson (2003a: 8) give a further breakdown of each indicators and the impact on real activity. Stock prices, under the banner of the S&amp;P 500, have been grouped into leading indicators. Inspection </w:t>
      </w:r>
      <w:r w:rsidR="00AC5806">
        <w:t xml:space="preserve">of the author’s results </w:t>
      </w:r>
      <w:r w:rsidR="009D61A9" w:rsidRPr="00762161">
        <w:t>reveals some of the leading indicators moved in advance of economic contraction, during the 2001 recession, and others did not. The term spread, the ten year Treasury bond rate minus the federal funds rate, provided the clearest signal that the economy was slowing: the long government rate was less than the federal</w:t>
      </w:r>
      <w:r w:rsidR="00AC5806">
        <w:t xml:space="preserve"> funds rate from June</w:t>
      </w:r>
      <w:r w:rsidR="009D61A9" w:rsidRPr="00762161">
        <w:t xml:space="preserve"> 2000 through March 2001. Of particular importance to this study is the point that the decline in the stock market through the second half of 2000 also presaged further declines in the economy. New claims for the unemployment insurance rose sharply over 2000 signalling a slowdown in economic activity. In contrast, other indicators, particularly series related to consumer spending, were strong throughout the first quarters of the recession. Housing starts fell sharply during the 1990 recession but remained strong through 2000. The consumer expectation series remained above 100 throughout 2000 reflecting overall positive consumer expectations. Although new capital goods orders dropped off sharply, that decline was contemporaneous with the decline in GDP, and in this sense new capital goods orders did not forecast the onset of the recession. The paper bill spread provided no signal of the recession: although it moved briefly up in October 1998, October 1999, and June 2000, the spread was small and declining from August 2000 through the end of 2001, and the forecast of output growth based in the paper bill spread remained steady and strong. In contrast, the junk bond spread ros</w:t>
      </w:r>
      <w:r w:rsidR="004E0ED6">
        <w:t>e sharply in 1998, levelled off</w:t>
      </w:r>
      <w:r w:rsidR="009D61A9" w:rsidRPr="00762161">
        <w:t xml:space="preserve"> and then rose again in 2000. The junk bond spread correctly predicted a substantial slowing in the growth rate </w:t>
      </w:r>
      <w:r w:rsidR="009D61A9" w:rsidRPr="00762161">
        <w:lastRenderedPageBreak/>
        <w:t>of output during 2001; however it incorrectly predicted a slowdown during 1998. Finally the real M2 performed particularly poorly; the strong growth of the money supply before and during the recession led to M2-based output forecasts that were far too optimistic. Stock &amp; Watson (2003) emphasize that the main reason for Mitchell &amp; Burns (1938) looking at a wide array of indicators was that each measured a different feature of economic activity, which in turn can play different roles in different recessions. Yet Stock &amp; Watson (2003) reach the conclusion that leading indicators</w:t>
      </w:r>
      <w:r>
        <w:t>, with stock prices performing the</w:t>
      </w:r>
      <w:r w:rsidR="009D61A9" w:rsidRPr="00762161">
        <w:t xml:space="preserve"> pivotal role here, do provide some warning for economic difficulties.</w:t>
      </w:r>
    </w:p>
    <w:p w:rsidR="009D61A9" w:rsidRPr="00762161" w:rsidRDefault="009D61A9" w:rsidP="009D61A9">
      <w:pPr>
        <w:spacing w:before="480"/>
      </w:pPr>
      <w:r w:rsidRPr="00762161">
        <w:t>Park (1997) uses a number of alternative explanatory variables as well as the core variables which this study will consider, such as employment, and retail sales, (as a proxy for economic activity) in an effort to evaluate their relationship with stock prices. Overall the empirical results support the hypothesis that the stock market’s reaction to an economic variable reflects the variable’s effects on future corporate cash flows and inflation. Stock returns are found to be related mostly negatively with employment growth and mostly positively with GDP growth. Based on annual S&amp;P 500 data between 1956 and 1995, employment growth is shown to have no positive effect on future cash flows and a strong positive effect on future inflation. In fact an increase in employment by 1</w:t>
      </w:r>
      <w:r w:rsidR="007A6B4B">
        <w:t xml:space="preserve">% </w:t>
      </w:r>
      <w:r w:rsidRPr="00762161">
        <w:t>is associated with a decrease in cash flow of about 1.5</w:t>
      </w:r>
      <w:r w:rsidR="007A6B4B">
        <w:t xml:space="preserve">% </w:t>
      </w:r>
      <w:r w:rsidRPr="00762161">
        <w:t>and an increase in inflation of 0.62</w:t>
      </w:r>
      <w:r w:rsidR="007A6B4B">
        <w:t xml:space="preserve">% </w:t>
      </w:r>
      <w:r w:rsidRPr="00762161">
        <w:t>in the following year. The effects of GDP growth are not</w:t>
      </w:r>
      <w:r w:rsidR="00586872">
        <w:t xml:space="preserve"> as</w:t>
      </w:r>
      <w:r w:rsidRPr="00762161">
        <w:t xml:space="preserve"> clear as those of employment growth but still appear to be relatively large on cash flows and small on inflation.  The author further explains why employment growth is highly correlated with future inflation but not w</w:t>
      </w:r>
      <w:r w:rsidR="00586872">
        <w:t>ith future corporate cash flows:</w:t>
      </w:r>
      <w:r w:rsidRPr="00762161">
        <w:t xml:space="preserve"> </w:t>
      </w:r>
      <w:r w:rsidR="00586872">
        <w:t xml:space="preserve">(1) </w:t>
      </w:r>
      <w:r w:rsidRPr="00762161">
        <w:t xml:space="preserve">employment growth has a large effect on aggregate demand because the newly employed people have a high propensity to consume a significantly large portion of the salary. </w:t>
      </w:r>
      <w:r w:rsidR="00586872">
        <w:t>(2)</w:t>
      </w:r>
      <w:r w:rsidRPr="00762161">
        <w:t xml:space="preserve"> </w:t>
      </w:r>
      <w:r w:rsidR="00586872">
        <w:t>F</w:t>
      </w:r>
      <w:r w:rsidRPr="00762161">
        <w:t xml:space="preserve">ast employment growth may be associated with tight labour markets in which labour gains at the expense of capital, in which case, corporate cash flows are not likely to be positively influenced by employment growth. Park (1997) </w:t>
      </w:r>
      <w:r w:rsidRPr="00762161">
        <w:lastRenderedPageBreak/>
        <w:t xml:space="preserve">therefore concludes that the stock market negatively reacts to a high rate of employment growth. In contrast, Geske &amp; Roll (1983) find, through the empirical regression analysis, </w:t>
      </w:r>
      <w:r w:rsidR="004E0ED6">
        <w:t xml:space="preserve">that </w:t>
      </w:r>
      <w:r w:rsidRPr="00762161">
        <w:t>the stock market</w:t>
      </w:r>
      <w:r w:rsidR="004E0ED6">
        <w:t>’</w:t>
      </w:r>
      <w:r w:rsidRPr="00762161">
        <w:t xml:space="preserve">s return is a statistically significant predictor of </w:t>
      </w:r>
      <w:r w:rsidR="004E0ED6">
        <w:t xml:space="preserve">the </w:t>
      </w:r>
      <w:r w:rsidRPr="00762161">
        <w:t>next quarters change in the unemployment rate. A high stock market return presages a reduction in the rate of unemployment during the subsequent quarter. Most of the predictive content of unemployment by stock market returns is in the first lagged quarter but the second lag is marginally significant.</w:t>
      </w:r>
    </w:p>
    <w:p w:rsidR="009D61A9" w:rsidRPr="00762161" w:rsidRDefault="009D61A9" w:rsidP="009D61A9">
      <w:pPr>
        <w:spacing w:before="480"/>
      </w:pPr>
      <w:r w:rsidRPr="00762161">
        <w:t xml:space="preserve">Stock prices can also be looked at from a lagging point of view. Fama (1990) finds evidence </w:t>
      </w:r>
      <w:r w:rsidR="00511EA3">
        <w:t xml:space="preserve">stating </w:t>
      </w:r>
      <w:r w:rsidRPr="00762161">
        <w:t xml:space="preserve">that variables </w:t>
      </w:r>
      <w:r w:rsidR="00511EA3">
        <w:t>which</w:t>
      </w:r>
      <w:r w:rsidRPr="00762161">
        <w:t xml:space="preserve"> measure</w:t>
      </w:r>
      <w:r w:rsidR="00511EA3">
        <w:t>: (1)</w:t>
      </w:r>
      <w:r w:rsidRPr="00762161">
        <w:t xml:space="preserve"> time varying expected returns</w:t>
      </w:r>
      <w:r w:rsidR="00511EA3">
        <w:t>,</w:t>
      </w:r>
      <w:r w:rsidRPr="00762161">
        <w:t xml:space="preserve"> and </w:t>
      </w:r>
      <w:r w:rsidR="00511EA3">
        <w:t xml:space="preserve">(2) </w:t>
      </w:r>
      <w:r w:rsidRPr="00762161">
        <w:t>shocks to expected returns capture 30% of the variance of annual real returns on the value weighted portfolio of</w:t>
      </w:r>
      <w:r w:rsidR="007A6B4B">
        <w:t xml:space="preserve"> </w:t>
      </w:r>
      <w:r w:rsidR="00B035F8">
        <w:t>NYSE</w:t>
      </w:r>
      <w:r w:rsidR="007A6B4B">
        <w:t xml:space="preserve"> </w:t>
      </w:r>
      <w:r w:rsidRPr="00762161">
        <w:t xml:space="preserve">stocks. Future growth rates of industrial production, which the author uses to proxy for shocks to expected cash flows, explain 43% of the </w:t>
      </w:r>
      <w:r w:rsidR="004E0ED6">
        <w:t>variance of annual returns. Yet</w:t>
      </w:r>
      <w:r w:rsidRPr="00762161">
        <w:t xml:space="preserve"> production growth rates, expected returns, and shocks to expected returns are all related to business conditions, the combined explanatory power of the variables – about 58% of the variance of annual returns – is less than the sum of their separate explanatory powers. From a market efficiency standpoint, an argument can be made that the variance explained is understated because the explanatory variables do not capture all of the rational variation in returns. Alternatively, the variance explained is overstated because the explanatory variables are chosen largely on the basis of goodness of fit. In dispute of this,</w:t>
      </w:r>
      <w:r w:rsidR="00511EA3">
        <w:t xml:space="preserve"> Fama (1981) conducts tests whic</w:t>
      </w:r>
      <w:r w:rsidRPr="00762161">
        <w:t>h show that the stock return is never led by any of the real variables, and industrial production is the only real variable that shows a strong contemporaneous relation with the stock return.</w:t>
      </w:r>
    </w:p>
    <w:p w:rsidR="009D61A9" w:rsidRPr="00762161" w:rsidRDefault="009D61A9" w:rsidP="009D61A9">
      <w:pPr>
        <w:spacing w:before="480"/>
      </w:pPr>
      <w:r w:rsidRPr="00762161">
        <w:t xml:space="preserve">Ferson &amp; Harvey (1991) broke their study’s regressions into information and economic variables. The authors find that among these variables, the risk premium associated with the stock market index captures the largest component of the predictable variation in the stock </w:t>
      </w:r>
      <w:r w:rsidRPr="00762161">
        <w:lastRenderedPageBreak/>
        <w:t>returns. The premiums associated with term structure shifts and default spreads are the most important variables for the fixed income securities. The authors’ findings strengthen the evidence that the predictability of returns is attributable to time varying, rationally expected returns.</w:t>
      </w:r>
    </w:p>
    <w:p w:rsidR="009D61A9" w:rsidRPr="00762161" w:rsidRDefault="004E2181" w:rsidP="009D61A9">
      <w:pPr>
        <w:spacing w:before="480"/>
      </w:pPr>
      <w:r>
        <w:t>Cheung &amp; Ng (1998)</w:t>
      </w:r>
      <w:r w:rsidR="009D61A9" w:rsidRPr="00762161">
        <w:t xml:space="preserve"> use macroeconomic variables which are proxies for measures of aggregate economic activity, including the real oil price, real GNP, real money supply, and real consumption. GNP is used as it is an excellent measure of the overall economic activity that affects stock prices through the influence that it has on the future cash flows</w:t>
      </w:r>
      <w:r w:rsidR="00511EA3">
        <w:t>, as previously explained</w:t>
      </w:r>
      <w:r w:rsidR="009D61A9" w:rsidRPr="00762161">
        <w:t xml:space="preserve">. The money supply is a function of the stock market in a multitude of ways, in one instance; the portfolio balance model suggests that an increase in money supply leads to a shift from noninterest bearing money to financial assets including equities. Money supply fluctuations can also affect the stock market through effects on inflationary uncertainty, which begs the question whether using an inflation variable is sufficient to proxy for the effect which the author is undoubtedly trying to capture. Mandelker &amp; Tandon (1985) show that future growth rates in the real GNP and money growth rates have a positive impact in their sample of six major industrialized countries. Asprem (1989) finds that the expectations of future real activity and the measures of money are positively related to stock prices in their sample of ten European Countries. </w:t>
      </w:r>
    </w:p>
    <w:p w:rsidR="009D61A9" w:rsidRPr="00762161" w:rsidRDefault="004E2181" w:rsidP="009D61A9">
      <w:pPr>
        <w:spacing w:before="480"/>
      </w:pPr>
      <w:r>
        <w:t>Cheung &amp; Ng (1998)</w:t>
      </w:r>
      <w:r w:rsidR="009D61A9" w:rsidRPr="00762161">
        <w:t xml:space="preserve"> use oil prices to capture possible effects of external shocks on output and price developments in their sample of industrialized countries. Chen, Roll &amp; Ross (1986) suggest that oil prices are a good measure of economic risk in the U.S. stock market, although the authors find that there is no priori reason to believe that innovations in oil prices should have the same degree of influence as, GNP or industrial production. Chaudhuri &amp; Smiles (2004) showed that an increase in oil prices will lead to an increase in production costs, and hence </w:t>
      </w:r>
      <w:r w:rsidR="009D61A9" w:rsidRPr="00762161">
        <w:lastRenderedPageBreak/>
        <w:t>decreased future cash flows leading to a negative impact on the stock market. Consequently, the sign of the covariance between the stock market and oil prices is negative. Ferson &amp; Harvey (1993) find that changes in the U.S. crude oil prices contribute a significant source of global economic risk in the 18 national equity markets in their sa</w:t>
      </w:r>
      <w:r w:rsidR="004E0ED6">
        <w:t xml:space="preserve">mple. </w:t>
      </w:r>
      <w:r>
        <w:t>Cheung &amp; Ng (1998)</w:t>
      </w:r>
      <w:r w:rsidR="004E0ED6">
        <w:t xml:space="preserve"> find</w:t>
      </w:r>
      <w:r w:rsidR="009D61A9" w:rsidRPr="00762161">
        <w:t xml:space="preserve"> that the effect of money supply on the stock price is ambiguous. Yet after adjusting for possible finite sample biases, the authors find that real stock market ind</w:t>
      </w:r>
      <w:r w:rsidR="004E0ED6">
        <w:t>ices</w:t>
      </w:r>
      <w:r w:rsidR="009D61A9" w:rsidRPr="00762161">
        <w:t xml:space="preserve"> are typically cointegrated with measures of the countries aggregate real activity such as real oil price, real consumption, real money stock, and real output. In contrast Stock and Watson (2003a) find that oil prices performed poorly as an indicator for the 2001 recession.</w:t>
      </w:r>
    </w:p>
    <w:p w:rsidR="009D61A9" w:rsidRDefault="004E0ED6" w:rsidP="009D61A9">
      <w:pPr>
        <w:spacing w:before="480"/>
      </w:pPr>
      <w:r>
        <w:t>Stock &amp; Watson (2003b) explain</w:t>
      </w:r>
      <w:r w:rsidR="009D61A9" w:rsidRPr="00762161">
        <w:t xml:space="preserve"> in detail, the impact of the differing indicators for economic activity. Firstly, short term interest rates have long been used as predictors of both output and inflation. The authors find that most of the research involving interest rate spreads has found that the level of a short rate has small marginal predictive content for output once the different interest rate spreads are included in the regression analyses.  Interest rates are a crucial element in the determination of investment simply because they are used from a cost of capital perspective (Fischer &amp; Merton, 1984). </w:t>
      </w:r>
    </w:p>
    <w:p w:rsidR="00F86BBE" w:rsidRPr="00762161" w:rsidRDefault="00F86BBE" w:rsidP="00F86BBE">
      <w:pPr>
        <w:spacing w:before="480"/>
      </w:pPr>
      <w:r w:rsidRPr="00762161">
        <w:t>Geske &amp; Roll (1983:</w:t>
      </w:r>
      <w:r>
        <w:t xml:space="preserve"> </w:t>
      </w:r>
      <w:r w:rsidRPr="00762161">
        <w:t xml:space="preserve">23) emphasize that interest rates are determined by market participants who realise that stock returns predict change in Treasury borrowing and a possible change in base money. Although these latter effects may evolve slowly, they will be anticipated and impounded into current market rates. Even though stock market returns signal interest rate changes because other macroeconomic variables react with a lag, stock returns and interest rate changes should be contemporaneously correlated. The true signalling link is: stock returns forecast real activity and anticipations of macroeconomic changes which cause interest rate changes. The authors conduct empirical tests and through OLS calculations, they find a significant negative signal of stock </w:t>
      </w:r>
      <w:r w:rsidRPr="00762161">
        <w:lastRenderedPageBreak/>
        <w:t>returns for real rates during 1971-1980 sample period. The overall period has a negative coefficient but is not significant, and the 1953</w:t>
      </w:r>
      <w:r>
        <w:t>-</w:t>
      </w:r>
      <w:r w:rsidRPr="00762161">
        <w:t>1971 period actually has a positive and marginally significant coefficient.</w:t>
      </w:r>
    </w:p>
    <w:p w:rsidR="00F86BBE" w:rsidRPr="00762161" w:rsidRDefault="00F86BBE" w:rsidP="00F86BBE">
      <w:pPr>
        <w:spacing w:before="480"/>
      </w:pPr>
      <w:r w:rsidRPr="00762161">
        <w:t xml:space="preserve">Fischer &amp; Merton (1984) conclude that to use the real interest rate as an indicator of investment can be misleading. The reason is precisely because stock prices can move as a result of changes in both expected earnings and discount </w:t>
      </w:r>
      <w:r w:rsidR="00634027" w:rsidRPr="00762161">
        <w:t>rates;</w:t>
      </w:r>
      <w:r w:rsidRPr="00762161">
        <w:t xml:space="preserve"> stock prices are likely to provide a better indicator of investment prospects than do interest rates. The authors also conduct empirical tests that are consistent with the concept that the influence of stock price changes on investment is more predictable and stronger than that of debt market interest rates. Thus, if the monetary authorities are concerned with investme</w:t>
      </w:r>
      <w:r w:rsidR="004E0ED6">
        <w:t>nt</w:t>
      </w:r>
      <w:r w:rsidRPr="00762161">
        <w:t xml:space="preserve"> then intervention in the stock, rather than debt, market would seem to be a more effective way to move investment in the direction that they desire.</w:t>
      </w:r>
    </w:p>
    <w:p w:rsidR="009D61A9" w:rsidRPr="00762161" w:rsidRDefault="009D61A9" w:rsidP="009D61A9">
      <w:pPr>
        <w:spacing w:before="480"/>
      </w:pPr>
      <w:r w:rsidRPr="00762161">
        <w:t>Bernanke &amp; Blinder (1992</w:t>
      </w:r>
      <w:r w:rsidR="007D1CE9">
        <w:t>)</w:t>
      </w:r>
      <w:r w:rsidRPr="00762161">
        <w:t xml:space="preserve"> state that the term spread of government debt is a crucial element in the prediction of economic activity because the term spread is an indicator of an effective monetary policy: monetary tightening results in short term interest rates that are high, relative to long term interest rates and these high short rates in turn produce an economic slowdown. Interestingly, </w:t>
      </w:r>
      <w:r w:rsidR="00347C89">
        <w:t xml:space="preserve">Smets &amp; Tsatsaronis (1997), show </w:t>
      </w:r>
      <w:r w:rsidRPr="00762161">
        <w:t>that when term spread is placed within a multivariate model, the predictive power of the spread can change if monetary policy changes or the composition of economic shocks changes. Estrella &amp; Hardouvelis (1991) provides evidence of the strong in sample predictive content of the term spread for output, including its ability to predict a binary recession indicator in probit regressions. Estrella &amp; Mishkin (1998) find that the term spread and the stock price indexes are the most useful and powerful financial indicators.</w:t>
      </w:r>
    </w:p>
    <w:p w:rsidR="00237060" w:rsidRDefault="009D61A9" w:rsidP="009D61A9">
      <w:pPr>
        <w:spacing w:before="480"/>
      </w:pPr>
      <w:r w:rsidRPr="00762161">
        <w:t>Stock &amp; Watson (2003b) emphasize that the term spread is excellent indicator for real output</w:t>
      </w:r>
      <w:r w:rsidR="004E0ED6">
        <w:t>,</w:t>
      </w:r>
      <w:r w:rsidRPr="00762161">
        <w:t xml:space="preserve"> but its primary function stems from the elements of monetary policy which it incorporates. Term </w:t>
      </w:r>
      <w:r w:rsidRPr="00762161">
        <w:lastRenderedPageBreak/>
        <w:t xml:space="preserve">spread should thus be used from a policy implementation and feasibility point of view because its strength lies in the ability to convey information to the relevant authorities regarding monetary issues, the significance of this would be especially amplified during </w:t>
      </w:r>
      <w:r w:rsidR="007D1CE9">
        <w:t>peaks</w:t>
      </w:r>
      <w:r w:rsidRPr="00762161">
        <w:t xml:space="preserve"> or </w:t>
      </w:r>
      <w:r w:rsidR="007D1CE9">
        <w:t>troughs</w:t>
      </w:r>
      <w:r w:rsidRPr="00762161">
        <w:t xml:space="preserve"> in the business cycle. Both the term structure and the paper bill spread are affected in a systematic way by monetary and fiscal policy initiatives and may thus provide a signal of changes in the stance of policy makers. Stock prices are systematically affected by any factor that has influence on the expected future profitability of the firm, and as such may have advantages over interest rate based predictive variables that respond primarily to fiscal and monetary policies (Henry, Olekalns, &amp; Thong, 2004). </w:t>
      </w:r>
    </w:p>
    <w:p w:rsidR="009D61A9" w:rsidRPr="00762161" w:rsidRDefault="009D61A9" w:rsidP="009D61A9">
      <w:pPr>
        <w:spacing w:before="480"/>
      </w:pPr>
      <w:r w:rsidRPr="00762161">
        <w:t>Black (1976), as cited in Fischer &amp; Merton (1984), found empirical evidence that stock price changes are negatively correlated with changes in the variance of stock returns. Therefore, caution must be exercised when using the change in interest rate as a proxy for the change in the cost of capital in periods when both the stock market and the real interest rate rises, as commonly appears. Chaudhuri &amp; Smiles (2004) using a multivariate cointegration method</w:t>
      </w:r>
      <w:r w:rsidR="007D1CE9">
        <w:t>ology document</w:t>
      </w:r>
      <w:r w:rsidRPr="00762161">
        <w:t xml:space="preserve"> that evidence from alternative sources of stock return deviation, such as term spread, do</w:t>
      </w:r>
      <w:r w:rsidR="004E0ED6">
        <w:t>es</w:t>
      </w:r>
      <w:r w:rsidRPr="00762161">
        <w:t xml:space="preserve"> not provide substantial additional information on the Australian stock exchange. Estrella &amp; Mishkin (1998) concluded that stock prices provide information that is not contained in the term spread, and which is useful in predicting future recessions.</w:t>
      </w:r>
    </w:p>
    <w:p w:rsidR="009D61A9" w:rsidRPr="00762161" w:rsidRDefault="009D61A9" w:rsidP="009D61A9">
      <w:pPr>
        <w:spacing w:before="480"/>
      </w:pPr>
      <w:r w:rsidRPr="00762161">
        <w:t>Chen, Roll &amp; Ross (1986) found, through their empirical analysis, that those stocks which are negatively related unanticipated changes in term structure</w:t>
      </w:r>
      <w:r w:rsidR="00F86BBE">
        <w:t xml:space="preserve"> are more valuable. </w:t>
      </w:r>
      <w:r w:rsidRPr="00762161">
        <w:t xml:space="preserve">The author interprets this to mean that a change in the long term real rate of interest will cause a change on the real return on any form of capital. Investors who want protection against this possibility will place a relatively higher value on assets whose price increases when long term real rates decline </w:t>
      </w:r>
      <w:r w:rsidRPr="00762161">
        <w:lastRenderedPageBreak/>
        <w:t xml:space="preserve">and such assets carry a negative risk premium. Therefore these stocks will not be at their intrinsically correct value and as such will not be a good predictor for economic activity. </w:t>
      </w:r>
    </w:p>
    <w:p w:rsidR="009D61A9" w:rsidRPr="00762161" w:rsidRDefault="009D61A9" w:rsidP="009D61A9">
      <w:pPr>
        <w:spacing w:before="480"/>
      </w:pPr>
      <w:r w:rsidRPr="00762161">
        <w:t>Despite its shortcomings as an indicator, the interest rate, because it is observable, appears to be a tangible number making it attractive as an estimate of the cost of capital and thus of possible investment prospects. However this seemingly attractive aspect of the interest rate may be somewhat illusory for two key reasons. Firstly, the real interest rate on nominal bonds is not a tangible and fixed number, and this is particularly true for long term real interest rates which are more pertinent to investment, and consequently the term spread. Secondly, even if the real interest rate were observable and even if it were the appropriate measure of the cost of capital, changes in this rate, similar to changes in stock prices, can occur either because earnings prospects have changed, with a consequent shift in demand for funds, or because the quantity of funds supplied at a given interest rate has changed. An improvement in investment prospects will cause firms to increase borrowing and thereby drive up the real interest rate through their increased demand. If changes in the real interest rate are primarily the result of</w:t>
      </w:r>
      <w:r w:rsidR="007D1CE9">
        <w:t xml:space="preserve"> shifts in the demand for funds</w:t>
      </w:r>
      <w:r w:rsidRPr="00762161">
        <w:t xml:space="preserve"> caused, for example, by changes in the estimates of future earnings, high real interest rates will be associated with higher rather than low investment (Fischer &amp; Merton, 1984).</w:t>
      </w:r>
    </w:p>
    <w:p w:rsidR="009D61A9" w:rsidRPr="00762161" w:rsidRDefault="009D61A9" w:rsidP="003F5E0F">
      <w:pPr>
        <w:autoSpaceDE w:val="0"/>
        <w:autoSpaceDN w:val="0"/>
        <w:adjustRightInd w:val="0"/>
        <w:spacing w:before="0" w:after="0"/>
      </w:pPr>
      <w:r w:rsidRPr="003F5E0F">
        <w:rPr>
          <w:rFonts w:cs="Times New Roman"/>
          <w:szCs w:val="24"/>
        </w:rPr>
        <w:t>Plosser &amp; Rouwenhorst (1994) considered multiple regressions that included the level and the change of interest rates concluding that given the level of the spread, the short rate has little predictive power for output in almost all of the economies that were in their sample. Smets &amp; Tsatsaronis (1997), find instability in the yield curve-output relation in the U.S. and Germany in their 10 year sample period. Another issue is the relatively low financial market liquidity of emerging markets, South Africa and the JSE are no exception here</w:t>
      </w:r>
      <w:r w:rsidR="004E0ED6" w:rsidRPr="003F5E0F">
        <w:rPr>
          <w:rFonts w:cs="Times New Roman"/>
          <w:szCs w:val="24"/>
        </w:rPr>
        <w:t>,</w:t>
      </w:r>
      <w:r w:rsidRPr="003F5E0F">
        <w:rPr>
          <w:rFonts w:cs="Times New Roman"/>
          <w:szCs w:val="24"/>
        </w:rPr>
        <w:t xml:space="preserve"> </w:t>
      </w:r>
      <w:r w:rsidR="003F5E0F">
        <w:rPr>
          <w:rFonts w:cs="Times New Roman"/>
          <w:szCs w:val="24"/>
        </w:rPr>
        <w:t xml:space="preserve">Jefferis &amp; Smith (2005) show that although </w:t>
      </w:r>
      <w:r w:rsidR="003F5E0F" w:rsidRPr="003F5E0F">
        <w:rPr>
          <w:rFonts w:cs="Times New Roman"/>
          <w:szCs w:val="24"/>
          <w:lang w:val="en-ZA"/>
        </w:rPr>
        <w:t xml:space="preserve">South Africa was </w:t>
      </w:r>
      <w:r w:rsidR="003F5E0F">
        <w:rPr>
          <w:rFonts w:cs="Times New Roman"/>
          <w:szCs w:val="24"/>
          <w:lang w:val="en-ZA"/>
        </w:rPr>
        <w:t xml:space="preserve">ranked the </w:t>
      </w:r>
      <w:r w:rsidR="003F5E0F" w:rsidRPr="003F5E0F">
        <w:rPr>
          <w:rFonts w:cs="Times New Roman"/>
          <w:szCs w:val="24"/>
          <w:lang w:val="en-ZA"/>
        </w:rPr>
        <w:t xml:space="preserve">fifth largest emerging market (after China, </w:t>
      </w:r>
      <w:r w:rsidR="003F5E0F" w:rsidRPr="003F5E0F">
        <w:rPr>
          <w:rFonts w:cs="Times New Roman"/>
          <w:szCs w:val="24"/>
          <w:lang w:val="en-ZA"/>
        </w:rPr>
        <w:lastRenderedPageBreak/>
        <w:t>Taiwan, South Korea and India), and the 18</w:t>
      </w:r>
      <w:r w:rsidR="003F5E0F" w:rsidRPr="003F5E0F">
        <w:rPr>
          <w:rFonts w:cs="Times New Roman"/>
          <w:szCs w:val="24"/>
          <w:vertAlign w:val="superscript"/>
          <w:lang w:val="en-ZA"/>
        </w:rPr>
        <w:t>th</w:t>
      </w:r>
      <w:r w:rsidR="003F5E0F">
        <w:rPr>
          <w:rFonts w:cs="Times New Roman"/>
          <w:szCs w:val="24"/>
          <w:lang w:val="en-ZA"/>
        </w:rPr>
        <w:t xml:space="preserve"> </w:t>
      </w:r>
      <w:r w:rsidR="003F5E0F" w:rsidRPr="003F5E0F">
        <w:rPr>
          <w:rFonts w:cs="Times New Roman"/>
          <w:szCs w:val="24"/>
          <w:lang w:val="en-ZA"/>
        </w:rPr>
        <w:t>largest equity market in the world</w:t>
      </w:r>
      <w:r w:rsidR="003F5E0F">
        <w:rPr>
          <w:rFonts w:cs="Times New Roman"/>
          <w:szCs w:val="24"/>
          <w:lang w:val="en-ZA"/>
        </w:rPr>
        <w:t xml:space="preserve">, it still lacks the liquidity of developed countries. This together with </w:t>
      </w:r>
      <w:r w:rsidR="003F5E0F" w:rsidRPr="003F5E0F">
        <w:rPr>
          <w:rFonts w:cs="Times New Roman"/>
          <w:szCs w:val="24"/>
        </w:rPr>
        <w:t>frequent</w:t>
      </w:r>
      <w:r w:rsidRPr="003F5E0F">
        <w:rPr>
          <w:rFonts w:cs="Times New Roman"/>
          <w:szCs w:val="24"/>
        </w:rPr>
        <w:t xml:space="preserve"> changes in financial structure </w:t>
      </w:r>
      <w:r w:rsidR="003F5E0F">
        <w:rPr>
          <w:rFonts w:cs="Times New Roman"/>
          <w:szCs w:val="24"/>
        </w:rPr>
        <w:t>implies</w:t>
      </w:r>
      <w:r w:rsidRPr="003F5E0F">
        <w:rPr>
          <w:rFonts w:cs="Times New Roman"/>
          <w:szCs w:val="24"/>
        </w:rPr>
        <w:t xml:space="preserve"> that other financial variables such as yield and term spreads are unlikely to possess high predictive</w:t>
      </w:r>
      <w:r w:rsidRPr="00762161">
        <w:t xml:space="preserve"> power with regard to output, and it is additionally quite difficult to identify a relevant yield spread for a sufficiently long period of time.</w:t>
      </w:r>
    </w:p>
    <w:p w:rsidR="00237060" w:rsidRDefault="009D61A9" w:rsidP="009D61A9">
      <w:pPr>
        <w:spacing w:before="480"/>
      </w:pPr>
      <w:r w:rsidRPr="00762161">
        <w:t xml:space="preserve">Stock &amp; Watson (2003b) research the impact that default spreads have on any real economic activity. A default spread is the difference between the interest rate on matched maturity private debt with different degrees </w:t>
      </w:r>
      <w:r w:rsidR="00284D70">
        <w:t>o</w:t>
      </w:r>
      <w:r w:rsidRPr="00762161">
        <w:t>f default risk. Stock &amp; Watson (1989) and Friedman &amp; Kuttner (1992</w:t>
      </w:r>
      <w:r w:rsidR="004E0ED6">
        <w:t>)</w:t>
      </w:r>
      <w:r w:rsidRPr="00762161">
        <w:t xml:space="preserve"> studied the default spread as a predictor of real growth in the post-war </w:t>
      </w:r>
      <w:r w:rsidR="00634027" w:rsidRPr="00762161">
        <w:t>period;</w:t>
      </w:r>
      <w:r w:rsidRPr="00762161">
        <w:t xml:space="preserve"> the authors found that the spread between commercial paper and the U.S. treasury bill of exactly the same maturity could be a potential predictor of output growth. The authors concluded that, upon controlling for the paper bill spread, monetary aggregates and interest rates have little predictive content for real output, which was later confirms by Bernanke &amp; Blinder (1992)</w:t>
      </w:r>
      <w:r w:rsidR="00284D70">
        <w:t>.</w:t>
      </w:r>
      <w:r w:rsidRPr="00762161">
        <w:t xml:space="preserve"> </w:t>
      </w:r>
    </w:p>
    <w:p w:rsidR="009D61A9" w:rsidRPr="00762161" w:rsidRDefault="009D61A9" w:rsidP="009D61A9">
      <w:pPr>
        <w:spacing w:before="480"/>
      </w:pPr>
      <w:r w:rsidRPr="00762161">
        <w:t>Friedman &amp; Kuttner</w:t>
      </w:r>
      <w:r w:rsidR="00F86BBE">
        <w:t xml:space="preserve"> (1992)</w:t>
      </w:r>
      <w:r w:rsidRPr="00762161">
        <w:t xml:space="preserve"> explains </w:t>
      </w:r>
      <w:r w:rsidR="00F86BBE">
        <w:t xml:space="preserve">that </w:t>
      </w:r>
      <w:r w:rsidRPr="00762161">
        <w:t>one true out-of-sample predictive failure of the paper bill spread was its failure to rise sharply in advance of the 1990-1991 U.S. recession. In their post mortem</w:t>
      </w:r>
      <w:r w:rsidR="00F86BBE">
        <w:t xml:space="preserve"> analysis</w:t>
      </w:r>
      <w:r w:rsidRPr="00762161">
        <w:t xml:space="preserve">, the authors suggested that this predictive failure arose because the 1990-1991 recession was caused in large part by nonmonetary events that would not have been detected by the paper bill spread. The authors further argued that there were changes in the commercial paper market unrelated to the recession that also led to this predictive failure. </w:t>
      </w:r>
    </w:p>
    <w:p w:rsidR="009D61A9" w:rsidRPr="00762161" w:rsidRDefault="009D61A9" w:rsidP="009D61A9">
      <w:pPr>
        <w:spacing w:before="480"/>
      </w:pPr>
      <w:r w:rsidRPr="00762161">
        <w:t xml:space="preserve">As was seen with term spreads, default spreads have a high monetary element to them, which also diminish their capability to predict real output changes if there is no monetary change accompanying these changes. Thus one could argue that the predictive element of spreads is an indirect predictive variable. The major strength of using stock prices to predict real activity lies </w:t>
      </w:r>
      <w:r w:rsidRPr="00762161">
        <w:lastRenderedPageBreak/>
        <w:t>in its direct nature. Bernanke (1990</w:t>
      </w:r>
      <w:r w:rsidR="00775515">
        <w:t>) and Bernanke &amp; Blinder (1992)</w:t>
      </w:r>
      <w:r w:rsidRPr="00762161">
        <w:t xml:space="preserve"> argued that the paper bill spread is a sensitive measure of monetary policy, and this is its main source of predictive cont</w:t>
      </w:r>
      <w:r w:rsidR="00284D70">
        <w:t>ent. Friedman &amp; Kuttner (1993</w:t>
      </w:r>
      <w:r w:rsidRPr="00762161">
        <w:t>) suggested that the spread is detecting influences of supply and demand, and by implication liquidity, in the market for private debt. Lastl</w:t>
      </w:r>
      <w:r w:rsidR="00F35C72">
        <w:t>y Stock &amp; Watson (2003b), argues</w:t>
      </w:r>
      <w:r w:rsidRPr="00762161">
        <w:t xml:space="preserve"> that the predictive content is largely coincidental, the consequence of one-time events.</w:t>
      </w:r>
    </w:p>
    <w:p w:rsidR="009D61A9" w:rsidRPr="00762161" w:rsidRDefault="009D61A9" w:rsidP="009D61A9">
      <w:pPr>
        <w:spacing w:before="480"/>
      </w:pPr>
      <w:r w:rsidRPr="00762161">
        <w:t>Housing represents a significantly large aspect of aggregate wealth and receives a noteworthy weight in the consumer price index in many countries, which is used as a measure with which to calculate inflation. More generally, housing is volatile and a cyclically sensitive sector and measures of real activity in the housing sector are known to be useful leading indicators of economic activity, suggesting a broader channel by which housing prices might forecast real activity (Stock &amp; Watson, 1989).</w:t>
      </w:r>
    </w:p>
    <w:p w:rsidR="009D61A9" w:rsidRPr="00762161" w:rsidRDefault="009D61A9" w:rsidP="009D61A9">
      <w:pPr>
        <w:spacing w:before="480"/>
      </w:pPr>
    </w:p>
    <w:p w:rsidR="009D61A9" w:rsidRPr="00762161" w:rsidRDefault="009D61A9" w:rsidP="009D61A9">
      <w:pPr>
        <w:pStyle w:val="Heading2"/>
        <w:numPr>
          <w:ilvl w:val="1"/>
          <w:numId w:val="8"/>
        </w:numPr>
        <w:spacing w:before="480"/>
      </w:pPr>
      <w:bookmarkStart w:id="239" w:name="_Toc282531626"/>
      <w:bookmarkStart w:id="240" w:name="_Toc286616314"/>
      <w:r w:rsidRPr="00762161">
        <w:t xml:space="preserve">Tobin’s (1969) </w:t>
      </w:r>
      <w:r w:rsidRPr="00762161">
        <w:rPr>
          <w:i/>
        </w:rPr>
        <w:t>q</w:t>
      </w:r>
      <w:bookmarkEnd w:id="239"/>
      <w:bookmarkEnd w:id="240"/>
    </w:p>
    <w:p w:rsidR="00237060" w:rsidRDefault="009D61A9" w:rsidP="005C07DE">
      <w:pPr>
        <w:rPr>
          <w:szCs w:val="24"/>
        </w:rPr>
      </w:pPr>
      <w:r w:rsidRPr="00762161">
        <w:t>Any attempt to investigate the interaction of the real economy with historical patterns in stock prices should take into account the primary factors that would influence the investment decision for the financial sector and production decisions in the real sector of the economy (</w:t>
      </w:r>
      <w:r w:rsidRPr="00762161">
        <w:rPr>
          <w:szCs w:val="24"/>
        </w:rPr>
        <w:t>Hassapis &amp; Kalyvitis, 2002). Brainard &amp; Tobin (1968), as cited in Hassapis &amp; Kalyvitis (2002), showed that capital formation is triggered when the market values new capital higher than its replacement cost (</w:t>
      </w:r>
      <w:r w:rsidRPr="00762161">
        <w:rPr>
          <w:i/>
          <w:szCs w:val="24"/>
        </w:rPr>
        <w:t>q</w:t>
      </w:r>
      <w:r w:rsidRPr="00762161">
        <w:rPr>
          <w:szCs w:val="24"/>
        </w:rPr>
        <w:t xml:space="preserve"> theory of investment). Therefore there is a close link between output and asset markets, as an exogenous rise in output or capital efficiency prompts a rise in private wealth and the value of equities leading to common movements in these markets. </w:t>
      </w:r>
    </w:p>
    <w:p w:rsidR="009D61A9" w:rsidRPr="00762161" w:rsidRDefault="009D61A9" w:rsidP="005C07DE">
      <w:pPr>
        <w:rPr>
          <w:szCs w:val="24"/>
        </w:rPr>
      </w:pPr>
      <w:r w:rsidRPr="00762161">
        <w:rPr>
          <w:szCs w:val="24"/>
        </w:rPr>
        <w:lastRenderedPageBreak/>
        <w:t xml:space="preserve">Tobin (1969) relates investment to </w:t>
      </w:r>
      <w:r w:rsidRPr="00762161">
        <w:rPr>
          <w:i/>
          <w:szCs w:val="24"/>
        </w:rPr>
        <w:t>q</w:t>
      </w:r>
      <w:r w:rsidRPr="00762161">
        <w:rPr>
          <w:szCs w:val="24"/>
        </w:rPr>
        <w:t xml:space="preserve">, which is the ratio of the markets valuation of capital to the cost of acquiring new capital. An increase in the potential return on capital or a decline in the markets discount rates will raise </w:t>
      </w:r>
      <w:r w:rsidRPr="00762161">
        <w:rPr>
          <w:i/>
          <w:szCs w:val="24"/>
        </w:rPr>
        <w:t>q</w:t>
      </w:r>
      <w:r w:rsidR="005C07DE">
        <w:rPr>
          <w:szCs w:val="24"/>
        </w:rPr>
        <w:t xml:space="preserve"> and thereby </w:t>
      </w:r>
      <w:r w:rsidR="00284D70">
        <w:rPr>
          <w:szCs w:val="24"/>
        </w:rPr>
        <w:t>increase</w:t>
      </w:r>
      <w:r w:rsidRPr="00762161">
        <w:rPr>
          <w:szCs w:val="24"/>
        </w:rPr>
        <w:t xml:space="preserve"> investments.</w:t>
      </w:r>
      <w:r w:rsidR="005C07DE">
        <w:rPr>
          <w:szCs w:val="24"/>
        </w:rPr>
        <w:t xml:space="preserve"> </w:t>
      </w:r>
      <w:r w:rsidRPr="00762161">
        <w:t xml:space="preserve">This variable is of crucial </w:t>
      </w:r>
      <w:r w:rsidR="00284D70" w:rsidRPr="00762161">
        <w:t>importance;</w:t>
      </w:r>
      <w:r w:rsidRPr="00762161">
        <w:t xml:space="preserve"> </w:t>
      </w:r>
      <w:r w:rsidRPr="00762161">
        <w:rPr>
          <w:i/>
        </w:rPr>
        <w:t>q</w:t>
      </w:r>
      <w:r w:rsidRPr="00762161">
        <w:t xml:space="preserve"> theory can rationalize a positive relation</w:t>
      </w:r>
      <w:r w:rsidR="00284D70">
        <w:t>ship</w:t>
      </w:r>
      <w:r w:rsidRPr="00762161">
        <w:t xml:space="preserve"> between the investment and current and lagged changes in stock market price, as estimated by Fama (1981) and Barro (1990). Tobin’s </w:t>
      </w:r>
      <w:r w:rsidRPr="00762161">
        <w:rPr>
          <w:i/>
        </w:rPr>
        <w:t>q</w:t>
      </w:r>
      <w:r w:rsidRPr="00762161">
        <w:t xml:space="preserve">, </w:t>
      </w:r>
      <w:r w:rsidR="005C07DE">
        <w:t>is essentially</w:t>
      </w:r>
      <w:r w:rsidRPr="00762161">
        <w:t xml:space="preserve"> an estimate of the ratio of total nominal market value of nonfinancial corporations (equity plus net debt) to capital stock at nominal reproduction costs.  The figures on the capital stock include estimates of depreciation.</w:t>
      </w:r>
    </w:p>
    <w:p w:rsidR="009D61A9" w:rsidRPr="00762161" w:rsidRDefault="009D61A9" w:rsidP="009D61A9">
      <w:pPr>
        <w:rPr>
          <w:szCs w:val="24"/>
        </w:rPr>
      </w:pPr>
      <w:r w:rsidRPr="00762161">
        <w:rPr>
          <w:szCs w:val="24"/>
        </w:rPr>
        <w:t xml:space="preserve">Barro (1990) states that the growth rate of investment relates to current and lagged values of proportionate changes in </w:t>
      </w:r>
      <w:r w:rsidRPr="00762161">
        <w:rPr>
          <w:i/>
          <w:szCs w:val="24"/>
        </w:rPr>
        <w:t>q</w:t>
      </w:r>
      <w:r w:rsidRPr="00762161">
        <w:rPr>
          <w:szCs w:val="24"/>
        </w:rPr>
        <w:t xml:space="preserve">. An important source of variation of </w:t>
      </w:r>
      <w:r w:rsidRPr="00762161">
        <w:rPr>
          <w:i/>
          <w:szCs w:val="24"/>
        </w:rPr>
        <w:t>q</w:t>
      </w:r>
      <w:r w:rsidRPr="00762161">
        <w:rPr>
          <w:szCs w:val="24"/>
        </w:rPr>
        <w:t xml:space="preserve"> is in the numerator, the market value of capital, </w:t>
      </w:r>
      <w:r w:rsidR="00284D70">
        <w:rPr>
          <w:szCs w:val="24"/>
        </w:rPr>
        <w:t xml:space="preserve">which </w:t>
      </w:r>
      <w:r w:rsidRPr="00762161">
        <w:rPr>
          <w:szCs w:val="24"/>
        </w:rPr>
        <w:t xml:space="preserve">is the change in stock market prices. Thus </w:t>
      </w:r>
      <w:r w:rsidRPr="00762161">
        <w:rPr>
          <w:i/>
          <w:szCs w:val="24"/>
        </w:rPr>
        <w:t>q</w:t>
      </w:r>
      <w:r w:rsidRPr="00762161">
        <w:rPr>
          <w:szCs w:val="24"/>
        </w:rPr>
        <w:t xml:space="preserve"> can rationalize a positive relation between investment and current and lagged changes in the stock markets prices.</w:t>
      </w:r>
    </w:p>
    <w:p w:rsidR="009D61A9" w:rsidRPr="00762161" w:rsidRDefault="009D61A9" w:rsidP="009D61A9">
      <w:pPr>
        <w:spacing w:before="480"/>
      </w:pPr>
      <w:r w:rsidRPr="00762161">
        <w:t xml:space="preserve">Using the specific, regression variables, Barro (1990) finds for the U.S. that lagged changes in real stock market prices have a great deal of explanatory power for the growth rate of investment. During the period since 1921 the stock market variable dramatically outperforms the standard </w:t>
      </w:r>
      <w:r w:rsidRPr="00762161">
        <w:rPr>
          <w:i/>
        </w:rPr>
        <w:t>q</w:t>
      </w:r>
      <w:r w:rsidRPr="00762161">
        <w:t xml:space="preserve">-type variable, when looking at investment and GDP growth as the respective dependant variables. From an empirical point of view, changes in </w:t>
      </w:r>
      <w:r w:rsidRPr="00762161">
        <w:rPr>
          <w:i/>
        </w:rPr>
        <w:t>q</w:t>
      </w:r>
      <w:r w:rsidRPr="00762161">
        <w:t xml:space="preserve"> are denominated by the movements in the market value of equity, while the changes in the value of net debt and in the stock of capital at estimated reproduction costs are relatively minor. The author explains that the main reason for these results is that the equity component of the </w:t>
      </w:r>
      <w:r w:rsidRPr="00762161">
        <w:rPr>
          <w:i/>
        </w:rPr>
        <w:t>q</w:t>
      </w:r>
      <w:r w:rsidRPr="00762161">
        <w:t xml:space="preserve"> variable turns out to be only a rough proxy for stock market value. The author shows further that in the presence of cash flow variables, such as contemporaneous and lagged values of after tax profits, the stock market variable retains significant predictive power for investment. The results also illustrate that this </w:t>
      </w:r>
      <w:r w:rsidRPr="00762161">
        <w:lastRenderedPageBreak/>
        <w:t xml:space="preserve">exogenous disturbance appears with a lag period of one year or more and it brings with it an expansion of investment expenditure and a further increase in profits. </w:t>
      </w:r>
    </w:p>
    <w:p w:rsidR="009D61A9" w:rsidRPr="00762161" w:rsidRDefault="009D61A9" w:rsidP="009D61A9">
      <w:pPr>
        <w:spacing w:before="480"/>
      </w:pPr>
      <w:r w:rsidRPr="00762161">
        <w:t xml:space="preserve">Hassapis &amp; Kalyvitis (2002) find from their empirical estimates of the main industrialized economies, within their sample, that unanticipated movements in output and </w:t>
      </w:r>
      <w:r w:rsidR="00627488">
        <w:t>Real Stock Price</w:t>
      </w:r>
      <w:r w:rsidRPr="00762161">
        <w:t xml:space="preserve">s play a role in future economic growth and market valuation of capital, and, furthermore, the responses of growth and real stock returns, after unanticipated shocks in these variables, move in the same direction across countries and data frequencies. The authors state that the results are robust, even though the </w:t>
      </w:r>
      <w:r w:rsidR="00D879C4">
        <w:t>G7</w:t>
      </w:r>
      <w:r w:rsidRPr="00762161">
        <w:t xml:space="preserve"> countries in the sample did experience a variety of different policies that would have affected both the real and the financial sectors of their economies.</w:t>
      </w:r>
    </w:p>
    <w:p w:rsidR="005C07DE" w:rsidRPr="00762161" w:rsidRDefault="005C07DE" w:rsidP="005C07DE">
      <w:pPr>
        <w:rPr>
          <w:szCs w:val="24"/>
        </w:rPr>
      </w:pPr>
      <w:r w:rsidRPr="00762161">
        <w:rPr>
          <w:szCs w:val="24"/>
        </w:rPr>
        <w:t xml:space="preserve">Barro (1990: 116) states an established empirical view that measures of the market value of capital, </w:t>
      </w:r>
      <w:r w:rsidRPr="00762161">
        <w:rPr>
          <w:i/>
          <w:szCs w:val="24"/>
        </w:rPr>
        <w:t>q</w:t>
      </w:r>
      <w:r w:rsidRPr="00762161">
        <w:rPr>
          <w:szCs w:val="24"/>
        </w:rPr>
        <w:t xml:space="preserve"> type variables, have only limited explanatory power for investment. Furthermore, when measures of corporate profits or production</w:t>
      </w:r>
      <w:r>
        <w:rPr>
          <w:szCs w:val="24"/>
        </w:rPr>
        <w:t>,</w:t>
      </w:r>
      <w:r w:rsidRPr="00762161">
        <w:rPr>
          <w:szCs w:val="24"/>
        </w:rPr>
        <w:t xml:space="preserve"> or similar variables are considered, the statistical significance of the market valuation variables tends to disappear. Of course, corporate profits and production are simultaneously determined with investment, and this simultaneity can account for the explanatory value of these variables. But the view from the empirical literature is that even predetermined values of the variables like profits or production leave market valuation measures with little predictive power for investment. This conclusion appears to conflict with the strong relations between investment and stock returns as well as other macroeconomic variables, such as GNP. The explanation is that the stock market does better than the measures of </w:t>
      </w:r>
      <w:r w:rsidRPr="00762161">
        <w:rPr>
          <w:i/>
          <w:szCs w:val="24"/>
        </w:rPr>
        <w:t>q</w:t>
      </w:r>
      <w:r w:rsidRPr="00762161">
        <w:rPr>
          <w:szCs w:val="24"/>
        </w:rPr>
        <w:t xml:space="preserve"> that have been used in previous empirical studies of investment. </w:t>
      </w:r>
      <w:r w:rsidRPr="00762161">
        <w:t xml:space="preserve">Fischer &amp; Merton (1984) explains that stock prices and investment may move in opposite directions in response to events that have differential impacts on average and marginal </w:t>
      </w:r>
      <w:r w:rsidRPr="00762161">
        <w:rPr>
          <w:i/>
        </w:rPr>
        <w:t>q</w:t>
      </w:r>
      <w:r w:rsidRPr="00762161">
        <w:t>.</w:t>
      </w:r>
    </w:p>
    <w:p w:rsidR="005C07DE" w:rsidRDefault="005C07DE" w:rsidP="005C07DE">
      <w:r w:rsidRPr="00762161">
        <w:t xml:space="preserve">Fischer &amp; Merton </w:t>
      </w:r>
      <w:r w:rsidR="00284D70">
        <w:t>(1984) discuss</w:t>
      </w:r>
      <w:r w:rsidRPr="00762161">
        <w:t xml:space="preserve"> that although </w:t>
      </w:r>
      <w:r w:rsidRPr="00762161">
        <w:rPr>
          <w:i/>
        </w:rPr>
        <w:t>q</w:t>
      </w:r>
      <w:r w:rsidRPr="00762161">
        <w:t xml:space="preserve"> typically enters most regression equations as significant; the empirical success is regarded as mixed. There are two main difficulties; firstly </w:t>
      </w:r>
      <w:r w:rsidRPr="00762161">
        <w:lastRenderedPageBreak/>
        <w:t xml:space="preserve">the residuals from the investment on </w:t>
      </w:r>
      <w:r w:rsidRPr="00762161">
        <w:rPr>
          <w:i/>
        </w:rPr>
        <w:t>q</w:t>
      </w:r>
      <w:r w:rsidRPr="00762161">
        <w:t xml:space="preserve"> equation are heavily serially correlated. Secondly, despite the implication of existing forms of the </w:t>
      </w:r>
      <w:r w:rsidRPr="00762161">
        <w:rPr>
          <w:i/>
        </w:rPr>
        <w:t>q</w:t>
      </w:r>
      <w:r w:rsidRPr="00762161">
        <w:t xml:space="preserve"> theory</w:t>
      </w:r>
      <w:r w:rsidR="00284D70">
        <w:t>,</w:t>
      </w:r>
      <w:r w:rsidRPr="00762161">
        <w:t xml:space="preserve"> </w:t>
      </w:r>
      <w:r w:rsidRPr="00762161">
        <w:rPr>
          <w:i/>
        </w:rPr>
        <w:t>q</w:t>
      </w:r>
      <w:r w:rsidRPr="00762161">
        <w:t xml:space="preserve"> is a sufficient statistic for the rate of investment, other variables, particularly real output or GNP, appear to affect investment more than the </w:t>
      </w:r>
      <w:r w:rsidRPr="00762161">
        <w:rPr>
          <w:i/>
        </w:rPr>
        <w:t>q</w:t>
      </w:r>
      <w:r w:rsidRPr="00762161">
        <w:t xml:space="preserve"> variable.</w:t>
      </w:r>
      <w:r w:rsidRPr="005C07DE">
        <w:t xml:space="preserve"> </w:t>
      </w:r>
    </w:p>
    <w:p w:rsidR="00237060" w:rsidRDefault="00284D70">
      <w:r>
        <w:t xml:space="preserve">Bosworth, Hymans &amp; Modigliani </w:t>
      </w:r>
      <w:r w:rsidR="00627488">
        <w:t xml:space="preserve">(1975:9) </w:t>
      </w:r>
      <w:r w:rsidR="005C07DE" w:rsidRPr="00762161">
        <w:t xml:space="preserve">comments </w:t>
      </w:r>
      <w:r w:rsidR="005C07DE">
        <w:t>o</w:t>
      </w:r>
      <w:r w:rsidR="005C07DE" w:rsidRPr="00762161">
        <w:t xml:space="preserve">n </w:t>
      </w:r>
      <w:r w:rsidR="005C07DE" w:rsidRPr="00762161">
        <w:rPr>
          <w:i/>
        </w:rPr>
        <w:t>q</w:t>
      </w:r>
      <w:r w:rsidR="005C07DE" w:rsidRPr="00762161">
        <w:t xml:space="preserve"> summarise best what many macroeconomists regard as the main difficulties with investment theories based upon stock values: The most serious problem with the </w:t>
      </w:r>
      <w:r w:rsidR="005C07DE" w:rsidRPr="00762161">
        <w:rPr>
          <w:i/>
        </w:rPr>
        <w:t>q</w:t>
      </w:r>
      <w:r w:rsidR="005C07DE" w:rsidRPr="00762161">
        <w:t xml:space="preserve"> theory approach as a vehicle for understanding investment behaviour is that it shifts the focus from what determines a firm’s investment to what determines values in the stock market. It does not seem practical to focus upon responses in the stock market to measure the impact on investment of a change in the tax law. Nor does it seem reasonable to believe that the present value of expected corporate income actually fell in 1973-1974 by the magnitudes implied by the stock market decline of that period, when </w:t>
      </w:r>
      <w:r w:rsidR="005C07DE" w:rsidRPr="00762161">
        <w:rPr>
          <w:i/>
        </w:rPr>
        <w:t>q</w:t>
      </w:r>
      <w:r w:rsidR="005C07DE" w:rsidRPr="00762161">
        <w:t xml:space="preserve"> declined by </w:t>
      </w:r>
      <w:r w:rsidR="005C07DE">
        <w:t>50% (for example)</w:t>
      </w:r>
      <w:r w:rsidR="005C07DE" w:rsidRPr="00762161">
        <w:t>. Of course, an equilibrium relationship must exist between the market value of a firm and the replacem</w:t>
      </w:r>
      <w:r w:rsidR="005C07DE">
        <w:t>ent cost of its capital. But it</w:t>
      </w:r>
      <w:r w:rsidR="005C07DE" w:rsidRPr="00762161">
        <w:t xml:space="preserve"> </w:t>
      </w:r>
      <w:r w:rsidR="005C07DE">
        <w:t>i</w:t>
      </w:r>
      <w:r w:rsidR="005C07DE" w:rsidRPr="00762161">
        <w:t>s quite another thing to infer a casual mechanism of this relationship and to allege that changes in stock prices reflect only revise</w:t>
      </w:r>
      <w:r>
        <w:t>d</w:t>
      </w:r>
      <w:r w:rsidR="005C07DE" w:rsidRPr="00762161">
        <w:t xml:space="preserve"> evaluations of the discounted value of prospects for corporate earnings. As long as management is concerned </w:t>
      </w:r>
      <w:r>
        <w:t>with</w:t>
      </w:r>
      <w:r w:rsidR="005C07DE" w:rsidRPr="00762161">
        <w:t xml:space="preserve"> long run market value and believes that this value reflects fundamentals, it would not scrap investment plans in response to the highly volatile short run changes in stock prices. </w:t>
      </w:r>
    </w:p>
    <w:p w:rsidR="007212C2" w:rsidRDefault="005C07DE">
      <w:r w:rsidRPr="00762161">
        <w:t xml:space="preserve">Fischer &amp; Merton (1984) divides </w:t>
      </w:r>
      <w:r w:rsidR="00284D70">
        <w:t xml:space="preserve">Bosworth, Hymans &amp; Modigliani’s </w:t>
      </w:r>
      <w:r w:rsidRPr="00762161">
        <w:t xml:space="preserve">(1975) criticism into four key areas. Firstly, there is a distinction between the determinants of investment and the determinants of stock values. Secondly, it may be difficult to infer the effects if policy changes, using </w:t>
      </w:r>
      <w:r w:rsidRPr="00762161">
        <w:rPr>
          <w:i/>
        </w:rPr>
        <w:t>q</w:t>
      </w:r>
      <w:r w:rsidRPr="00762161">
        <w:t xml:space="preserve"> theory. Thirdly, there is no useful sense in which the stock market can be said to cause investment. Lastly, because the market fluctuates excessively, and investment takes time to plan and bring on line, firm managers will pay little attention to </w:t>
      </w:r>
      <w:r w:rsidRPr="00762161">
        <w:rPr>
          <w:i/>
        </w:rPr>
        <w:t>q</w:t>
      </w:r>
      <w:r w:rsidRPr="00762161">
        <w:t>.</w:t>
      </w:r>
      <w:r>
        <w:t xml:space="preserve"> </w:t>
      </w:r>
      <w:r w:rsidR="007212C2">
        <w:br w:type="page"/>
      </w:r>
    </w:p>
    <w:p w:rsidR="009D61A9" w:rsidRPr="00762161" w:rsidRDefault="009D61A9" w:rsidP="009D61A9">
      <w:pPr>
        <w:pStyle w:val="Heading1"/>
        <w:numPr>
          <w:ilvl w:val="0"/>
          <w:numId w:val="7"/>
        </w:numPr>
      </w:pPr>
      <w:bookmarkStart w:id="241" w:name="_Toc282531627"/>
      <w:bookmarkStart w:id="242" w:name="_Toc286616315"/>
      <w:r w:rsidRPr="00762161">
        <w:lastRenderedPageBreak/>
        <w:t>Data</w:t>
      </w:r>
      <w:bookmarkEnd w:id="241"/>
      <w:bookmarkEnd w:id="242"/>
    </w:p>
    <w:p w:rsidR="009D61A9" w:rsidRPr="00762161" w:rsidRDefault="009D61A9" w:rsidP="009D61A9">
      <w:pPr>
        <w:spacing w:before="480"/>
      </w:pPr>
    </w:p>
    <w:p w:rsidR="009D61A9" w:rsidRPr="00762161" w:rsidRDefault="009D61A9" w:rsidP="009D61A9">
      <w:pPr>
        <w:spacing w:before="480"/>
      </w:pPr>
      <w:r w:rsidRPr="00762161">
        <w:t xml:space="preserve">The data consists of monthly observations of the aggregate stock price index, industrial production and the consumer price index of South Africa. The data are from the South African Reserve Bank (SARB), StatsSA, and INet Bridge.  The sample period runs from December 1969 to September 2010, and is divided </w:t>
      </w:r>
      <w:r w:rsidR="005C07DE">
        <w:t>into</w:t>
      </w:r>
      <w:r w:rsidRPr="00762161">
        <w:t xml:space="preserve"> both quarters and years</w:t>
      </w:r>
      <w:r w:rsidR="005C07DE">
        <w:t>, as monthly data was not available for all the considered variables</w:t>
      </w:r>
      <w:r w:rsidRPr="00762161">
        <w:t xml:space="preserve">. Data problems occurred with CPI, whereby data was only provided from 1980 to 2010, thus inflation figures were used to supplement for the periods from 1969 to 1980. </w:t>
      </w:r>
    </w:p>
    <w:p w:rsidR="009D61A9" w:rsidRPr="00762161" w:rsidRDefault="009D61A9" w:rsidP="009D61A9">
      <w:pPr>
        <w:spacing w:before="480"/>
      </w:pPr>
      <w:r w:rsidRPr="00762161">
        <w:t>Following Fama (1990) and Schwert (1990), this paper utilizes industrial production to measure real activity with a particular focus on investment. All data provided by SARB, for industrial production, had also been converted into base years, s</w:t>
      </w:r>
      <w:r w:rsidR="001774BF">
        <w:t>panning the entire sample period</w:t>
      </w:r>
      <w:r w:rsidRPr="00762161">
        <w:t xml:space="preserve">. A quarterly and yearly index for industrial production was constructed using the primary and secondary sectors, similar in construction to the Miron-Romer Industrial Index (Miron &amp; Romer, 1990). </w:t>
      </w:r>
    </w:p>
    <w:p w:rsidR="00237060" w:rsidRDefault="009D61A9" w:rsidP="009D61A9">
      <w:pPr>
        <w:spacing w:before="480"/>
        <w:rPr>
          <w:bCs/>
          <w:szCs w:val="24"/>
        </w:rPr>
      </w:pPr>
      <w:r w:rsidRPr="00762161">
        <w:t xml:space="preserve">The index was constructed from 5 series, that being: agriculture, forestry and fishing; mining and quarrying; manufacturing; electricity, gas and water; and </w:t>
      </w:r>
      <w:r w:rsidRPr="00762161">
        <w:rPr>
          <w:szCs w:val="24"/>
        </w:rPr>
        <w:t xml:space="preserve">construction. Following Miron &amp; Romer (1990), these series were then converted into an index and subsequently weighted according to value added. The </w:t>
      </w:r>
      <w:r w:rsidR="00553DB8" w:rsidRPr="00762161">
        <w:rPr>
          <w:szCs w:val="24"/>
        </w:rPr>
        <w:t>makeup</w:t>
      </w:r>
      <w:r w:rsidRPr="00762161">
        <w:rPr>
          <w:szCs w:val="24"/>
        </w:rPr>
        <w:t xml:space="preserve"> of the series changes according to SARB recommendations, and should also be accompanied by a simultaneous change in the GDP calculation. </w:t>
      </w:r>
      <w:r w:rsidR="00E216D8">
        <w:rPr>
          <w:szCs w:val="24"/>
        </w:rPr>
        <w:t>Similar to</w:t>
      </w:r>
      <w:r w:rsidRPr="00762161">
        <w:rPr>
          <w:szCs w:val="24"/>
        </w:rPr>
        <w:t xml:space="preserve"> Miron &amp; Romer (1990), the index </w:t>
      </w:r>
      <w:r w:rsidRPr="00762161">
        <w:rPr>
          <w:bCs/>
          <w:szCs w:val="24"/>
        </w:rPr>
        <w:t xml:space="preserve">is not contaminated by other measures </w:t>
      </w:r>
      <w:r w:rsidRPr="00762161">
        <w:rPr>
          <w:bCs/>
          <w:szCs w:val="24"/>
        </w:rPr>
        <w:lastRenderedPageBreak/>
        <w:t>of economic activity such as bank clearings, prices, or the volume of foreign trade. As a result, the index can be used to test relationships that have occasionally been assumed in the derivation of other international indexes. At the same time, the new index includes a fairly wide range of industrial commodities as stipulated by SARB. Thus, it should yield more information, about the behaviour of the industrial sector of the South Africa, than more limited series. The index also only uses series which are consistent over time, allaying data issues</w:t>
      </w:r>
      <w:r w:rsidR="001E11A5">
        <w:rPr>
          <w:bCs/>
          <w:szCs w:val="24"/>
        </w:rPr>
        <w:t>, and</w:t>
      </w:r>
      <w:r w:rsidRPr="00762161">
        <w:rPr>
          <w:bCs/>
          <w:szCs w:val="24"/>
        </w:rPr>
        <w:t xml:space="preserve"> is also not seasonally adjusted, thus will not include perceptions or beliefs which may result in biases. </w:t>
      </w:r>
    </w:p>
    <w:p w:rsidR="009D61A9" w:rsidRPr="00762161" w:rsidRDefault="009D61A9" w:rsidP="009D61A9">
      <w:pPr>
        <w:spacing w:before="480"/>
      </w:pPr>
      <w:r w:rsidRPr="00762161">
        <w:rPr>
          <w:bCs/>
          <w:szCs w:val="24"/>
        </w:rPr>
        <w:t>Similar to Miron &amp; Romer (1990), the focus on consistent, lengthy time series yields an index that is biased toward primary and secondary commodities. The bias toward primary and secondary commodities may make the index more cyclically sensitive than the actual underlying economy as primary commodities are typically more volatile than highly process</w:t>
      </w:r>
      <w:r w:rsidR="00C85B58">
        <w:rPr>
          <w:bCs/>
          <w:szCs w:val="24"/>
        </w:rPr>
        <w:t xml:space="preserve">ed goods in the tertiary sector, but this bias is allayed through the use of the </w:t>
      </w:r>
      <w:r w:rsidR="00C85B58" w:rsidRPr="00762161">
        <w:rPr>
          <w:rFonts w:eastAsia="PMingLiU"/>
          <w:szCs w:val="24"/>
          <w:lang w:eastAsia="zh-TW"/>
        </w:rPr>
        <w:t>Hodrick &amp; Prescott (1980) filter</w:t>
      </w:r>
      <w:r w:rsidR="001F761D">
        <w:rPr>
          <w:rFonts w:eastAsia="PMingLiU"/>
          <w:szCs w:val="24"/>
          <w:lang w:eastAsia="zh-TW"/>
        </w:rPr>
        <w:t>.</w:t>
      </w:r>
    </w:p>
    <w:p w:rsidR="00C56FB9" w:rsidRDefault="009D61A9" w:rsidP="00C56FB9">
      <w:pPr>
        <w:spacing w:before="480"/>
      </w:pPr>
      <w:r w:rsidRPr="00762161">
        <w:t xml:space="preserve">Data issues also arise with the use of the All Share Index, as listed on the JSE. According to the JSE, although indicative values for the FTSE/JSE Africa Index Series have been calculated and disseminated since 2 January 2002, the official launch date of the indices was 24 June 2002. On this date the JSE Actuarial Indices Series, or the All Share as </w:t>
      </w:r>
      <w:r w:rsidR="001E11A5">
        <w:t xml:space="preserve">was </w:t>
      </w:r>
      <w:r w:rsidRPr="00762161">
        <w:t xml:space="preserve">commonly known, ceased to be calculated and </w:t>
      </w:r>
      <w:r w:rsidR="001E11A5">
        <w:t xml:space="preserve">was replaced by </w:t>
      </w:r>
      <w:r w:rsidRPr="00762161">
        <w:t>t</w:t>
      </w:r>
      <w:r w:rsidR="001E11A5">
        <w:t>he FTSE/JSE Africa Index Series</w:t>
      </w:r>
      <w:r w:rsidRPr="00762161">
        <w:t>.</w:t>
      </w:r>
      <w:r w:rsidRPr="00762161">
        <w:rPr>
          <w:rStyle w:val="FootnoteReference"/>
        </w:rPr>
        <w:footnoteReference w:id="1"/>
      </w:r>
      <w:r w:rsidRPr="00762161">
        <w:t xml:space="preserve"> The FTSE/JSE Africa All Share Index (J203) </w:t>
      </w:r>
      <w:r w:rsidR="001E11A5">
        <w:t>differs slightly</w:t>
      </w:r>
      <w:r w:rsidRPr="00762161">
        <w:t xml:space="preserve"> from the JSE Actuarial All Share Index (CI01). </w:t>
      </w:r>
      <w:r w:rsidR="001E11A5">
        <w:t>The difference is one of index construction; t</w:t>
      </w:r>
      <w:r w:rsidRPr="00762161">
        <w:t>he CI01 consisted of al</w:t>
      </w:r>
      <w:r w:rsidR="001E11A5">
        <w:t>l instruments listed on the JSE, while t</w:t>
      </w:r>
      <w:r w:rsidRPr="00762161">
        <w:t xml:space="preserve">he J203 consists of the top 99% of eligible listed companies when ranked by full market capitalisation. </w:t>
      </w:r>
      <w:r w:rsidR="001E11A5">
        <w:t>The excluded companies now form part of t</w:t>
      </w:r>
      <w:r w:rsidRPr="00762161">
        <w:t xml:space="preserve">he FTSE/JSE Africa Fledgling Index </w:t>
      </w:r>
      <w:r w:rsidRPr="00762161">
        <w:lastRenderedPageBreak/>
        <w:t xml:space="preserve">(J204) </w:t>
      </w:r>
      <w:r w:rsidR="001E11A5">
        <w:t xml:space="preserve">which </w:t>
      </w:r>
      <w:r w:rsidRPr="00762161">
        <w:t xml:space="preserve">consists of all eligible securities listed on the JSE which are too small to be included in the FTSE/JSE All Share and are those securities which form the bottom 1% of shares when ranked by full market capitalisation. </w:t>
      </w:r>
      <w:r w:rsidR="00C56FB9">
        <w:br w:type="page"/>
      </w:r>
    </w:p>
    <w:p w:rsidR="009D61A9" w:rsidRPr="00762161" w:rsidRDefault="009D61A9" w:rsidP="009D61A9">
      <w:pPr>
        <w:pStyle w:val="Heading1"/>
        <w:numPr>
          <w:ilvl w:val="0"/>
          <w:numId w:val="7"/>
        </w:numPr>
      </w:pPr>
      <w:bookmarkStart w:id="243" w:name="_Toc282531628"/>
      <w:bookmarkStart w:id="244" w:name="_Toc286616316"/>
      <w:r w:rsidRPr="00762161">
        <w:lastRenderedPageBreak/>
        <w:t>Methodology</w:t>
      </w:r>
      <w:bookmarkEnd w:id="243"/>
      <w:bookmarkEnd w:id="244"/>
    </w:p>
    <w:p w:rsidR="009D61A9" w:rsidRPr="00762161" w:rsidRDefault="009D61A9" w:rsidP="009D61A9">
      <w:pPr>
        <w:spacing w:before="480"/>
      </w:pPr>
    </w:p>
    <w:p w:rsidR="005F0708" w:rsidRPr="00762161" w:rsidRDefault="005F0708" w:rsidP="005F0708">
      <w:pPr>
        <w:spacing w:before="480"/>
      </w:pPr>
      <w:r w:rsidRPr="00762161">
        <w:t xml:space="preserve">This study </w:t>
      </w:r>
      <w:r w:rsidR="004C29A2">
        <w:t>uses a similar methodology to both</w:t>
      </w:r>
      <w:r w:rsidRPr="00762161">
        <w:t xml:space="preserve"> Barro (1990) and Park (1997) on two key points. Firstly, because the regression estimates the long term relationship, as opposed to the daily response of stock prices, the decomposition of a variable’s movement into anticipated and unanticipated parts is unnecessary. Secondly, because stock prices reflect the economy’s long term prospects, annual data will be paid more attention to.</w:t>
      </w:r>
    </w:p>
    <w:p w:rsidR="005F0708" w:rsidRPr="00762161" w:rsidRDefault="005F0708" w:rsidP="005F0708">
      <w:pPr>
        <w:spacing w:before="480"/>
      </w:pPr>
      <w:r w:rsidRPr="00762161">
        <w:t>Keeping in line with Barro (1990)</w:t>
      </w:r>
      <w:r w:rsidR="004C29A2">
        <w:t xml:space="preserve"> in the type of variable </w:t>
      </w:r>
      <w:r w:rsidRPr="00762161">
        <w:t>considered for the autoregressive process are:</w:t>
      </w:r>
    </w:p>
    <w:p w:rsidR="005F0708" w:rsidRPr="00762161" w:rsidRDefault="005F0708" w:rsidP="005F0708">
      <w:pPr>
        <w:pStyle w:val="ListParagraph"/>
        <w:numPr>
          <w:ilvl w:val="0"/>
          <w:numId w:val="4"/>
        </w:numPr>
        <w:spacing w:before="480"/>
        <w:contextualSpacing w:val="0"/>
      </w:pPr>
      <w:r w:rsidRPr="00762161">
        <w:rPr>
          <w:rFonts w:eastAsia="SimSun"/>
        </w:rPr>
        <w:t xml:space="preserve">Real </w:t>
      </w:r>
      <w:r w:rsidR="004B07A7">
        <w:rPr>
          <w:rFonts w:eastAsia="SimSun"/>
        </w:rPr>
        <w:t>Industrial Production</w:t>
      </w:r>
      <w:r w:rsidRPr="00762161">
        <w:rPr>
          <w:rFonts w:eastAsia="SimSun"/>
        </w:rPr>
        <w:t>.</w:t>
      </w:r>
      <w:r w:rsidRPr="00762161">
        <w:t xml:space="preserve"> This study will not consider broader definitions of investment, which would include expenditures on residential housing and other consumer durables and outlays on human capital, since these flows do not relate directly to stock market prices or other variables that measure the market value o</w:t>
      </w:r>
      <w:r w:rsidR="004C29A2">
        <w:t xml:space="preserve">f business capital. </w:t>
      </w:r>
      <w:r w:rsidR="004B07A7">
        <w:t>Industrial Production</w:t>
      </w:r>
      <w:r w:rsidRPr="00762161">
        <w:t xml:space="preserve"> will</w:t>
      </w:r>
      <w:r w:rsidR="004C29A2">
        <w:t xml:space="preserve"> be a</w:t>
      </w:r>
      <w:r w:rsidRPr="00762161">
        <w:t xml:space="preserve"> proxy for the investment of South Africa.</w:t>
      </w:r>
    </w:p>
    <w:p w:rsidR="002509B4" w:rsidRPr="002509B4" w:rsidRDefault="00253CDF" w:rsidP="005F0708">
      <w:pPr>
        <w:pStyle w:val="ListParagraph"/>
        <w:numPr>
          <w:ilvl w:val="0"/>
          <w:numId w:val="4"/>
        </w:numPr>
        <w:spacing w:before="480"/>
        <w:contextualSpacing w:val="0"/>
      </w:pPr>
      <w:r>
        <w:rPr>
          <w:rFonts w:eastAsia="SimSun"/>
        </w:rPr>
        <w:t>Real S</w:t>
      </w:r>
      <w:r w:rsidR="005F0708" w:rsidRPr="002509B4">
        <w:rPr>
          <w:rFonts w:eastAsia="SimSun"/>
        </w:rPr>
        <w:t xml:space="preserve">tock </w:t>
      </w:r>
      <w:r>
        <w:rPr>
          <w:rFonts w:eastAsia="SimSun"/>
        </w:rPr>
        <w:t>M</w:t>
      </w:r>
      <w:r w:rsidR="005F0708" w:rsidRPr="002509B4">
        <w:rPr>
          <w:rFonts w:eastAsia="SimSun"/>
        </w:rPr>
        <w:t xml:space="preserve">arket </w:t>
      </w:r>
      <w:r>
        <w:rPr>
          <w:rFonts w:eastAsia="SimSun"/>
        </w:rPr>
        <w:t>P</w:t>
      </w:r>
      <w:r w:rsidR="005F0708" w:rsidRPr="002509B4">
        <w:rPr>
          <w:rFonts w:eastAsia="SimSun"/>
        </w:rPr>
        <w:t xml:space="preserve">rice. </w:t>
      </w:r>
    </w:p>
    <w:p w:rsidR="005F0708" w:rsidRPr="00762161" w:rsidRDefault="00627488" w:rsidP="005F0708">
      <w:pPr>
        <w:pStyle w:val="ListParagraph"/>
        <w:numPr>
          <w:ilvl w:val="0"/>
          <w:numId w:val="4"/>
        </w:numPr>
        <w:spacing w:before="480"/>
        <w:contextualSpacing w:val="0"/>
      </w:pPr>
      <w:r w:rsidRPr="002509B4">
        <w:rPr>
          <w:rFonts w:eastAsia="SimSun"/>
        </w:rPr>
        <w:t>Real GDP</w:t>
      </w:r>
    </w:p>
    <w:p w:rsidR="005F0708" w:rsidRPr="002509B4" w:rsidRDefault="005F0708" w:rsidP="005F0708">
      <w:pPr>
        <w:pStyle w:val="ListParagraph"/>
        <w:numPr>
          <w:ilvl w:val="0"/>
          <w:numId w:val="4"/>
        </w:numPr>
        <w:spacing w:before="480"/>
        <w:contextualSpacing w:val="0"/>
      </w:pPr>
      <w:r w:rsidRPr="00762161">
        <w:rPr>
          <w:rFonts w:eastAsia="SimSun"/>
        </w:rPr>
        <w:t>Inflation</w:t>
      </w:r>
    </w:p>
    <w:p w:rsidR="002509B4" w:rsidRPr="00762161" w:rsidRDefault="002509B4" w:rsidP="002509B4">
      <w:pPr>
        <w:spacing w:before="480"/>
      </w:pPr>
      <w:r w:rsidRPr="002509B4">
        <w:rPr>
          <w:rFonts w:eastAsia="SimSun"/>
        </w:rPr>
        <w:lastRenderedPageBreak/>
        <w:t xml:space="preserve">The inflation rate for the GDP deflator (year </w:t>
      </w:r>
      <w:r w:rsidRPr="002509B4">
        <w:rPr>
          <w:rFonts w:eastAsia="SimSun"/>
          <w:i/>
        </w:rPr>
        <w:t>t</w:t>
      </w:r>
      <w:r w:rsidRPr="002509B4">
        <w:rPr>
          <w:rFonts w:eastAsia="SimSun"/>
        </w:rPr>
        <w:t xml:space="preserve"> relative to year </w:t>
      </w:r>
      <w:r w:rsidRPr="002509B4">
        <w:rPr>
          <w:rFonts w:eastAsia="SimSun"/>
          <w:i/>
        </w:rPr>
        <w:t>t-1</w:t>
      </w:r>
      <w:r w:rsidRPr="002509B4">
        <w:rPr>
          <w:rFonts w:eastAsia="SimSun"/>
        </w:rPr>
        <w:t>) was subtracted from the change in nominal variable to compute real changes. Although the timing of inflation and the variable will be off slightly, the adjustment of the nominal returns for inflation will have, in any event, only a minor effect on these results.</w:t>
      </w:r>
    </w:p>
    <w:p w:rsidR="005F0708" w:rsidRPr="00762161" w:rsidRDefault="005F0708" w:rsidP="009D61A9"/>
    <w:p w:rsidR="009D61A9" w:rsidRPr="00762161" w:rsidRDefault="009D61A9" w:rsidP="009D61A9">
      <w:pPr>
        <w:pStyle w:val="ListParagraph"/>
        <w:keepNext/>
        <w:keepLines/>
        <w:numPr>
          <w:ilvl w:val="0"/>
          <w:numId w:val="17"/>
        </w:numPr>
        <w:spacing w:before="200"/>
        <w:contextualSpacing w:val="0"/>
        <w:outlineLvl w:val="1"/>
        <w:rPr>
          <w:rFonts w:ascii="Cambria" w:eastAsia="SimSun" w:hAnsi="Cambria"/>
          <w:b/>
          <w:bCs/>
          <w:vanish/>
          <w:color w:val="4F81BD"/>
          <w:sz w:val="26"/>
          <w:szCs w:val="26"/>
        </w:rPr>
      </w:pPr>
      <w:bookmarkStart w:id="245" w:name="_Toc282518259"/>
      <w:bookmarkStart w:id="246" w:name="_Toc282531629"/>
      <w:bookmarkStart w:id="247" w:name="_Toc283187556"/>
      <w:bookmarkStart w:id="248" w:name="_Toc283473751"/>
      <w:bookmarkStart w:id="249" w:name="_Toc283549285"/>
      <w:bookmarkStart w:id="250" w:name="_Toc283572415"/>
      <w:bookmarkStart w:id="251" w:name="_Toc283809045"/>
      <w:bookmarkStart w:id="252" w:name="_Toc285272530"/>
      <w:bookmarkStart w:id="253" w:name="_Toc285273857"/>
      <w:bookmarkStart w:id="254" w:name="_Toc285274079"/>
      <w:bookmarkStart w:id="255" w:name="_Toc286584814"/>
      <w:bookmarkStart w:id="256" w:name="_Toc286603526"/>
      <w:bookmarkStart w:id="257" w:name="_Toc286616317"/>
      <w:bookmarkEnd w:id="245"/>
      <w:bookmarkEnd w:id="246"/>
      <w:bookmarkEnd w:id="247"/>
      <w:bookmarkEnd w:id="248"/>
      <w:bookmarkEnd w:id="249"/>
      <w:bookmarkEnd w:id="250"/>
      <w:bookmarkEnd w:id="251"/>
      <w:bookmarkEnd w:id="252"/>
      <w:bookmarkEnd w:id="253"/>
      <w:bookmarkEnd w:id="254"/>
      <w:bookmarkEnd w:id="255"/>
      <w:bookmarkEnd w:id="256"/>
      <w:bookmarkEnd w:id="257"/>
    </w:p>
    <w:p w:rsidR="009D61A9" w:rsidRPr="00762161" w:rsidRDefault="009D61A9" w:rsidP="009D61A9">
      <w:pPr>
        <w:pStyle w:val="ListParagraph"/>
        <w:keepNext/>
        <w:keepLines/>
        <w:numPr>
          <w:ilvl w:val="0"/>
          <w:numId w:val="17"/>
        </w:numPr>
        <w:spacing w:before="200"/>
        <w:contextualSpacing w:val="0"/>
        <w:outlineLvl w:val="1"/>
        <w:rPr>
          <w:rFonts w:ascii="Cambria" w:eastAsia="SimSun" w:hAnsi="Cambria"/>
          <w:b/>
          <w:bCs/>
          <w:vanish/>
          <w:color w:val="4F81BD"/>
          <w:sz w:val="26"/>
          <w:szCs w:val="26"/>
        </w:rPr>
      </w:pPr>
      <w:bookmarkStart w:id="258" w:name="_Toc282518260"/>
      <w:bookmarkStart w:id="259" w:name="_Toc282531630"/>
      <w:bookmarkStart w:id="260" w:name="_Toc283187557"/>
      <w:bookmarkStart w:id="261" w:name="_Toc283473752"/>
      <w:bookmarkStart w:id="262" w:name="_Toc283549286"/>
      <w:bookmarkStart w:id="263" w:name="_Toc283572416"/>
      <w:bookmarkStart w:id="264" w:name="_Toc283809046"/>
      <w:bookmarkStart w:id="265" w:name="_Toc285272531"/>
      <w:bookmarkStart w:id="266" w:name="_Toc285273858"/>
      <w:bookmarkStart w:id="267" w:name="_Toc285274080"/>
      <w:bookmarkStart w:id="268" w:name="_Toc286584815"/>
      <w:bookmarkStart w:id="269" w:name="_Toc286603527"/>
      <w:bookmarkStart w:id="270" w:name="_Toc286616318"/>
      <w:bookmarkEnd w:id="258"/>
      <w:bookmarkEnd w:id="259"/>
      <w:bookmarkEnd w:id="260"/>
      <w:bookmarkEnd w:id="261"/>
      <w:bookmarkEnd w:id="262"/>
      <w:bookmarkEnd w:id="263"/>
      <w:bookmarkEnd w:id="264"/>
      <w:bookmarkEnd w:id="265"/>
      <w:bookmarkEnd w:id="266"/>
      <w:bookmarkEnd w:id="267"/>
      <w:bookmarkEnd w:id="268"/>
      <w:bookmarkEnd w:id="269"/>
      <w:bookmarkEnd w:id="270"/>
    </w:p>
    <w:p w:rsidR="009D61A9" w:rsidRPr="00762161" w:rsidRDefault="009D61A9" w:rsidP="009D61A9">
      <w:pPr>
        <w:pStyle w:val="ListParagraph"/>
        <w:keepNext/>
        <w:keepLines/>
        <w:numPr>
          <w:ilvl w:val="0"/>
          <w:numId w:val="17"/>
        </w:numPr>
        <w:spacing w:before="200"/>
        <w:contextualSpacing w:val="0"/>
        <w:outlineLvl w:val="1"/>
        <w:rPr>
          <w:rFonts w:ascii="Cambria" w:eastAsia="SimSun" w:hAnsi="Cambria"/>
          <w:b/>
          <w:bCs/>
          <w:vanish/>
          <w:color w:val="4F81BD"/>
          <w:sz w:val="26"/>
          <w:szCs w:val="26"/>
        </w:rPr>
      </w:pPr>
      <w:bookmarkStart w:id="271" w:name="_Toc282518261"/>
      <w:bookmarkStart w:id="272" w:name="_Toc282531631"/>
      <w:bookmarkStart w:id="273" w:name="_Toc283187558"/>
      <w:bookmarkStart w:id="274" w:name="_Toc283473753"/>
      <w:bookmarkStart w:id="275" w:name="_Toc283549287"/>
      <w:bookmarkStart w:id="276" w:name="_Toc283572417"/>
      <w:bookmarkStart w:id="277" w:name="_Toc283809047"/>
      <w:bookmarkStart w:id="278" w:name="_Toc285272532"/>
      <w:bookmarkStart w:id="279" w:name="_Toc285273859"/>
      <w:bookmarkStart w:id="280" w:name="_Toc285274081"/>
      <w:bookmarkStart w:id="281" w:name="_Toc286584816"/>
      <w:bookmarkStart w:id="282" w:name="_Toc286603528"/>
      <w:bookmarkStart w:id="283" w:name="_Toc286616319"/>
      <w:bookmarkEnd w:id="271"/>
      <w:bookmarkEnd w:id="272"/>
      <w:bookmarkEnd w:id="273"/>
      <w:bookmarkEnd w:id="274"/>
      <w:bookmarkEnd w:id="275"/>
      <w:bookmarkEnd w:id="276"/>
      <w:bookmarkEnd w:id="277"/>
      <w:bookmarkEnd w:id="278"/>
      <w:bookmarkEnd w:id="279"/>
      <w:bookmarkEnd w:id="280"/>
      <w:bookmarkEnd w:id="281"/>
      <w:bookmarkEnd w:id="282"/>
      <w:bookmarkEnd w:id="283"/>
    </w:p>
    <w:p w:rsidR="009D61A9" w:rsidRPr="00762161" w:rsidRDefault="009D61A9" w:rsidP="009D61A9">
      <w:pPr>
        <w:pStyle w:val="ListParagraph"/>
        <w:keepNext/>
        <w:keepLines/>
        <w:numPr>
          <w:ilvl w:val="0"/>
          <w:numId w:val="17"/>
        </w:numPr>
        <w:spacing w:before="200"/>
        <w:contextualSpacing w:val="0"/>
        <w:outlineLvl w:val="1"/>
        <w:rPr>
          <w:rFonts w:ascii="Cambria" w:eastAsia="SimSun" w:hAnsi="Cambria"/>
          <w:b/>
          <w:bCs/>
          <w:vanish/>
          <w:color w:val="4F81BD"/>
          <w:sz w:val="26"/>
          <w:szCs w:val="26"/>
        </w:rPr>
      </w:pPr>
      <w:bookmarkStart w:id="284" w:name="_Toc282518262"/>
      <w:bookmarkStart w:id="285" w:name="_Toc282531632"/>
      <w:bookmarkStart w:id="286" w:name="_Toc283187559"/>
      <w:bookmarkStart w:id="287" w:name="_Toc283473754"/>
      <w:bookmarkStart w:id="288" w:name="_Toc283549288"/>
      <w:bookmarkStart w:id="289" w:name="_Toc283572418"/>
      <w:bookmarkStart w:id="290" w:name="_Toc283809048"/>
      <w:bookmarkStart w:id="291" w:name="_Toc285272533"/>
      <w:bookmarkStart w:id="292" w:name="_Toc285273860"/>
      <w:bookmarkStart w:id="293" w:name="_Toc285274082"/>
      <w:bookmarkStart w:id="294" w:name="_Toc286584817"/>
      <w:bookmarkStart w:id="295" w:name="_Toc286603529"/>
      <w:bookmarkStart w:id="296" w:name="_Toc286616320"/>
      <w:bookmarkEnd w:id="284"/>
      <w:bookmarkEnd w:id="285"/>
      <w:bookmarkEnd w:id="286"/>
      <w:bookmarkEnd w:id="287"/>
      <w:bookmarkEnd w:id="288"/>
      <w:bookmarkEnd w:id="289"/>
      <w:bookmarkEnd w:id="290"/>
      <w:bookmarkEnd w:id="291"/>
      <w:bookmarkEnd w:id="292"/>
      <w:bookmarkEnd w:id="293"/>
      <w:bookmarkEnd w:id="294"/>
      <w:bookmarkEnd w:id="295"/>
      <w:bookmarkEnd w:id="296"/>
    </w:p>
    <w:p w:rsidR="009D61A9" w:rsidRPr="00762161" w:rsidRDefault="009D61A9" w:rsidP="009D61A9">
      <w:pPr>
        <w:pStyle w:val="ListParagraph"/>
        <w:keepNext/>
        <w:keepLines/>
        <w:numPr>
          <w:ilvl w:val="0"/>
          <w:numId w:val="17"/>
        </w:numPr>
        <w:spacing w:before="200"/>
        <w:contextualSpacing w:val="0"/>
        <w:outlineLvl w:val="1"/>
        <w:rPr>
          <w:rFonts w:ascii="Cambria" w:eastAsia="SimSun" w:hAnsi="Cambria"/>
          <w:b/>
          <w:bCs/>
          <w:vanish/>
          <w:color w:val="4F81BD"/>
          <w:sz w:val="26"/>
          <w:szCs w:val="26"/>
        </w:rPr>
      </w:pPr>
      <w:bookmarkStart w:id="297" w:name="_Toc282518263"/>
      <w:bookmarkStart w:id="298" w:name="_Toc282531633"/>
      <w:bookmarkStart w:id="299" w:name="_Toc283187560"/>
      <w:bookmarkStart w:id="300" w:name="_Toc283473755"/>
      <w:bookmarkStart w:id="301" w:name="_Toc283549289"/>
      <w:bookmarkStart w:id="302" w:name="_Toc283572419"/>
      <w:bookmarkStart w:id="303" w:name="_Toc283809049"/>
      <w:bookmarkStart w:id="304" w:name="_Toc285272534"/>
      <w:bookmarkStart w:id="305" w:name="_Toc285273861"/>
      <w:bookmarkStart w:id="306" w:name="_Toc285274083"/>
      <w:bookmarkStart w:id="307" w:name="_Toc286584818"/>
      <w:bookmarkStart w:id="308" w:name="_Toc286603530"/>
      <w:bookmarkStart w:id="309" w:name="_Toc286616321"/>
      <w:bookmarkEnd w:id="297"/>
      <w:bookmarkEnd w:id="298"/>
      <w:bookmarkEnd w:id="299"/>
      <w:bookmarkEnd w:id="300"/>
      <w:bookmarkEnd w:id="301"/>
      <w:bookmarkEnd w:id="302"/>
      <w:bookmarkEnd w:id="303"/>
      <w:bookmarkEnd w:id="304"/>
      <w:bookmarkEnd w:id="305"/>
      <w:bookmarkEnd w:id="306"/>
      <w:bookmarkEnd w:id="307"/>
      <w:bookmarkEnd w:id="308"/>
      <w:bookmarkEnd w:id="309"/>
    </w:p>
    <w:p w:rsidR="009D61A9" w:rsidRPr="00762161" w:rsidRDefault="009D61A9" w:rsidP="009D61A9">
      <w:pPr>
        <w:pStyle w:val="ListParagraph"/>
        <w:keepNext/>
        <w:keepLines/>
        <w:numPr>
          <w:ilvl w:val="0"/>
          <w:numId w:val="17"/>
        </w:numPr>
        <w:spacing w:before="200"/>
        <w:contextualSpacing w:val="0"/>
        <w:outlineLvl w:val="1"/>
        <w:rPr>
          <w:rFonts w:ascii="Cambria" w:eastAsia="SimSun" w:hAnsi="Cambria"/>
          <w:b/>
          <w:bCs/>
          <w:vanish/>
          <w:color w:val="4F81BD"/>
          <w:sz w:val="26"/>
          <w:szCs w:val="26"/>
        </w:rPr>
      </w:pPr>
      <w:bookmarkStart w:id="310" w:name="_Toc282518264"/>
      <w:bookmarkStart w:id="311" w:name="_Toc282531634"/>
      <w:bookmarkStart w:id="312" w:name="_Toc283187561"/>
      <w:bookmarkStart w:id="313" w:name="_Toc283473756"/>
      <w:bookmarkStart w:id="314" w:name="_Toc283549290"/>
      <w:bookmarkStart w:id="315" w:name="_Toc283572420"/>
      <w:bookmarkStart w:id="316" w:name="_Toc283809050"/>
      <w:bookmarkStart w:id="317" w:name="_Toc285272535"/>
      <w:bookmarkStart w:id="318" w:name="_Toc285273862"/>
      <w:bookmarkStart w:id="319" w:name="_Toc285274084"/>
      <w:bookmarkStart w:id="320" w:name="_Toc286584819"/>
      <w:bookmarkStart w:id="321" w:name="_Toc286603531"/>
      <w:bookmarkStart w:id="322" w:name="_Toc286616322"/>
      <w:bookmarkEnd w:id="310"/>
      <w:bookmarkEnd w:id="311"/>
      <w:bookmarkEnd w:id="312"/>
      <w:bookmarkEnd w:id="313"/>
      <w:bookmarkEnd w:id="314"/>
      <w:bookmarkEnd w:id="315"/>
      <w:bookmarkEnd w:id="316"/>
      <w:bookmarkEnd w:id="317"/>
      <w:bookmarkEnd w:id="318"/>
      <w:bookmarkEnd w:id="319"/>
      <w:bookmarkEnd w:id="320"/>
      <w:bookmarkEnd w:id="321"/>
      <w:bookmarkEnd w:id="322"/>
    </w:p>
    <w:p w:rsidR="009D61A9" w:rsidRPr="00762161" w:rsidRDefault="004B07A7" w:rsidP="009D61A9">
      <w:pPr>
        <w:pStyle w:val="Heading2"/>
        <w:numPr>
          <w:ilvl w:val="1"/>
          <w:numId w:val="17"/>
        </w:numPr>
      </w:pPr>
      <w:bookmarkStart w:id="323" w:name="_Toc286616323"/>
      <w:r>
        <w:t>Stock Prices and the Economic Indicators</w:t>
      </w:r>
      <w:bookmarkEnd w:id="323"/>
    </w:p>
    <w:p w:rsidR="009D61A9" w:rsidRPr="00762161" w:rsidRDefault="009D61A9" w:rsidP="009D61A9">
      <w:pPr>
        <w:spacing w:before="480"/>
      </w:pPr>
      <w:r w:rsidRPr="00762161">
        <w:t xml:space="preserve">Following Barro (1990) and Park (1997), Binswanger (2000) also notices the degree of correlation between stock returns and future production growth rates to be increasing with the length of time period for which they were calculated. Variations of annual returns are explained well by future production growth rates while they only explained a fraction of monthly returns. </w:t>
      </w:r>
    </w:p>
    <w:p w:rsidR="009D61A9" w:rsidRPr="00762161" w:rsidRDefault="009D61A9" w:rsidP="004C29A2">
      <w:pPr>
        <w:rPr>
          <w:bCs/>
          <w:szCs w:val="24"/>
        </w:rPr>
      </w:pPr>
      <w:r w:rsidRPr="00762161">
        <w:t xml:space="preserve">Furthermore, </w:t>
      </w:r>
      <w:r w:rsidRPr="00762161">
        <w:rPr>
          <w:bCs/>
          <w:szCs w:val="24"/>
        </w:rPr>
        <w:t xml:space="preserve">Chen, Roll &amp; Ross (1986) state that </w:t>
      </w:r>
      <w:r w:rsidRPr="00762161">
        <w:t>t</w:t>
      </w:r>
      <w:r w:rsidRPr="00762161">
        <w:rPr>
          <w:bCs/>
          <w:szCs w:val="24"/>
        </w:rPr>
        <w:t xml:space="preserve">he </w:t>
      </w:r>
      <w:r w:rsidR="004B07A7">
        <w:rPr>
          <w:bCs/>
          <w:szCs w:val="24"/>
        </w:rPr>
        <w:t>Industrial Production</w:t>
      </w:r>
      <w:r w:rsidRPr="00762161">
        <w:rPr>
          <w:bCs/>
          <w:szCs w:val="24"/>
        </w:rPr>
        <w:t xml:space="preserve"> yearly growth rates, were examined because the equity market is related to changes in industrial activity in the long run. Since stock market prices involve the valuation of cash flows over long periods in the future, monthly stock returns may not be highly related to contemporaneous monthly changes in rates of </w:t>
      </w:r>
      <w:r w:rsidR="004B07A7">
        <w:rPr>
          <w:bCs/>
          <w:szCs w:val="24"/>
        </w:rPr>
        <w:t>Industrial Production</w:t>
      </w:r>
      <w:r w:rsidRPr="00762161">
        <w:rPr>
          <w:bCs/>
          <w:szCs w:val="24"/>
        </w:rPr>
        <w:t xml:space="preserve">, although such changes might capture the information pertinent for pricing. This month's change in stock prices probably reflects changes in </w:t>
      </w:r>
      <w:r w:rsidR="004B07A7">
        <w:rPr>
          <w:bCs/>
          <w:szCs w:val="24"/>
        </w:rPr>
        <w:t>Industrial Production</w:t>
      </w:r>
      <w:r w:rsidRPr="00762161">
        <w:rPr>
          <w:bCs/>
          <w:szCs w:val="24"/>
        </w:rPr>
        <w:t xml:space="preserve"> anticipated many months into the future. </w:t>
      </w:r>
    </w:p>
    <w:p w:rsidR="004C29A2" w:rsidRPr="00762161" w:rsidRDefault="004C29A2" w:rsidP="004C29A2">
      <w:pPr>
        <w:rPr>
          <w:bCs/>
          <w:szCs w:val="24"/>
        </w:rPr>
      </w:pPr>
      <w:r>
        <w:rPr>
          <w:bCs/>
          <w:szCs w:val="24"/>
        </w:rPr>
        <w:t>From this study’s perspective, t</w:t>
      </w:r>
      <w:r w:rsidR="009D61A9" w:rsidRPr="00762161">
        <w:rPr>
          <w:bCs/>
          <w:szCs w:val="24"/>
        </w:rPr>
        <w:t xml:space="preserve">he basic series is the growth rate in South Africa’s </w:t>
      </w:r>
      <w:r w:rsidR="004B07A7">
        <w:rPr>
          <w:bCs/>
          <w:szCs w:val="24"/>
        </w:rPr>
        <w:t>Industrial Production and GDP</w:t>
      </w:r>
      <w:r w:rsidR="009D61A9" w:rsidRPr="00762161">
        <w:rPr>
          <w:bCs/>
          <w:szCs w:val="24"/>
        </w:rPr>
        <w:t xml:space="preserve">. </w:t>
      </w:r>
      <w:r w:rsidR="004B07A7">
        <w:rPr>
          <w:bCs/>
          <w:szCs w:val="24"/>
        </w:rPr>
        <w:t>Both</w:t>
      </w:r>
      <w:r w:rsidR="009D61A9" w:rsidRPr="00762161">
        <w:rPr>
          <w:bCs/>
          <w:szCs w:val="24"/>
        </w:rPr>
        <w:t xml:space="preserve"> series was obtained from the SARB and then, as previously stipulated, </w:t>
      </w:r>
      <w:r w:rsidR="004B07A7">
        <w:rPr>
          <w:bCs/>
          <w:szCs w:val="24"/>
        </w:rPr>
        <w:t xml:space="preserve">Industrial Production </w:t>
      </w:r>
      <w:r w:rsidR="009D61A9" w:rsidRPr="00762161">
        <w:rPr>
          <w:bCs/>
          <w:szCs w:val="24"/>
        </w:rPr>
        <w:t xml:space="preserve">was manipulated to form an index. </w:t>
      </w:r>
      <w:r w:rsidR="00637712">
        <w:rPr>
          <w:bCs/>
          <w:szCs w:val="24"/>
        </w:rPr>
        <w:t>All</w:t>
      </w:r>
      <w:r w:rsidRPr="00762161">
        <w:rPr>
          <w:bCs/>
          <w:szCs w:val="24"/>
        </w:rPr>
        <w:t xml:space="preserve"> </w:t>
      </w:r>
      <w:r w:rsidR="004B07A7">
        <w:rPr>
          <w:bCs/>
          <w:szCs w:val="24"/>
        </w:rPr>
        <w:t>Industrial Production and GDP</w:t>
      </w:r>
      <w:r w:rsidRPr="00762161">
        <w:rPr>
          <w:bCs/>
          <w:szCs w:val="24"/>
        </w:rPr>
        <w:t xml:space="preserve"> data</w:t>
      </w:r>
      <w:r w:rsidR="00637712">
        <w:rPr>
          <w:bCs/>
          <w:szCs w:val="24"/>
        </w:rPr>
        <w:t xml:space="preserve"> was provided by SARB </w:t>
      </w:r>
      <w:r w:rsidRPr="00762161">
        <w:rPr>
          <w:bCs/>
          <w:szCs w:val="24"/>
        </w:rPr>
        <w:t>at market prices.</w:t>
      </w:r>
    </w:p>
    <w:p w:rsidR="009D61A9" w:rsidRPr="00762161" w:rsidRDefault="009D61A9" w:rsidP="004C29A2">
      <w:pPr>
        <w:autoSpaceDE w:val="0"/>
        <w:autoSpaceDN w:val="0"/>
        <w:adjustRightInd w:val="0"/>
      </w:pPr>
      <w:r w:rsidRPr="00762161">
        <w:rPr>
          <w:rFonts w:eastAsia="PMingLiU"/>
          <w:szCs w:val="24"/>
          <w:lang w:eastAsia="zh-TW"/>
        </w:rPr>
        <w:t xml:space="preserve">This study only looks at the primary and secondary sectors in the calculation of the </w:t>
      </w:r>
      <w:r w:rsidR="004B07A7">
        <w:rPr>
          <w:rFonts w:eastAsia="PMingLiU"/>
          <w:szCs w:val="24"/>
          <w:lang w:eastAsia="zh-TW"/>
        </w:rPr>
        <w:t>Industrial Production</w:t>
      </w:r>
      <w:r w:rsidRPr="00762161">
        <w:rPr>
          <w:rFonts w:eastAsia="PMingLiU"/>
          <w:szCs w:val="24"/>
          <w:lang w:eastAsia="zh-TW"/>
        </w:rPr>
        <w:t>. The main purpose of this study is to evaluate the main stream industry of South Africa, that being the primary and secondary sectors, and as such t</w:t>
      </w:r>
      <w:r w:rsidRPr="00762161">
        <w:t xml:space="preserve">he tertiary sector was excluded. As previously stated, the </w:t>
      </w:r>
      <w:r w:rsidR="004B07A7">
        <w:t>Industrial Production</w:t>
      </w:r>
      <w:r w:rsidRPr="00762161">
        <w:t xml:space="preserve"> index was constructed from 5 series, that being: agriculture, forestry and fishing; mining and quarrying; manufacturing; electricity, gas and water; and </w:t>
      </w:r>
      <w:r w:rsidRPr="00762161">
        <w:rPr>
          <w:szCs w:val="24"/>
        </w:rPr>
        <w:t xml:space="preserve">construction. </w:t>
      </w:r>
      <w:r w:rsidRPr="00762161">
        <w:t xml:space="preserve"> </w:t>
      </w:r>
    </w:p>
    <w:p w:rsidR="009D61A9" w:rsidRPr="00762161" w:rsidRDefault="009D61A9" w:rsidP="004C29A2">
      <w:pPr>
        <w:autoSpaceDE w:val="0"/>
        <w:autoSpaceDN w:val="0"/>
        <w:adjustRightInd w:val="0"/>
        <w:rPr>
          <w:bCs/>
          <w:szCs w:val="24"/>
        </w:rPr>
      </w:pPr>
      <w:r w:rsidRPr="00762161">
        <w:rPr>
          <w:rFonts w:eastAsia="PMingLiU"/>
          <w:szCs w:val="24"/>
          <w:lang w:eastAsia="zh-TW"/>
        </w:rPr>
        <w:t>Combined, the primary and secondary sectors contributed 22.6% (at constant prices, seasonally adjusted) of the total value added in the South African economy (i.e. GDP less taxes, plus subsidies) during the first half of 2010, and accounted for 28.2% of overall employment, or around 3.5 million workers, in 2009. Amongst the secondary sectors, manufacturing accounted for 15.2% of overall GDP in the first semester of 2010, but only 11.5% of total employment in 2009. Within the primary sectors, mining and quarrying contributed 5.3% to overall GDP and 4.0% to total employment. The importance of the combined agriculture, forestry and fishing sector to the South African economy is not only measurable in terms of food security, but also due to its employment contribution - this primary sector may represent only 2.1% of total GDP, but employs 6.4% of the overall workforce.</w:t>
      </w:r>
      <w:r w:rsidRPr="00762161">
        <w:rPr>
          <w:rStyle w:val="FootnoteReference"/>
          <w:rFonts w:eastAsia="PMingLiU"/>
          <w:szCs w:val="24"/>
          <w:lang w:eastAsia="zh-TW"/>
        </w:rPr>
        <w:footnoteReference w:id="2"/>
      </w:r>
      <w:r w:rsidRPr="00762161">
        <w:rPr>
          <w:rFonts w:eastAsia="PMingLiU"/>
          <w:szCs w:val="24"/>
          <w:lang w:eastAsia="zh-TW"/>
        </w:rPr>
        <w:t xml:space="preserve"> </w:t>
      </w:r>
    </w:p>
    <w:p w:rsidR="009D61A9" w:rsidRPr="00762161" w:rsidRDefault="009D61A9" w:rsidP="009D61A9">
      <w:pPr>
        <w:spacing w:before="480"/>
        <w:rPr>
          <w:bCs/>
          <w:szCs w:val="24"/>
        </w:rPr>
      </w:pPr>
      <w:r w:rsidRPr="00762161">
        <w:rPr>
          <w:bCs/>
          <w:szCs w:val="24"/>
        </w:rPr>
        <w:t xml:space="preserve">The </w:t>
      </w:r>
      <w:r w:rsidR="004B07A7">
        <w:rPr>
          <w:bCs/>
          <w:szCs w:val="24"/>
        </w:rPr>
        <w:t>Industrial Production</w:t>
      </w:r>
      <w:r w:rsidRPr="00762161">
        <w:rPr>
          <w:bCs/>
          <w:szCs w:val="24"/>
        </w:rPr>
        <w:t xml:space="preserve"> yearly </w:t>
      </w:r>
      <w:r w:rsidR="00735A62" w:rsidRPr="00762161">
        <w:rPr>
          <w:bCs/>
          <w:szCs w:val="24"/>
        </w:rPr>
        <w:t>levels</w:t>
      </w:r>
      <w:r w:rsidRPr="00762161">
        <w:rPr>
          <w:bCs/>
          <w:szCs w:val="24"/>
        </w:rPr>
        <w:t xml:space="preserve"> were examined because the equity market is related to changes in industrial activity in the long run. Since stock market prices involve the valuation of cash flows over long periods in the future, monthly stock returns may not be highly related to contemporaneous monthly changes in rates of </w:t>
      </w:r>
      <w:r w:rsidR="004B07A7">
        <w:rPr>
          <w:bCs/>
          <w:szCs w:val="24"/>
        </w:rPr>
        <w:t>Industrial Production</w:t>
      </w:r>
      <w:r w:rsidRPr="00762161">
        <w:rPr>
          <w:bCs/>
          <w:szCs w:val="24"/>
        </w:rPr>
        <w:t xml:space="preserve">, although such changes might capture the information pertinent for pricing. This month's change in stock prices probably reflects changes in </w:t>
      </w:r>
      <w:r w:rsidR="004B07A7">
        <w:rPr>
          <w:bCs/>
          <w:szCs w:val="24"/>
        </w:rPr>
        <w:t>Industrial Production</w:t>
      </w:r>
      <w:r w:rsidRPr="00762161">
        <w:rPr>
          <w:bCs/>
          <w:szCs w:val="24"/>
        </w:rPr>
        <w:t xml:space="preserve"> anticipated many months into the future. </w:t>
      </w:r>
    </w:p>
    <w:p w:rsidR="009D61A9" w:rsidRPr="00762161" w:rsidRDefault="004B07A7" w:rsidP="009D61A9">
      <w:pPr>
        <w:spacing w:before="480"/>
        <w:rPr>
          <w:bCs/>
          <w:szCs w:val="24"/>
        </w:rPr>
      </w:pPr>
      <w:r>
        <w:rPr>
          <w:bCs/>
          <w:szCs w:val="24"/>
        </w:rPr>
        <w:t>From an Inflation point of view, n</w:t>
      </w:r>
      <w:r w:rsidR="009D61A9" w:rsidRPr="00762161">
        <w:rPr>
          <w:bCs/>
          <w:szCs w:val="24"/>
        </w:rPr>
        <w:t xml:space="preserve">either the Consumer Price Index nor Inflation data was manipulated in any way. As previously stipulated, data was only available from first quarter 1980 until third quarter 2010, thus inflation was used to manipulate and predict the CPI levels for the period 1969 to 1980. This modified CPI was used in the calculation of the real share price levels. </w:t>
      </w:r>
    </w:p>
    <w:p w:rsidR="009D61A9" w:rsidRPr="00762161" w:rsidRDefault="009D61A9" w:rsidP="009D61A9">
      <w:pPr>
        <w:spacing w:before="480"/>
        <w:rPr>
          <w:bCs/>
          <w:szCs w:val="24"/>
        </w:rPr>
      </w:pPr>
      <w:r w:rsidRPr="00762161">
        <w:rPr>
          <w:bCs/>
          <w:szCs w:val="24"/>
        </w:rPr>
        <w:t>This study does not look at the change in inflation from one period to the next, as inflation is mostly used as a dependant variable in the regressions. Consequently the focus of the study points towards the level of inflation at a point in time as opposed to the growth from one period to the next.</w:t>
      </w:r>
    </w:p>
    <w:p w:rsidR="009D61A9" w:rsidRPr="00762161" w:rsidRDefault="009D61A9" w:rsidP="009D61A9">
      <w:pPr>
        <w:spacing w:before="480"/>
        <w:rPr>
          <w:bCs/>
          <w:szCs w:val="24"/>
        </w:rPr>
      </w:pPr>
      <w:r w:rsidRPr="00762161">
        <w:rPr>
          <w:bCs/>
          <w:szCs w:val="24"/>
        </w:rPr>
        <w:t xml:space="preserve">CPI was not used in the calculation of </w:t>
      </w:r>
      <w:r w:rsidR="004B07A7">
        <w:rPr>
          <w:bCs/>
          <w:szCs w:val="24"/>
        </w:rPr>
        <w:t>Industrial Production</w:t>
      </w:r>
      <w:r w:rsidRPr="00762161">
        <w:rPr>
          <w:bCs/>
          <w:szCs w:val="24"/>
        </w:rPr>
        <w:t xml:space="preserve">, because, as previously stated, SARB provided the data in base quarter and year periods, in other words, the figures already had the pricing bias removed from them thus resulting in pre-determined real levels. </w:t>
      </w:r>
    </w:p>
    <w:p w:rsidR="009D61A9" w:rsidRPr="00762161" w:rsidRDefault="009D61A9" w:rsidP="009D61A9">
      <w:pPr>
        <w:spacing w:before="480"/>
      </w:pPr>
      <w:r w:rsidRPr="00762161">
        <w:t>This study utilizes the CI01 from the final quarter in 1969 until first quarter 2002, and the J203 from second quarter 2002 until third quarter 2010. The J204 is not included in the all share calculation, due to the inclusion of illiquid companies in its construction. Should this inherent illiquidity be included, biases may result.</w:t>
      </w:r>
    </w:p>
    <w:p w:rsidR="00606490" w:rsidRPr="00762161" w:rsidRDefault="00606490" w:rsidP="009D61A9">
      <w:pPr>
        <w:spacing w:before="480"/>
        <w:rPr>
          <w:szCs w:val="24"/>
        </w:rPr>
      </w:pPr>
      <w:r w:rsidRPr="00762161">
        <w:t>Mlambo &amp; Biekpe (2007) argue that using data measured over longer time periods may allay the fears of thin trading on the JSE. The authors found that by increasing the time interval, potential biases associated with thin trading were reduced by increasing the probability of having at least one trade in the interval.</w:t>
      </w:r>
    </w:p>
    <w:p w:rsidR="009D61A9" w:rsidRPr="00762161" w:rsidRDefault="009D61A9" w:rsidP="009D61A9">
      <w:pPr>
        <w:spacing w:before="480"/>
      </w:pPr>
    </w:p>
    <w:p w:rsidR="009D61A9" w:rsidRPr="00762161" w:rsidRDefault="009D61A9" w:rsidP="009D61A9">
      <w:pPr>
        <w:pStyle w:val="Heading2"/>
        <w:numPr>
          <w:ilvl w:val="1"/>
          <w:numId w:val="17"/>
        </w:numPr>
      </w:pPr>
      <w:bookmarkStart w:id="324" w:name="_Toc282531638"/>
      <w:bookmarkStart w:id="325" w:name="_Toc286616324"/>
      <w:r w:rsidRPr="00762161">
        <w:t>Regression Analysis</w:t>
      </w:r>
      <w:bookmarkEnd w:id="324"/>
      <w:bookmarkEnd w:id="325"/>
    </w:p>
    <w:p w:rsidR="009D61A9" w:rsidRPr="00762161" w:rsidRDefault="009D61A9" w:rsidP="009D61A9">
      <w:pPr>
        <w:autoSpaceDE w:val="0"/>
        <w:autoSpaceDN w:val="0"/>
        <w:adjustRightInd w:val="0"/>
        <w:spacing w:after="0"/>
        <w:rPr>
          <w:rFonts w:eastAsia="PMingLiU"/>
          <w:szCs w:val="24"/>
          <w:lang w:eastAsia="zh-TW"/>
        </w:rPr>
      </w:pPr>
      <w:r w:rsidRPr="00762161">
        <w:rPr>
          <w:szCs w:val="24"/>
        </w:rPr>
        <w:t xml:space="preserve">The main purpose of the study was the evaluation of whether there is a predictive element to share prices. Therefore share prices were the common dependant variable in the regression analysis of this paper. Share prices were evaluated with regard to variables: GDP, inflation and </w:t>
      </w:r>
      <w:r w:rsidR="004B07A7">
        <w:rPr>
          <w:szCs w:val="24"/>
        </w:rPr>
        <w:t>Industrial Production</w:t>
      </w:r>
      <w:r w:rsidRPr="00762161">
        <w:rPr>
          <w:szCs w:val="24"/>
        </w:rPr>
        <w:t xml:space="preserve">. </w:t>
      </w:r>
      <w:r w:rsidRPr="00762161">
        <w:rPr>
          <w:rFonts w:eastAsia="PMingLiU"/>
          <w:szCs w:val="24"/>
          <w:lang w:eastAsia="zh-TW"/>
        </w:rPr>
        <w:t>The basic methodology employs a</w:t>
      </w:r>
      <w:r w:rsidR="00F71140">
        <w:rPr>
          <w:rFonts w:eastAsia="PMingLiU"/>
          <w:szCs w:val="24"/>
          <w:lang w:eastAsia="zh-TW"/>
        </w:rPr>
        <w:t>n</w:t>
      </w:r>
      <w:r w:rsidRPr="00762161">
        <w:rPr>
          <w:rFonts w:eastAsia="PMingLiU"/>
          <w:szCs w:val="24"/>
          <w:lang w:eastAsia="zh-TW"/>
        </w:rPr>
        <w:t xml:space="preserve"> </w:t>
      </w:r>
      <w:r w:rsidR="00F71140">
        <w:rPr>
          <w:rFonts w:eastAsia="PMingLiU"/>
          <w:szCs w:val="24"/>
          <w:lang w:eastAsia="zh-TW"/>
        </w:rPr>
        <w:t>Autoregressive</w:t>
      </w:r>
      <w:r w:rsidRPr="00762161">
        <w:rPr>
          <w:rFonts w:eastAsia="PMingLiU"/>
          <w:szCs w:val="24"/>
          <w:lang w:eastAsia="zh-TW"/>
        </w:rPr>
        <w:t xml:space="preserve"> equation</w:t>
      </w:r>
      <w:r w:rsidR="00F71140">
        <w:rPr>
          <w:rFonts w:eastAsia="PMingLiU"/>
          <w:szCs w:val="24"/>
          <w:lang w:eastAsia="zh-TW"/>
        </w:rPr>
        <w:t>, containing one lag (1),</w:t>
      </w:r>
      <w:r w:rsidRPr="00762161">
        <w:rPr>
          <w:rFonts w:eastAsia="PMingLiU"/>
          <w:szCs w:val="24"/>
          <w:lang w:eastAsia="zh-TW"/>
        </w:rPr>
        <w:t xml:space="preserve"> for each macroeconomic aggregate. </w:t>
      </w:r>
    </w:p>
    <w:p w:rsidR="00FB0C03" w:rsidRDefault="00F65B15" w:rsidP="009D61A9">
      <w:pPr>
        <w:autoSpaceDE w:val="0"/>
        <w:autoSpaceDN w:val="0"/>
        <w:adjustRightInd w:val="0"/>
        <w:spacing w:after="0"/>
        <w:rPr>
          <w:rFonts w:eastAsia="PMingLiU"/>
          <w:szCs w:val="24"/>
          <w:lang w:eastAsia="zh-TW"/>
        </w:rPr>
      </w:pPr>
      <w:r w:rsidRPr="00762161">
        <w:rPr>
          <w:rFonts w:eastAsia="PMingLiU"/>
          <w:szCs w:val="24"/>
          <w:lang w:eastAsia="zh-TW"/>
        </w:rPr>
        <w:t xml:space="preserve">The data set has a strong business cycle element to it, with an </w:t>
      </w:r>
      <w:r w:rsidR="00F71140">
        <w:rPr>
          <w:rFonts w:eastAsia="PMingLiU"/>
          <w:szCs w:val="24"/>
          <w:lang w:eastAsia="zh-TW"/>
        </w:rPr>
        <w:t>upward</w:t>
      </w:r>
      <w:r w:rsidRPr="00762161">
        <w:rPr>
          <w:rFonts w:eastAsia="PMingLiU"/>
          <w:szCs w:val="24"/>
          <w:lang w:eastAsia="zh-TW"/>
        </w:rPr>
        <w:t xml:space="preserve"> trend component. Most studies simply difference</w:t>
      </w:r>
      <w:r w:rsidR="0084763C" w:rsidRPr="00762161">
        <w:rPr>
          <w:rFonts w:eastAsia="PMingLiU"/>
          <w:szCs w:val="24"/>
          <w:lang w:eastAsia="zh-TW"/>
        </w:rPr>
        <w:t>, or log difference,</w:t>
      </w:r>
      <w:r w:rsidRPr="00762161">
        <w:rPr>
          <w:rFonts w:eastAsia="PMingLiU"/>
          <w:szCs w:val="24"/>
          <w:lang w:eastAsia="zh-TW"/>
        </w:rPr>
        <w:t xml:space="preserve"> the data set to make it s</w:t>
      </w:r>
      <w:r w:rsidR="00EB1919" w:rsidRPr="00762161">
        <w:rPr>
          <w:rFonts w:eastAsia="PMingLiU"/>
          <w:szCs w:val="24"/>
          <w:lang w:eastAsia="zh-TW"/>
        </w:rPr>
        <w:t>tationary.</w:t>
      </w:r>
      <w:r w:rsidRPr="00762161">
        <w:rPr>
          <w:rFonts w:eastAsia="PMingLiU"/>
          <w:szCs w:val="24"/>
          <w:lang w:eastAsia="zh-TW"/>
        </w:rPr>
        <w:t xml:space="preserve"> </w:t>
      </w:r>
      <w:r w:rsidR="00EB1919" w:rsidRPr="00762161">
        <w:rPr>
          <w:rFonts w:eastAsia="PMingLiU"/>
          <w:szCs w:val="24"/>
          <w:lang w:eastAsia="zh-TW"/>
        </w:rPr>
        <w:t>Y</w:t>
      </w:r>
      <w:r w:rsidRPr="00762161">
        <w:rPr>
          <w:rFonts w:eastAsia="PMingLiU"/>
          <w:szCs w:val="24"/>
          <w:lang w:eastAsia="zh-TW"/>
        </w:rPr>
        <w:t>et the strong presence of trend would almost surely distort any conclusions which can be drawn from the results</w:t>
      </w:r>
      <w:r w:rsidR="00EB1919" w:rsidRPr="00762161">
        <w:rPr>
          <w:rFonts w:eastAsia="PMingLiU"/>
          <w:szCs w:val="24"/>
          <w:lang w:eastAsia="zh-TW"/>
        </w:rPr>
        <w:t xml:space="preserve"> through the </w:t>
      </w:r>
      <w:r w:rsidR="00F71140">
        <w:rPr>
          <w:rFonts w:eastAsia="PMingLiU"/>
          <w:szCs w:val="24"/>
          <w:lang w:eastAsia="zh-TW"/>
        </w:rPr>
        <w:t>consequent</w:t>
      </w:r>
      <w:r w:rsidR="00EB1919" w:rsidRPr="00762161">
        <w:rPr>
          <w:rFonts w:eastAsia="PMingLiU"/>
          <w:szCs w:val="24"/>
          <w:lang w:eastAsia="zh-TW"/>
        </w:rPr>
        <w:t xml:space="preserve"> biases</w:t>
      </w:r>
      <w:r w:rsidRPr="00762161">
        <w:rPr>
          <w:rFonts w:eastAsia="PMingLiU"/>
          <w:szCs w:val="24"/>
          <w:lang w:eastAsia="zh-TW"/>
        </w:rPr>
        <w:t>.</w:t>
      </w:r>
      <w:r w:rsidR="0084763C" w:rsidRPr="00762161">
        <w:rPr>
          <w:rFonts w:eastAsia="PMingLiU"/>
          <w:szCs w:val="24"/>
          <w:lang w:eastAsia="zh-TW"/>
        </w:rPr>
        <w:t xml:space="preserve"> </w:t>
      </w:r>
      <w:r w:rsidR="0045399E" w:rsidRPr="00762161">
        <w:rPr>
          <w:rFonts w:eastAsia="PMingLiU"/>
          <w:szCs w:val="24"/>
          <w:lang w:eastAsia="zh-TW"/>
        </w:rPr>
        <w:t xml:space="preserve">Canova (1998) states that business cycle fluctuations are typically identified with deviations from the trend of the process. </w:t>
      </w:r>
      <w:r w:rsidR="00C37AA4" w:rsidRPr="00762161">
        <w:rPr>
          <w:rFonts w:eastAsia="PMingLiU"/>
          <w:szCs w:val="24"/>
          <w:lang w:eastAsia="zh-TW"/>
        </w:rPr>
        <w:t>Using both an Au</w:t>
      </w:r>
      <w:r w:rsidR="00F71140">
        <w:rPr>
          <w:rFonts w:eastAsia="PMingLiU"/>
          <w:szCs w:val="24"/>
          <w:lang w:eastAsia="zh-TW"/>
        </w:rPr>
        <w:t>gmented Dickey Fuller Test and C</w:t>
      </w:r>
      <w:r w:rsidR="00C37AA4" w:rsidRPr="00762161">
        <w:rPr>
          <w:rFonts w:eastAsia="PMingLiU"/>
          <w:szCs w:val="24"/>
          <w:lang w:eastAsia="zh-TW"/>
        </w:rPr>
        <w:t xml:space="preserve">orrelograms, the data also exhibited strong </w:t>
      </w:r>
      <w:r w:rsidR="00F71140">
        <w:rPr>
          <w:rFonts w:eastAsia="PMingLiU"/>
          <w:szCs w:val="24"/>
          <w:lang w:eastAsia="zh-TW"/>
        </w:rPr>
        <w:t xml:space="preserve">degree of </w:t>
      </w:r>
      <w:r w:rsidR="00C37AA4" w:rsidRPr="00762161">
        <w:rPr>
          <w:rFonts w:eastAsia="PMingLiU"/>
          <w:szCs w:val="24"/>
          <w:lang w:eastAsia="zh-TW"/>
        </w:rPr>
        <w:t>non stationarity. The variables exhibiting both these characteristics</w:t>
      </w:r>
      <w:r w:rsidR="00F71140">
        <w:rPr>
          <w:rFonts w:eastAsia="PMingLiU"/>
          <w:szCs w:val="24"/>
          <w:lang w:eastAsia="zh-TW"/>
        </w:rPr>
        <w:t xml:space="preserve"> (trend and non stationarity)</w:t>
      </w:r>
      <w:r w:rsidR="00C37AA4" w:rsidRPr="00762161">
        <w:rPr>
          <w:rFonts w:eastAsia="PMingLiU"/>
          <w:szCs w:val="24"/>
          <w:lang w:eastAsia="zh-TW"/>
        </w:rPr>
        <w:t xml:space="preserve"> were</w:t>
      </w:r>
      <w:r w:rsidR="00F71140">
        <w:rPr>
          <w:rFonts w:eastAsia="PMingLiU"/>
          <w:szCs w:val="24"/>
          <w:lang w:eastAsia="zh-TW"/>
        </w:rPr>
        <w:t xml:space="preserve"> </w:t>
      </w:r>
      <w:r w:rsidR="00627488">
        <w:rPr>
          <w:rFonts w:eastAsia="PMingLiU"/>
          <w:szCs w:val="24"/>
          <w:lang w:eastAsia="zh-TW"/>
        </w:rPr>
        <w:t>Real GDP</w:t>
      </w:r>
      <w:r w:rsidR="00C37AA4" w:rsidRPr="00762161">
        <w:rPr>
          <w:rFonts w:eastAsia="PMingLiU"/>
          <w:szCs w:val="24"/>
          <w:lang w:eastAsia="zh-TW"/>
        </w:rPr>
        <w:t>,</w:t>
      </w:r>
      <w:r w:rsidR="00F71140">
        <w:rPr>
          <w:rFonts w:eastAsia="PMingLiU"/>
          <w:szCs w:val="24"/>
          <w:lang w:eastAsia="zh-TW"/>
        </w:rPr>
        <w:t xml:space="preserve"> Real </w:t>
      </w:r>
      <w:r w:rsidR="004B07A7">
        <w:rPr>
          <w:rFonts w:eastAsia="PMingLiU"/>
          <w:szCs w:val="24"/>
          <w:lang w:eastAsia="zh-TW"/>
        </w:rPr>
        <w:t>Industrial Production</w:t>
      </w:r>
      <w:r w:rsidR="00C37AA4" w:rsidRPr="00762161">
        <w:rPr>
          <w:rFonts w:eastAsia="PMingLiU"/>
          <w:szCs w:val="24"/>
          <w:lang w:eastAsia="zh-TW"/>
        </w:rPr>
        <w:t xml:space="preserve"> and</w:t>
      </w:r>
      <w:r w:rsidR="00F71140">
        <w:rPr>
          <w:rFonts w:eastAsia="PMingLiU"/>
          <w:szCs w:val="24"/>
          <w:lang w:eastAsia="zh-TW"/>
        </w:rPr>
        <w:t xml:space="preserve"> </w:t>
      </w:r>
      <w:r w:rsidR="00627488">
        <w:rPr>
          <w:rFonts w:eastAsia="PMingLiU"/>
          <w:szCs w:val="24"/>
          <w:lang w:eastAsia="zh-TW"/>
        </w:rPr>
        <w:t>Real Stock Price</w:t>
      </w:r>
      <w:r w:rsidR="00C37AA4" w:rsidRPr="00762161">
        <w:rPr>
          <w:rFonts w:eastAsia="PMingLiU"/>
          <w:szCs w:val="24"/>
          <w:lang w:eastAsia="zh-TW"/>
        </w:rPr>
        <w:t>s, c</w:t>
      </w:r>
      <w:r w:rsidR="0084763C" w:rsidRPr="00762161">
        <w:rPr>
          <w:rFonts w:eastAsia="PMingLiU"/>
          <w:szCs w:val="24"/>
          <w:lang w:eastAsia="zh-TW"/>
        </w:rPr>
        <w:t>onsequently a Hodrick &amp; Prescott (1980) filter (HP filter) was applied</w:t>
      </w:r>
      <w:r w:rsidR="00075669">
        <w:rPr>
          <w:rStyle w:val="FootnoteReference"/>
          <w:rFonts w:eastAsia="PMingLiU"/>
          <w:szCs w:val="24"/>
          <w:lang w:eastAsia="zh-TW"/>
        </w:rPr>
        <w:footnoteReference w:id="3"/>
      </w:r>
      <w:r w:rsidR="0084763C" w:rsidRPr="00762161">
        <w:rPr>
          <w:rFonts w:eastAsia="PMingLiU"/>
          <w:szCs w:val="24"/>
          <w:lang w:eastAsia="zh-TW"/>
        </w:rPr>
        <w:t>, to distinguish and separate the trend from the cycle in the data</w:t>
      </w:r>
      <w:r w:rsidR="00C37AA4" w:rsidRPr="00762161">
        <w:rPr>
          <w:rFonts w:eastAsia="PMingLiU"/>
          <w:szCs w:val="24"/>
          <w:lang w:eastAsia="zh-TW"/>
        </w:rPr>
        <w:t>, and make the data stationary</w:t>
      </w:r>
      <w:r w:rsidR="0084763C" w:rsidRPr="00762161">
        <w:rPr>
          <w:rFonts w:eastAsia="PMingLiU"/>
          <w:szCs w:val="24"/>
          <w:lang w:eastAsia="zh-TW"/>
        </w:rPr>
        <w:t>. Cano</w:t>
      </w:r>
      <w:r w:rsidR="00D20F83" w:rsidRPr="00762161">
        <w:rPr>
          <w:rFonts w:eastAsia="PMingLiU"/>
          <w:szCs w:val="24"/>
          <w:lang w:eastAsia="zh-TW"/>
        </w:rPr>
        <w:t>v</w:t>
      </w:r>
      <w:r w:rsidR="0084763C" w:rsidRPr="00762161">
        <w:rPr>
          <w:rFonts w:eastAsia="PMingLiU"/>
          <w:szCs w:val="24"/>
          <w:lang w:eastAsia="zh-TW"/>
        </w:rPr>
        <w:t>a (1998) explains that the HP filter has become increasingly popular in the characterization of the behaviour of macroeconomic variables over the business cycle using a set of uncontroversial summary statistics</w:t>
      </w:r>
      <w:r w:rsidR="00F71140">
        <w:rPr>
          <w:rFonts w:eastAsia="PMingLiU"/>
          <w:szCs w:val="24"/>
          <w:lang w:eastAsia="zh-TW"/>
        </w:rPr>
        <w:t>.</w:t>
      </w:r>
      <w:r w:rsidR="0084763C" w:rsidRPr="00762161">
        <w:rPr>
          <w:rFonts w:eastAsia="PMingLiU"/>
          <w:szCs w:val="24"/>
          <w:lang w:eastAsia="zh-TW"/>
        </w:rPr>
        <w:t xml:space="preserve"> The author further explains that the filter gives a coarse summary of the complex comovements existing among the aggregates in the economy and in doing so allows a rough calculation of the magnitude of the fluctuations in economic variables and essentially helps to guide research towards the identification of leading indicators for economic activity</w:t>
      </w:r>
      <w:r w:rsidR="008D1C60" w:rsidRPr="00762161">
        <w:rPr>
          <w:rFonts w:eastAsia="PMingLiU"/>
          <w:szCs w:val="24"/>
          <w:lang w:eastAsia="zh-TW"/>
        </w:rPr>
        <w:t>.</w:t>
      </w:r>
    </w:p>
    <w:p w:rsidR="00FC7EFA" w:rsidRDefault="00F71140" w:rsidP="009D61A9">
      <w:pPr>
        <w:autoSpaceDE w:val="0"/>
        <w:autoSpaceDN w:val="0"/>
        <w:adjustRightInd w:val="0"/>
        <w:spacing w:after="0"/>
        <w:rPr>
          <w:rFonts w:eastAsia="PMingLiU"/>
          <w:szCs w:val="24"/>
          <w:lang w:eastAsia="zh-TW"/>
        </w:rPr>
      </w:pPr>
      <w:r>
        <w:rPr>
          <w:rFonts w:eastAsia="PMingLiU"/>
          <w:szCs w:val="24"/>
          <w:lang w:eastAsia="zh-TW"/>
        </w:rPr>
        <w:t xml:space="preserve">Following on, </w:t>
      </w:r>
      <w:r w:rsidR="00762161" w:rsidRPr="00762161">
        <w:rPr>
          <w:rFonts w:eastAsia="PMingLiU"/>
          <w:szCs w:val="24"/>
          <w:lang w:eastAsia="zh-TW"/>
        </w:rPr>
        <w:t>Sichel (1993</w:t>
      </w:r>
      <w:r w:rsidR="00762161">
        <w:rPr>
          <w:rFonts w:eastAsia="PMingLiU"/>
          <w:szCs w:val="24"/>
          <w:lang w:eastAsia="zh-TW"/>
        </w:rPr>
        <w:t>: 235</w:t>
      </w:r>
      <w:r w:rsidR="00762161" w:rsidRPr="00762161">
        <w:rPr>
          <w:rFonts w:eastAsia="PMingLiU"/>
          <w:szCs w:val="24"/>
          <w:lang w:eastAsia="zh-TW"/>
        </w:rPr>
        <w:t xml:space="preserve">) explains that for a time series </w:t>
      </w:r>
      <m:oMath>
        <m:sSub>
          <m:sSubPr>
            <m:ctrlPr>
              <w:rPr>
                <w:rFonts w:ascii="Cambria Math" w:eastAsia="PMingLiU" w:hAnsi="Cambria Math"/>
                <w:i/>
                <w:szCs w:val="24"/>
                <w:lang w:eastAsia="zh-TW"/>
              </w:rPr>
            </m:ctrlPr>
          </m:sSubPr>
          <m:e>
            <m:r>
              <w:rPr>
                <w:rFonts w:ascii="Cambria Math" w:eastAsia="PMingLiU" w:hAnsi="Cambria Math"/>
                <w:szCs w:val="24"/>
                <w:lang w:eastAsia="zh-TW"/>
              </w:rPr>
              <m:t>y</m:t>
            </m:r>
          </m:e>
          <m:sub>
            <m:r>
              <w:rPr>
                <w:rFonts w:ascii="Cambria Math" w:eastAsia="PMingLiU" w:hAnsi="Cambria Math"/>
                <w:szCs w:val="24"/>
                <w:lang w:eastAsia="zh-TW"/>
              </w:rPr>
              <m:t>t</m:t>
            </m:r>
          </m:sub>
        </m:sSub>
      </m:oMath>
      <w:r w:rsidR="00762161" w:rsidRPr="00762161">
        <w:rPr>
          <w:rFonts w:eastAsia="PMingLiU"/>
          <w:szCs w:val="24"/>
          <w:lang w:eastAsia="zh-TW"/>
        </w:rPr>
        <w:t>,</w:t>
      </w:r>
      <w:r w:rsidR="00FC7EFA">
        <w:rPr>
          <w:rFonts w:eastAsia="PMingLiU"/>
          <w:szCs w:val="24"/>
          <w:lang w:eastAsia="zh-TW"/>
        </w:rPr>
        <w:t xml:space="preserve"> there is a non stationary </w:t>
      </w:r>
      <w:r w:rsidR="009A1D23">
        <w:rPr>
          <w:rFonts w:eastAsia="PMingLiU"/>
          <w:szCs w:val="24"/>
          <w:lang w:eastAsia="zh-TW"/>
        </w:rPr>
        <w:t xml:space="preserve">trend component, </w:t>
      </w:r>
      <m:oMath>
        <m:sSub>
          <m:sSubPr>
            <m:ctrlPr>
              <w:rPr>
                <w:rFonts w:ascii="Cambria Math" w:eastAsia="PMingLiU" w:hAnsi="Cambria Math" w:cs="Times New Roman"/>
                <w:i/>
                <w:szCs w:val="24"/>
                <w:lang w:eastAsia="zh-TW"/>
              </w:rPr>
            </m:ctrlPr>
          </m:sSubPr>
          <m:e>
            <m:r>
              <w:rPr>
                <w:rFonts w:ascii="Cambria Math" w:eastAsia="PMingLiU" w:hAnsi="Cambria Math" w:cs="Times New Roman"/>
                <w:szCs w:val="24"/>
                <w:lang w:eastAsia="zh-TW"/>
              </w:rPr>
              <m:t>τ</m:t>
            </m:r>
          </m:e>
          <m:sub>
            <m:r>
              <w:rPr>
                <w:rFonts w:ascii="Cambria Math" w:eastAsia="PMingLiU" w:hAnsi="Cambria Math" w:cs="Times New Roman"/>
                <w:szCs w:val="24"/>
                <w:lang w:eastAsia="zh-TW"/>
              </w:rPr>
              <m:t>t</m:t>
            </m:r>
          </m:sub>
        </m:sSub>
      </m:oMath>
      <w:r w:rsidR="009A1D23">
        <w:rPr>
          <w:rFonts w:eastAsia="PMingLiU"/>
          <w:szCs w:val="24"/>
          <w:lang w:eastAsia="zh-TW"/>
        </w:rPr>
        <w:t xml:space="preserve">, and a stationary cyclical component, </w:t>
      </w:r>
      <m:oMath>
        <m:sSub>
          <m:sSubPr>
            <m:ctrlPr>
              <w:rPr>
                <w:rFonts w:ascii="Cambria Math" w:eastAsia="PMingLiU" w:hAnsi="Cambria Math" w:cs="Times New Roman"/>
                <w:i/>
                <w:szCs w:val="24"/>
                <w:lang w:eastAsia="zh-TW"/>
              </w:rPr>
            </m:ctrlPr>
          </m:sSubPr>
          <m:e>
            <m:r>
              <w:rPr>
                <w:rFonts w:ascii="Cambria Math" w:eastAsia="PMingLiU" w:hAnsi="Cambria Math" w:cs="Times New Roman"/>
                <w:szCs w:val="24"/>
                <w:lang w:eastAsia="zh-TW"/>
              </w:rPr>
              <m:t>c</m:t>
            </m:r>
          </m:e>
          <m:sub>
            <m:r>
              <w:rPr>
                <w:rFonts w:ascii="Cambria Math" w:eastAsia="PMingLiU" w:hAnsi="Cambria Math" w:cs="Times New Roman"/>
                <w:szCs w:val="24"/>
                <w:lang w:eastAsia="zh-TW"/>
              </w:rPr>
              <m:t>t</m:t>
            </m:r>
          </m:sub>
        </m:sSub>
      </m:oMath>
      <w:r w:rsidR="009A1D23">
        <w:rPr>
          <w:rFonts w:eastAsia="PMingLiU"/>
          <w:szCs w:val="24"/>
          <w:lang w:eastAsia="zh-TW"/>
        </w:rPr>
        <w:t>, as shown by the following equation:</w:t>
      </w:r>
    </w:p>
    <w:p w:rsidR="009A1D23" w:rsidRDefault="009A1D23" w:rsidP="009A1D23">
      <w:pPr>
        <w:spacing w:before="480"/>
        <w:rPr>
          <w:oMath/>
          <w:rFonts w:ascii="Cambria Math" w:hAnsi="Cambria Math"/>
        </w:rPr>
        <w:sectPr w:rsidR="009A1D23" w:rsidSect="001F761D">
          <w:type w:val="continuous"/>
          <w:pgSz w:w="12240" w:h="15840"/>
          <w:pgMar w:top="1276" w:right="1467" w:bottom="1276" w:left="1440" w:header="708" w:footer="708" w:gutter="0"/>
          <w:cols w:space="708"/>
          <w:titlePg/>
          <w:docGrid w:linePitch="360"/>
        </w:sectPr>
      </w:pPr>
    </w:p>
    <w:p w:rsidR="009A1D23" w:rsidRPr="009A1D23" w:rsidRDefault="006F1E00" w:rsidP="009A1D23">
      <w:pPr>
        <w:spacing w:before="480"/>
        <w:rPr>
          <w:rFonts w:eastAsia="PMingLiU"/>
        </w:rPr>
      </w:pPr>
      <m:oMathPara>
        <m:oMathParaPr>
          <m:jc m:val="left"/>
        </m:oMathParaPr>
        <m:oMath>
          <m:sSub>
            <m:sSubPr>
              <m:ctrlPr>
                <w:rPr>
                  <w:rFonts w:ascii="Cambria Math" w:hAnsi="Cambria Math"/>
                  <w:i/>
                </w:rPr>
              </m:ctrlPr>
            </m:sSubPr>
            <m:e>
              <m:r>
                <w:rPr>
                  <w:rFonts w:ascii="Cambria Math" w:hAnsi="Cambria Math"/>
                </w:rPr>
                <m:t>y</m:t>
              </m:r>
            </m:e>
            <m:sub>
              <m:r>
                <w:rPr>
                  <w:rFonts w:ascii="Cambria Math" w:hAnsi="Cambria Math"/>
                </w:rPr>
                <m:t>t</m:t>
              </m:r>
            </m:sub>
          </m:sSub>
          <m:r>
            <w:rPr>
              <w:rFonts w:ascii="Cambria Math" w:hAnsi="Cambria Math"/>
            </w:rPr>
            <m:t>=</m:t>
          </m:r>
          <m:sSub>
            <m:sSubPr>
              <m:ctrlPr>
                <w:rPr>
                  <w:rFonts w:ascii="Cambria Math" w:eastAsia="PMingLiU" w:hAnsi="Cambria Math"/>
                  <w:i/>
                  <w:szCs w:val="24"/>
                  <w:lang w:eastAsia="zh-TW"/>
                </w:rPr>
              </m:ctrlPr>
            </m:sSubPr>
            <m:e>
              <m:r>
                <w:rPr>
                  <w:rFonts w:ascii="Cambria Math" w:eastAsia="PMingLiU" w:hAnsi="Cambria Math"/>
                  <w:szCs w:val="24"/>
                  <w:lang w:eastAsia="zh-TW"/>
                </w:rPr>
                <m:t>τ</m:t>
              </m:r>
            </m:e>
            <m:sub>
              <m:r>
                <w:rPr>
                  <w:rFonts w:ascii="Cambria Math" w:eastAsia="PMingLiU" w:hAnsi="Cambria Math"/>
                  <w:szCs w:val="24"/>
                  <w:lang w:eastAsia="zh-TW"/>
                </w:rPr>
                <m:t>t</m:t>
              </m:r>
            </m:sub>
          </m:sSub>
          <m:r>
            <w:rPr>
              <w:rFonts w:ascii="Cambria Math" w:eastAsia="PMingLiU" w:hAnsi="Cambria Math"/>
              <w:szCs w:val="24"/>
              <w:lang w:eastAsia="zh-TW"/>
            </w:rPr>
            <m:t>+</m:t>
          </m:r>
          <m:sSub>
            <m:sSubPr>
              <m:ctrlPr>
                <w:rPr>
                  <w:rFonts w:ascii="Cambria Math" w:eastAsia="PMingLiU" w:hAnsi="Cambria Math"/>
                  <w:i/>
                  <w:szCs w:val="24"/>
                  <w:lang w:eastAsia="zh-TW"/>
                </w:rPr>
              </m:ctrlPr>
            </m:sSubPr>
            <m:e>
              <m:r>
                <w:rPr>
                  <w:rFonts w:ascii="Cambria Math" w:eastAsia="PMingLiU" w:hAnsi="Cambria Math"/>
                  <w:szCs w:val="24"/>
                  <w:lang w:eastAsia="zh-TW"/>
                </w:rPr>
                <m:t>c</m:t>
              </m:r>
            </m:e>
            <m:sub>
              <m:r>
                <w:rPr>
                  <w:rFonts w:ascii="Cambria Math" w:eastAsia="PMingLiU" w:hAnsi="Cambria Math"/>
                  <w:szCs w:val="24"/>
                  <w:lang w:eastAsia="zh-TW"/>
                </w:rPr>
                <m:t>t</m:t>
              </m:r>
            </m:sub>
          </m:sSub>
        </m:oMath>
      </m:oMathPara>
    </w:p>
    <w:p w:rsidR="009A1D23" w:rsidRDefault="009A1D23" w:rsidP="009A1D23">
      <w:pPr>
        <w:spacing w:before="480"/>
        <w:jc w:val="right"/>
        <w:rPr>
          <w:rFonts w:eastAsia="PMingLiU"/>
          <w:szCs w:val="24"/>
          <w:lang w:eastAsia="zh-TW"/>
        </w:rPr>
        <w:sectPr w:rsidR="009A1D23" w:rsidSect="009A1D23">
          <w:type w:val="continuous"/>
          <w:pgSz w:w="12240" w:h="15840"/>
          <w:pgMar w:top="1440" w:right="1467" w:bottom="1440" w:left="1440" w:header="708" w:footer="708" w:gutter="0"/>
          <w:cols w:num="2" w:space="708"/>
          <w:titlePg/>
          <w:docGrid w:linePitch="360"/>
        </w:sectPr>
      </w:pPr>
      <w:r w:rsidRPr="00762161">
        <w:t>(</w:t>
      </w:r>
      <w:r w:rsidR="0013546C">
        <w:t>3</w:t>
      </w:r>
      <w:r w:rsidRPr="00762161">
        <w:t>)</w:t>
      </w:r>
    </w:p>
    <w:p w:rsidR="00762161" w:rsidRDefault="00F71140" w:rsidP="009D61A9">
      <w:pPr>
        <w:autoSpaceDE w:val="0"/>
        <w:autoSpaceDN w:val="0"/>
        <w:adjustRightInd w:val="0"/>
        <w:spacing w:after="0"/>
        <w:rPr>
          <w:rFonts w:eastAsia="PMingLiU"/>
          <w:szCs w:val="24"/>
          <w:lang w:eastAsia="zh-TW"/>
        </w:rPr>
      </w:pPr>
      <w:r>
        <w:rPr>
          <w:rFonts w:eastAsia="PMingLiU"/>
          <w:szCs w:val="24"/>
          <w:lang w:eastAsia="zh-TW"/>
        </w:rPr>
        <w:t>The</w:t>
      </w:r>
      <w:r w:rsidR="00762161" w:rsidRPr="00762161">
        <w:rPr>
          <w:rFonts w:eastAsia="PMingLiU"/>
          <w:szCs w:val="24"/>
          <w:lang w:eastAsia="zh-TW"/>
        </w:rPr>
        <w:t xml:space="preserve"> HP filter is obtained by finding the functional, </w:t>
      </w:r>
      <m:oMath>
        <m:sSub>
          <m:sSubPr>
            <m:ctrlPr>
              <w:rPr>
                <w:rFonts w:ascii="Cambria Math" w:eastAsia="PMingLiU" w:hAnsi="Cambria Math"/>
                <w:i/>
                <w:szCs w:val="24"/>
                <w:lang w:eastAsia="zh-TW"/>
              </w:rPr>
            </m:ctrlPr>
          </m:sSubPr>
          <m:e>
            <m:r>
              <w:rPr>
                <w:rFonts w:ascii="Cambria Math" w:eastAsia="PMingLiU" w:hAnsi="Cambria Math"/>
                <w:szCs w:val="24"/>
                <w:lang w:eastAsia="zh-TW"/>
              </w:rPr>
              <m:t>δ</m:t>
            </m:r>
          </m:e>
          <m:sub>
            <m:r>
              <w:rPr>
                <w:rFonts w:ascii="Cambria Math" w:eastAsia="PMingLiU" w:hAnsi="Cambria Math"/>
                <w:szCs w:val="24"/>
                <w:lang w:eastAsia="zh-TW"/>
              </w:rPr>
              <m:t>t</m:t>
            </m:r>
          </m:sub>
        </m:sSub>
      </m:oMath>
      <w:r w:rsidR="00762161" w:rsidRPr="00762161">
        <w:rPr>
          <w:rFonts w:eastAsia="PMingLiU"/>
          <w:szCs w:val="24"/>
          <w:lang w:eastAsia="zh-TW"/>
        </w:rPr>
        <w:t>, that satisifies the penalized least squares minimization programme</w:t>
      </w:r>
      <w:r w:rsidR="00762161">
        <w:rPr>
          <w:rFonts w:eastAsia="PMingLiU"/>
          <w:szCs w:val="24"/>
          <w:lang w:eastAsia="zh-TW"/>
        </w:rPr>
        <w:t>:</w:t>
      </w:r>
    </w:p>
    <w:p w:rsidR="00762161" w:rsidRDefault="006F1E00" w:rsidP="009A1D23">
      <w:pPr>
        <w:spacing w:before="480"/>
        <w:rPr>
          <w:rFonts w:eastAsia="PMingLiU"/>
          <w:szCs w:val="24"/>
          <w:lang w:eastAsia="zh-TW"/>
        </w:rPr>
        <w:sectPr w:rsidR="00762161" w:rsidSect="009A1D23">
          <w:type w:val="continuous"/>
          <w:pgSz w:w="12240" w:h="15840"/>
          <w:pgMar w:top="1440" w:right="1467" w:bottom="1440" w:left="1440" w:header="708" w:footer="708" w:gutter="0"/>
          <w:cols w:space="708"/>
          <w:titlePg/>
          <w:docGrid w:linePitch="360"/>
        </w:sectPr>
      </w:pPr>
      <m:oMath>
        <m:func>
          <m:funcPr>
            <m:ctrlPr>
              <w:rPr>
                <w:rFonts w:ascii="Cambria Math" w:hAnsi="Cambria Math"/>
                <w:i/>
              </w:rPr>
            </m:ctrlPr>
          </m:funcPr>
          <m:fName>
            <m:limLow>
              <m:limLowPr>
                <m:ctrlPr>
                  <w:rPr>
                    <w:rFonts w:ascii="Cambria Math" w:hAnsi="Cambria Math"/>
                    <w:i/>
                  </w:rPr>
                </m:ctrlPr>
              </m:limLowPr>
              <m:e>
                <m:r>
                  <m:rPr>
                    <m:sty m:val="p"/>
                  </m:rPr>
                  <w:rPr>
                    <w:rFonts w:ascii="Cambria Math" w:hAnsi="Cambria Math"/>
                  </w:rPr>
                  <m:t>min</m:t>
                </m:r>
              </m:e>
              <m:lim/>
            </m:limLow>
          </m:fName>
          <m:e>
            <m:nary>
              <m:naryPr>
                <m:chr m:val="∑"/>
                <m:limLoc m:val="subSup"/>
                <m:supHide m:val="on"/>
                <m:ctrlPr>
                  <w:rPr>
                    <w:rFonts w:ascii="Cambria Math" w:hAnsi="Cambria Math"/>
                    <w:i/>
                  </w:rPr>
                </m:ctrlPr>
              </m:naryPr>
              <m:sub>
                <m:r>
                  <w:rPr>
                    <w:rFonts w:ascii="Cambria Math" w:hAnsi="Cambria Math"/>
                  </w:rPr>
                  <m:t>t</m:t>
                </m:r>
              </m:sub>
              <m:sup/>
              <m:e>
                <m:r>
                  <w:rPr>
                    <w:rFonts w:ascii="Cambria Math" w:hAnsi="Cambria Math"/>
                  </w:rPr>
                  <m:t>{</m:t>
                </m:r>
                <m:sSup>
                  <m:sSupPr>
                    <m:ctrlPr>
                      <w:rPr>
                        <w:rFonts w:ascii="Cambria Math" w:hAnsi="Cambria Math"/>
                        <w:i/>
                      </w:rPr>
                    </m:ctrlPr>
                  </m:sSupPr>
                  <m:e>
                    <m:d>
                      <m:dPr>
                        <m:ctrlPr>
                          <w:rPr>
                            <w:rFonts w:ascii="Cambria Math" w:hAnsi="Cambria Math"/>
                            <w:i/>
                          </w:rPr>
                        </m:ctrlPr>
                      </m:dPr>
                      <m:e>
                        <m:sSub>
                          <m:sSubPr>
                            <m:ctrlPr>
                              <w:rPr>
                                <w:rFonts w:ascii="Cambria Math" w:hAnsi="Cambria Math"/>
                                <w:i/>
                              </w:rPr>
                            </m:ctrlPr>
                          </m:sSubPr>
                          <m:e>
                            <m:r>
                              <w:rPr>
                                <w:rFonts w:ascii="Cambria Math" w:hAnsi="Cambria Math"/>
                              </w:rPr>
                              <m:t>y</m:t>
                            </m:r>
                          </m:e>
                          <m:sub>
                            <m:r>
                              <w:rPr>
                                <w:rFonts w:ascii="Cambria Math" w:hAnsi="Cambria Math"/>
                              </w:rPr>
                              <m:t>t</m:t>
                            </m:r>
                          </m:sub>
                        </m:sSub>
                        <m:r>
                          <w:rPr>
                            <w:rFonts w:ascii="Cambria Math" w:hAnsi="Cambria Math"/>
                          </w:rPr>
                          <m:t>-</m:t>
                        </m:r>
                        <m:sSub>
                          <m:sSubPr>
                            <m:ctrlPr>
                              <w:rPr>
                                <w:rFonts w:ascii="Cambria Math" w:eastAsia="PMingLiU" w:hAnsi="Cambria Math"/>
                                <w:i/>
                                <w:szCs w:val="24"/>
                                <w:lang w:eastAsia="zh-TW"/>
                              </w:rPr>
                            </m:ctrlPr>
                          </m:sSubPr>
                          <m:e>
                            <m:r>
                              <w:rPr>
                                <w:rFonts w:ascii="Cambria Math" w:eastAsia="PMingLiU" w:hAnsi="Cambria Math"/>
                                <w:szCs w:val="24"/>
                                <w:lang w:eastAsia="zh-TW"/>
                              </w:rPr>
                              <m:t>δ</m:t>
                            </m:r>
                          </m:e>
                          <m:sub>
                            <m:r>
                              <w:rPr>
                                <w:rFonts w:ascii="Cambria Math" w:eastAsia="PMingLiU" w:hAnsi="Cambria Math"/>
                                <w:szCs w:val="24"/>
                                <w:lang w:eastAsia="zh-TW"/>
                              </w:rPr>
                              <m:t>t</m:t>
                            </m:r>
                          </m:sub>
                        </m:sSub>
                        <m:ctrlPr>
                          <w:rPr>
                            <w:rFonts w:ascii="Cambria Math" w:eastAsia="PMingLiU" w:hAnsi="Cambria Math"/>
                            <w:i/>
                            <w:szCs w:val="24"/>
                            <w:lang w:eastAsia="zh-TW"/>
                          </w:rPr>
                        </m:ctrlPr>
                      </m:e>
                    </m:d>
                  </m:e>
                  <m:sup>
                    <m:r>
                      <w:rPr>
                        <w:rFonts w:ascii="Cambria Math" w:hAnsi="Cambria Math"/>
                      </w:rPr>
                      <m:t>2</m:t>
                    </m:r>
                  </m:sup>
                </m:sSup>
                <m:r>
                  <w:rPr>
                    <w:rFonts w:ascii="Cambria Math" w:hAnsi="Cambria Math"/>
                  </w:rPr>
                  <m:t>+λ</m:t>
                </m:r>
                <m:sSup>
                  <m:sSupPr>
                    <m:ctrlPr>
                      <w:rPr>
                        <w:rFonts w:ascii="Cambria Math" w:hAnsi="Cambria Math"/>
                        <w:i/>
                      </w:rPr>
                    </m:ctrlPr>
                  </m:sSupPr>
                  <m:e>
                    <m:d>
                      <m:dPr>
                        <m:begChr m:val="["/>
                        <m:endChr m:val="]"/>
                        <m:ctrlPr>
                          <w:rPr>
                            <w:rFonts w:ascii="Cambria Math" w:hAnsi="Cambria Math"/>
                            <w:i/>
                          </w:rPr>
                        </m:ctrlPr>
                      </m:dPr>
                      <m:e>
                        <m:sSup>
                          <m:sSupPr>
                            <m:ctrlPr>
                              <w:rPr>
                                <w:rFonts w:ascii="Cambria Math" w:hAnsi="Cambria Math"/>
                                <w:i/>
                              </w:rPr>
                            </m:ctrlPr>
                          </m:sSupPr>
                          <m:e>
                            <m:d>
                              <m:dPr>
                                <m:ctrlPr>
                                  <w:rPr>
                                    <w:rFonts w:ascii="Cambria Math" w:hAnsi="Cambria Math"/>
                                    <w:i/>
                                  </w:rPr>
                                </m:ctrlPr>
                              </m:dPr>
                              <m:e>
                                <m:r>
                                  <w:rPr>
                                    <w:rFonts w:ascii="Cambria Math" w:hAnsi="Cambria Math"/>
                                  </w:rPr>
                                  <m:t>1-L</m:t>
                                </m:r>
                              </m:e>
                            </m:d>
                          </m:e>
                          <m:sup>
                            <m:r>
                              <w:rPr>
                                <w:rFonts w:ascii="Cambria Math" w:hAnsi="Cambria Math"/>
                              </w:rPr>
                              <m:t>2</m:t>
                            </m:r>
                          </m:sup>
                        </m:sSup>
                        <m:sSub>
                          <m:sSubPr>
                            <m:ctrlPr>
                              <w:rPr>
                                <w:rFonts w:ascii="Cambria Math" w:eastAsia="PMingLiU" w:hAnsi="Cambria Math"/>
                                <w:i/>
                                <w:szCs w:val="24"/>
                                <w:lang w:eastAsia="zh-TW"/>
                              </w:rPr>
                            </m:ctrlPr>
                          </m:sSubPr>
                          <m:e>
                            <m:r>
                              <w:rPr>
                                <w:rFonts w:ascii="Cambria Math" w:eastAsia="PMingLiU" w:hAnsi="Cambria Math"/>
                                <w:szCs w:val="24"/>
                                <w:lang w:eastAsia="zh-TW"/>
                              </w:rPr>
                              <m:t>δ</m:t>
                            </m:r>
                          </m:e>
                          <m:sub>
                            <m:r>
                              <w:rPr>
                                <w:rFonts w:ascii="Cambria Math" w:eastAsia="PMingLiU" w:hAnsi="Cambria Math"/>
                                <w:szCs w:val="24"/>
                                <w:lang w:eastAsia="zh-TW"/>
                              </w:rPr>
                              <m:t>t</m:t>
                            </m:r>
                          </m:sub>
                        </m:sSub>
                        <m:ctrlPr>
                          <w:rPr>
                            <w:rFonts w:ascii="Cambria Math" w:eastAsia="PMingLiU" w:hAnsi="Cambria Math"/>
                            <w:i/>
                            <w:szCs w:val="24"/>
                            <w:lang w:eastAsia="zh-TW"/>
                          </w:rPr>
                        </m:ctrlPr>
                      </m:e>
                    </m:d>
                  </m:e>
                  <m:sup>
                    <m:r>
                      <w:rPr>
                        <w:rFonts w:ascii="Cambria Math" w:hAnsi="Cambria Math"/>
                      </w:rPr>
                      <m:t>2</m:t>
                    </m:r>
                  </m:sup>
                </m:sSup>
              </m:e>
            </m:nary>
          </m:e>
        </m:func>
        <m:r>
          <w:rPr>
            <w:rFonts w:ascii="Cambria Math" w:hAnsi="Cambria Math"/>
          </w:rPr>
          <m:t>}</m:t>
        </m:r>
      </m:oMath>
      <w:r w:rsidR="00762161" w:rsidRPr="00762161">
        <w:rPr>
          <w:rFonts w:eastAsiaTheme="minorEastAsia"/>
        </w:rPr>
        <w:t xml:space="preserve"> </w:t>
      </w:r>
      <w:r w:rsidR="00762161" w:rsidRPr="00762161">
        <w:t xml:space="preserve"> (</w:t>
      </w:r>
      <w:r w:rsidR="0013546C">
        <w:t>4</w:t>
      </w:r>
      <w:r w:rsidR="00762161" w:rsidRPr="00762161">
        <w:t>)</w:t>
      </w:r>
    </w:p>
    <w:p w:rsidR="00FC7EFA" w:rsidRDefault="00FC7EFA" w:rsidP="009D61A9">
      <w:pPr>
        <w:autoSpaceDE w:val="0"/>
        <w:autoSpaceDN w:val="0"/>
        <w:adjustRightInd w:val="0"/>
        <w:spacing w:after="0"/>
        <w:rPr>
          <w:rFonts w:eastAsia="PMingLiU" w:cs="Times New Roman"/>
          <w:szCs w:val="24"/>
          <w:lang w:eastAsia="zh-TW"/>
        </w:rPr>
      </w:pPr>
      <w:r>
        <w:rPr>
          <w:rFonts w:eastAsia="PMingLiU"/>
          <w:szCs w:val="24"/>
          <w:lang w:eastAsia="zh-TW"/>
        </w:rPr>
        <w:t xml:space="preserve">Where </w:t>
      </w:r>
      <w:r>
        <w:rPr>
          <w:rFonts w:eastAsia="PMingLiU"/>
          <w:i/>
          <w:szCs w:val="24"/>
          <w:lang w:eastAsia="zh-TW"/>
        </w:rPr>
        <w:t>L</w:t>
      </w:r>
      <w:r>
        <w:rPr>
          <w:rFonts w:eastAsia="PMingLiU"/>
          <w:szCs w:val="24"/>
          <w:lang w:eastAsia="zh-TW"/>
        </w:rPr>
        <w:t xml:space="preserve"> is the lag operator, and </w:t>
      </w:r>
      <w:r w:rsidRPr="00FC7EFA">
        <w:rPr>
          <w:rFonts w:eastAsia="PMingLiU" w:cs="Times New Roman"/>
          <w:i/>
          <w:szCs w:val="24"/>
          <w:lang w:eastAsia="zh-TW"/>
        </w:rPr>
        <w:t>λ</w:t>
      </w:r>
      <w:r>
        <w:rPr>
          <w:rFonts w:eastAsia="PMingLiU" w:cs="Times New Roman"/>
          <w:szCs w:val="24"/>
          <w:lang w:eastAsia="zh-TW"/>
        </w:rPr>
        <w:t xml:space="preserve"> can be interpreted as the Lagrange multiplier. The filter is applied from this minimisation by setting </w:t>
      </w:r>
      <w:r w:rsidRPr="00FC7EFA">
        <w:rPr>
          <w:rFonts w:eastAsia="PMingLiU" w:cs="Times New Roman"/>
          <w:i/>
          <w:szCs w:val="24"/>
          <w:lang w:eastAsia="zh-TW"/>
        </w:rPr>
        <w:t>λ</w:t>
      </w:r>
      <w:r>
        <w:rPr>
          <w:rFonts w:eastAsia="PMingLiU" w:cs="Times New Roman"/>
          <w:szCs w:val="24"/>
          <w:lang w:eastAsia="zh-TW"/>
        </w:rPr>
        <w:t xml:space="preserve"> equal to 1600 for quarterly data and 100 for annual data. When the HP filter is used in this paper, the values of the </w:t>
      </w:r>
      <w:r w:rsidRPr="00762161">
        <w:rPr>
          <w:rFonts w:eastAsia="PMingLiU"/>
          <w:szCs w:val="24"/>
          <w:lang w:eastAsia="zh-TW"/>
        </w:rPr>
        <w:t xml:space="preserve">functional, </w:t>
      </w:r>
      <m:oMath>
        <m:sSub>
          <m:sSubPr>
            <m:ctrlPr>
              <w:rPr>
                <w:rFonts w:ascii="Cambria Math" w:eastAsia="PMingLiU" w:hAnsi="Cambria Math"/>
                <w:i/>
                <w:szCs w:val="24"/>
                <w:lang w:eastAsia="zh-TW"/>
              </w:rPr>
            </m:ctrlPr>
          </m:sSubPr>
          <m:e>
            <m:r>
              <w:rPr>
                <w:rFonts w:ascii="Cambria Math" w:eastAsia="PMingLiU" w:hAnsi="Cambria Math"/>
                <w:szCs w:val="24"/>
                <w:lang w:eastAsia="zh-TW"/>
              </w:rPr>
              <m:t>δ</m:t>
            </m:r>
          </m:e>
          <m:sub>
            <m:r>
              <w:rPr>
                <w:rFonts w:ascii="Cambria Math" w:eastAsia="PMingLiU" w:hAnsi="Cambria Math"/>
                <w:szCs w:val="24"/>
                <w:lang w:eastAsia="zh-TW"/>
              </w:rPr>
              <m:t>t</m:t>
            </m:r>
          </m:sub>
        </m:sSub>
      </m:oMath>
      <w:r w:rsidRPr="00762161">
        <w:rPr>
          <w:rFonts w:eastAsia="PMingLiU"/>
          <w:szCs w:val="24"/>
          <w:lang w:eastAsia="zh-TW"/>
        </w:rPr>
        <w:t xml:space="preserve">, </w:t>
      </w:r>
      <w:r>
        <w:rPr>
          <w:rFonts w:eastAsia="PMingLiU"/>
          <w:szCs w:val="24"/>
          <w:lang w:eastAsia="zh-TW"/>
        </w:rPr>
        <w:t xml:space="preserve">are used as the values of the </w:t>
      </w:r>
      <w:r>
        <w:rPr>
          <w:rFonts w:eastAsia="PMingLiU" w:cs="Times New Roman"/>
          <w:szCs w:val="24"/>
          <w:lang w:eastAsia="zh-TW"/>
        </w:rPr>
        <w:t xml:space="preserve">non stationary trend component, </w:t>
      </w:r>
      <m:oMath>
        <m:sSub>
          <m:sSubPr>
            <m:ctrlPr>
              <w:rPr>
                <w:rFonts w:ascii="Cambria Math" w:eastAsia="PMingLiU" w:hAnsi="Cambria Math" w:cs="Times New Roman"/>
                <w:i/>
                <w:szCs w:val="24"/>
                <w:lang w:eastAsia="zh-TW"/>
              </w:rPr>
            </m:ctrlPr>
          </m:sSubPr>
          <m:e>
            <m:r>
              <w:rPr>
                <w:rFonts w:ascii="Cambria Math" w:eastAsia="PMingLiU" w:hAnsi="Cambria Math" w:cs="Times New Roman"/>
                <w:szCs w:val="24"/>
                <w:lang w:eastAsia="zh-TW"/>
              </w:rPr>
              <m:t>τ</m:t>
            </m:r>
          </m:e>
          <m:sub>
            <m:r>
              <w:rPr>
                <w:rFonts w:ascii="Cambria Math" w:eastAsia="PMingLiU" w:hAnsi="Cambria Math" w:cs="Times New Roman"/>
                <w:szCs w:val="24"/>
                <w:lang w:eastAsia="zh-TW"/>
              </w:rPr>
              <m:t>t</m:t>
            </m:r>
          </m:sub>
        </m:sSub>
      </m:oMath>
      <w:r>
        <w:rPr>
          <w:rFonts w:eastAsia="PMingLiU" w:cs="Times New Roman"/>
          <w:szCs w:val="24"/>
          <w:lang w:eastAsia="zh-TW"/>
        </w:rPr>
        <w:t>.</w:t>
      </w:r>
    </w:p>
    <w:p w:rsidR="008743FB" w:rsidRDefault="008743FB" w:rsidP="008743FB">
      <w:pPr>
        <w:autoSpaceDE w:val="0"/>
        <w:autoSpaceDN w:val="0"/>
        <w:adjustRightInd w:val="0"/>
        <w:spacing w:after="0"/>
        <w:rPr>
          <w:rFonts w:eastAsia="PMingLiU"/>
          <w:szCs w:val="24"/>
          <w:lang w:eastAsia="zh-TW"/>
        </w:rPr>
      </w:pPr>
      <w:r>
        <w:rPr>
          <w:rFonts w:eastAsia="PMingLiU" w:cs="Times New Roman"/>
          <w:szCs w:val="24"/>
          <w:lang w:eastAsia="zh-TW"/>
        </w:rPr>
        <w:t>The cyclical component is the crucial element and is used in the regression analysis for the above mentioned variables, that being</w:t>
      </w:r>
      <w:r w:rsidR="00F71140">
        <w:rPr>
          <w:rFonts w:eastAsia="PMingLiU" w:cs="Times New Roman"/>
          <w:szCs w:val="24"/>
          <w:lang w:eastAsia="zh-TW"/>
        </w:rPr>
        <w:t xml:space="preserve"> </w:t>
      </w:r>
      <w:r w:rsidR="00627488">
        <w:rPr>
          <w:rFonts w:eastAsia="PMingLiU" w:cs="Times New Roman"/>
          <w:szCs w:val="24"/>
          <w:lang w:eastAsia="zh-TW"/>
        </w:rPr>
        <w:t>Real GDP</w:t>
      </w:r>
      <w:r>
        <w:rPr>
          <w:rFonts w:eastAsia="PMingLiU" w:cs="Times New Roman"/>
          <w:szCs w:val="24"/>
          <w:lang w:eastAsia="zh-TW"/>
        </w:rPr>
        <w:t>,</w:t>
      </w:r>
      <w:r w:rsidR="00F71140">
        <w:rPr>
          <w:rFonts w:eastAsia="PMingLiU" w:cs="Times New Roman"/>
          <w:szCs w:val="24"/>
          <w:lang w:eastAsia="zh-TW"/>
        </w:rPr>
        <w:t xml:space="preserve"> Real </w:t>
      </w:r>
      <w:r w:rsidR="004B07A7">
        <w:rPr>
          <w:rFonts w:eastAsia="PMingLiU" w:cs="Times New Roman"/>
          <w:szCs w:val="24"/>
          <w:lang w:eastAsia="zh-TW"/>
        </w:rPr>
        <w:t>Industrial Production</w:t>
      </w:r>
      <w:r>
        <w:rPr>
          <w:rFonts w:eastAsia="PMingLiU" w:cs="Times New Roman"/>
          <w:szCs w:val="24"/>
          <w:lang w:eastAsia="zh-TW"/>
        </w:rPr>
        <w:t>, and</w:t>
      </w:r>
      <w:r w:rsidR="00F71140">
        <w:rPr>
          <w:rFonts w:eastAsia="PMingLiU" w:cs="Times New Roman"/>
          <w:szCs w:val="24"/>
          <w:lang w:eastAsia="zh-TW"/>
        </w:rPr>
        <w:t xml:space="preserve"> </w:t>
      </w:r>
      <w:r w:rsidR="00627488">
        <w:rPr>
          <w:rFonts w:eastAsia="PMingLiU" w:cs="Times New Roman"/>
          <w:szCs w:val="24"/>
          <w:lang w:eastAsia="zh-TW"/>
        </w:rPr>
        <w:t>Real Stock Price</w:t>
      </w:r>
      <w:r>
        <w:rPr>
          <w:rFonts w:eastAsia="PMingLiU" w:cs="Times New Roman"/>
          <w:szCs w:val="24"/>
          <w:lang w:eastAsia="zh-TW"/>
        </w:rPr>
        <w:t>s. The cyclical component is thus calculated</w:t>
      </w:r>
      <w:r w:rsidR="008448CA">
        <w:rPr>
          <w:rFonts w:eastAsia="PMingLiU" w:cs="Times New Roman"/>
          <w:szCs w:val="24"/>
          <w:lang w:eastAsia="zh-TW"/>
        </w:rPr>
        <w:t xml:space="preserve"> by</w:t>
      </w:r>
      <w:r>
        <w:rPr>
          <w:rFonts w:eastAsia="PMingLiU" w:cs="Times New Roman"/>
          <w:szCs w:val="24"/>
          <w:lang w:eastAsia="zh-TW"/>
        </w:rPr>
        <w:t>:</w:t>
      </w:r>
      <w:r w:rsidRPr="008743FB">
        <w:rPr>
          <w:rFonts w:eastAsia="PMingLiU"/>
          <w:szCs w:val="24"/>
          <w:lang w:eastAsia="zh-TW"/>
        </w:rPr>
        <w:t xml:space="preserve"> </w:t>
      </w:r>
    </w:p>
    <w:p w:rsidR="008743FB" w:rsidRDefault="008743FB" w:rsidP="008743FB">
      <w:pPr>
        <w:spacing w:before="480"/>
        <w:rPr>
          <w:oMath/>
          <w:rFonts w:ascii="Cambria Math" w:hAnsi="Cambria Math"/>
        </w:rPr>
        <w:sectPr w:rsidR="008743FB" w:rsidSect="009A1D23">
          <w:headerReference w:type="default" r:id="rId14"/>
          <w:footerReference w:type="default" r:id="rId15"/>
          <w:type w:val="continuous"/>
          <w:pgSz w:w="12240" w:h="15840"/>
          <w:pgMar w:top="1440" w:right="1467" w:bottom="1440" w:left="1440" w:header="708" w:footer="708" w:gutter="0"/>
          <w:cols w:space="708"/>
          <w:titlePg/>
          <w:docGrid w:linePitch="360"/>
        </w:sectPr>
      </w:pPr>
    </w:p>
    <w:p w:rsidR="008743FB" w:rsidRPr="009A1D23" w:rsidRDefault="006F1E00" w:rsidP="008743FB">
      <w:pPr>
        <w:spacing w:before="480"/>
        <w:rPr>
          <w:rFonts w:eastAsia="PMingLiU"/>
        </w:rPr>
      </w:pPr>
      <m:oMathPara>
        <m:oMathParaPr>
          <m:jc m:val="left"/>
        </m:oMathParaPr>
        <m:oMath>
          <m:sSub>
            <m:sSubPr>
              <m:ctrlPr>
                <w:rPr>
                  <w:rFonts w:ascii="Cambria Math" w:hAnsi="Cambria Math"/>
                  <w:i/>
                </w:rPr>
              </m:ctrlPr>
            </m:sSubPr>
            <m:e>
              <m:r>
                <w:rPr>
                  <w:rFonts w:ascii="Cambria Math" w:hAnsi="Cambria Math"/>
                </w:rPr>
                <m:t>c</m:t>
              </m:r>
            </m:e>
            <m:sub>
              <m:r>
                <w:rPr>
                  <w:rFonts w:ascii="Cambria Math" w:hAnsi="Cambria Math"/>
                </w:rPr>
                <m:t>t</m:t>
              </m:r>
            </m:sub>
          </m:sSub>
          <m:r>
            <w:rPr>
              <w:rFonts w:ascii="Cambria Math" w:hAnsi="Cambria Math"/>
            </w:rPr>
            <m:t>=</m:t>
          </m:r>
          <m:sSub>
            <m:sSubPr>
              <m:ctrlPr>
                <w:rPr>
                  <w:rFonts w:ascii="Cambria Math" w:eastAsia="PMingLiU" w:hAnsi="Cambria Math"/>
                  <w:i/>
                  <w:szCs w:val="24"/>
                  <w:lang w:eastAsia="zh-TW"/>
                </w:rPr>
              </m:ctrlPr>
            </m:sSubPr>
            <m:e>
              <m:r>
                <w:rPr>
                  <w:rFonts w:ascii="Cambria Math" w:eastAsia="PMingLiU" w:hAnsi="Cambria Math"/>
                  <w:szCs w:val="24"/>
                  <w:lang w:eastAsia="zh-TW"/>
                </w:rPr>
                <m:t>y</m:t>
              </m:r>
            </m:e>
            <m:sub>
              <m:r>
                <w:rPr>
                  <w:rFonts w:ascii="Cambria Math" w:eastAsia="PMingLiU" w:hAnsi="Cambria Math"/>
                  <w:szCs w:val="24"/>
                  <w:lang w:eastAsia="zh-TW"/>
                </w:rPr>
                <m:t>t</m:t>
              </m:r>
            </m:sub>
          </m:sSub>
          <m:r>
            <w:rPr>
              <w:rFonts w:ascii="Cambria Math" w:eastAsia="PMingLiU" w:hAnsi="Cambria Math"/>
              <w:szCs w:val="24"/>
              <w:lang w:eastAsia="zh-TW"/>
            </w:rPr>
            <m:t>+</m:t>
          </m:r>
          <m:sSub>
            <m:sSubPr>
              <m:ctrlPr>
                <w:rPr>
                  <w:rFonts w:ascii="Cambria Math" w:eastAsia="PMingLiU" w:hAnsi="Cambria Math"/>
                  <w:i/>
                  <w:szCs w:val="24"/>
                  <w:lang w:eastAsia="zh-TW"/>
                </w:rPr>
              </m:ctrlPr>
            </m:sSubPr>
            <m:e>
              <m:r>
                <w:rPr>
                  <w:rFonts w:ascii="Cambria Math" w:eastAsia="PMingLiU" w:hAnsi="Cambria Math"/>
                  <w:szCs w:val="24"/>
                  <w:lang w:eastAsia="zh-TW"/>
                </w:rPr>
                <m:t>δ</m:t>
              </m:r>
            </m:e>
            <m:sub>
              <m:r>
                <w:rPr>
                  <w:rFonts w:ascii="Cambria Math" w:eastAsia="PMingLiU" w:hAnsi="Cambria Math"/>
                  <w:szCs w:val="24"/>
                  <w:lang w:eastAsia="zh-TW"/>
                </w:rPr>
                <m:t>t</m:t>
              </m:r>
            </m:sub>
          </m:sSub>
        </m:oMath>
      </m:oMathPara>
    </w:p>
    <w:p w:rsidR="008743FB" w:rsidRDefault="008743FB" w:rsidP="008743FB">
      <w:pPr>
        <w:spacing w:before="480"/>
        <w:jc w:val="right"/>
        <w:rPr>
          <w:rFonts w:eastAsia="PMingLiU"/>
          <w:szCs w:val="24"/>
          <w:lang w:eastAsia="zh-TW"/>
        </w:rPr>
        <w:sectPr w:rsidR="008743FB" w:rsidSect="009A1D23">
          <w:type w:val="continuous"/>
          <w:pgSz w:w="12240" w:h="15840"/>
          <w:pgMar w:top="1440" w:right="1467" w:bottom="1440" w:left="1440" w:header="708" w:footer="708" w:gutter="0"/>
          <w:cols w:num="2" w:space="708"/>
          <w:titlePg/>
          <w:docGrid w:linePitch="360"/>
        </w:sectPr>
      </w:pPr>
      <w:r w:rsidRPr="00762161">
        <w:t>(</w:t>
      </w:r>
      <w:r w:rsidR="0013546C">
        <w:t>5</w:t>
      </w:r>
      <w:r w:rsidRPr="00762161">
        <w:t>)</w:t>
      </w:r>
    </w:p>
    <w:p w:rsidR="00FB0C03" w:rsidRPr="00762161" w:rsidRDefault="00D91B53" w:rsidP="00FB0C03">
      <w:pPr>
        <w:rPr>
          <w:szCs w:val="24"/>
        </w:rPr>
      </w:pPr>
      <w:r w:rsidRPr="00762161">
        <w:t xml:space="preserve">To measure for the effects of </w:t>
      </w:r>
      <w:r w:rsidR="00627488">
        <w:t>Real Stock Price</w:t>
      </w:r>
      <w:r w:rsidR="009C6D49">
        <w:t>s</w:t>
      </w:r>
      <w:r w:rsidRPr="00762161">
        <w:t xml:space="preserve"> on real economic activity, the </w:t>
      </w:r>
      <w:r w:rsidR="00627488">
        <w:t>Real Stock Price</w:t>
      </w:r>
      <w:r w:rsidR="009C6D49">
        <w:t>s</w:t>
      </w:r>
      <w:r w:rsidRPr="00762161">
        <w:t xml:space="preserve"> were regressed on lagged values of the real economic activity variables. The ordinary least squares regression </w:t>
      </w:r>
      <w:r w:rsidR="00EC159A">
        <w:t xml:space="preserve">applied </w:t>
      </w:r>
      <w:r w:rsidRPr="00762161">
        <w:t>include</w:t>
      </w:r>
      <w:r w:rsidR="00EC159A">
        <w:t>d</w:t>
      </w:r>
      <w:r w:rsidRPr="00762161">
        <w:t xml:space="preserve"> the first-order autoregressive term, AR</w:t>
      </w:r>
      <w:r w:rsidR="009C6D49">
        <w:t xml:space="preserve"> </w:t>
      </w:r>
      <w:r w:rsidRPr="00762161">
        <w:t>(1), to control for serial autocorrelation</w:t>
      </w:r>
      <w:r w:rsidR="00EC159A">
        <w:t>, which was extremely prevalent when an ordinary linear regression was applied to the data</w:t>
      </w:r>
      <w:r w:rsidRPr="00762161">
        <w:t>.</w:t>
      </w:r>
      <w:r w:rsidR="00FB0C03" w:rsidRPr="00762161">
        <w:t xml:space="preserve"> </w:t>
      </w:r>
      <w:r w:rsidR="00FB0C03" w:rsidRPr="00762161">
        <w:rPr>
          <w:szCs w:val="24"/>
        </w:rPr>
        <w:t xml:space="preserve">Lag length was selected by using the Akaike and Schwarz </w:t>
      </w:r>
      <w:r w:rsidR="009C6D49">
        <w:rPr>
          <w:szCs w:val="24"/>
        </w:rPr>
        <w:t>I</w:t>
      </w:r>
      <w:r w:rsidR="00FB0C03" w:rsidRPr="00762161">
        <w:rPr>
          <w:szCs w:val="24"/>
        </w:rPr>
        <w:t xml:space="preserve">nformation </w:t>
      </w:r>
      <w:r w:rsidR="009C6D49">
        <w:rPr>
          <w:szCs w:val="24"/>
        </w:rPr>
        <w:t>C</w:t>
      </w:r>
      <w:r w:rsidR="00FB0C03" w:rsidRPr="00762161">
        <w:rPr>
          <w:szCs w:val="24"/>
        </w:rPr>
        <w:t>riteria. Accordingly, AR</w:t>
      </w:r>
      <w:r w:rsidR="009C6D49">
        <w:rPr>
          <w:szCs w:val="24"/>
        </w:rPr>
        <w:t xml:space="preserve"> </w:t>
      </w:r>
      <w:r w:rsidR="00FB0C03" w:rsidRPr="00762161">
        <w:rPr>
          <w:szCs w:val="24"/>
        </w:rPr>
        <w:t>(1) was chosen for both the yearly and quarterly data analysis.</w:t>
      </w:r>
    </w:p>
    <w:p w:rsidR="00FB0C03" w:rsidRPr="00762161" w:rsidRDefault="00FB0C03" w:rsidP="00D91B53">
      <w:pPr>
        <w:spacing w:before="480"/>
      </w:pPr>
      <w:r w:rsidRPr="00762161">
        <w:t>The AR was used in this study due to its ability to improve upon not only forecasts but also regression analyses when the data used is of an aggregate nature. This fits into this study’s data mould as all data considered within the study, except for inflation, is constructed on a</w:t>
      </w:r>
      <w:r w:rsidR="009C6D49">
        <w:t>n</w:t>
      </w:r>
      <w:r w:rsidRPr="00762161">
        <w:t xml:space="preserve"> aggregate basis. </w:t>
      </w:r>
      <w:r w:rsidR="009C6D49">
        <w:t xml:space="preserve">The AR model was however still applied to the regressions containing inflation as a dependant variable, simply due to the aggregate nature of the independent variable, that being </w:t>
      </w:r>
      <w:r w:rsidR="00627488">
        <w:t>Real Stock Price</w:t>
      </w:r>
      <w:r w:rsidR="009C6D49">
        <w:t xml:space="preserve">s. </w:t>
      </w:r>
      <w:r w:rsidRPr="00762161">
        <w:t>A</w:t>
      </w:r>
      <w:r w:rsidR="00766E5B" w:rsidRPr="00762161">
        <w:t>s a possible alternative, a</w:t>
      </w:r>
      <w:r w:rsidRPr="00762161">
        <w:t xml:space="preserve"> GARCH (1,1) model was applied to the data set,</w:t>
      </w:r>
      <w:r w:rsidR="009C6D49">
        <w:t xml:space="preserve"> the specifications were once again chosen according to </w:t>
      </w:r>
      <w:r w:rsidR="009C6D49" w:rsidRPr="00762161">
        <w:rPr>
          <w:szCs w:val="24"/>
        </w:rPr>
        <w:t xml:space="preserve">Akaike and Schwarz </w:t>
      </w:r>
      <w:r w:rsidR="009C6D49">
        <w:rPr>
          <w:szCs w:val="24"/>
        </w:rPr>
        <w:t>I</w:t>
      </w:r>
      <w:r w:rsidR="009C6D49" w:rsidRPr="00762161">
        <w:rPr>
          <w:szCs w:val="24"/>
        </w:rPr>
        <w:t xml:space="preserve">nformation </w:t>
      </w:r>
      <w:r w:rsidR="009C6D49">
        <w:rPr>
          <w:szCs w:val="24"/>
        </w:rPr>
        <w:t>C</w:t>
      </w:r>
      <w:r w:rsidR="009C6D49" w:rsidRPr="00762161">
        <w:rPr>
          <w:szCs w:val="24"/>
        </w:rPr>
        <w:t>riteria</w:t>
      </w:r>
      <w:r w:rsidR="009C6D49">
        <w:t>.</w:t>
      </w:r>
      <w:r w:rsidRPr="00762161">
        <w:t xml:space="preserve"> </w:t>
      </w:r>
      <w:r w:rsidR="009C6D49">
        <w:t>H</w:t>
      </w:r>
      <w:r w:rsidR="00E068FB" w:rsidRPr="00762161">
        <w:t>owever this in no way improved the quality of outputs and in fact</w:t>
      </w:r>
      <w:r w:rsidRPr="00762161">
        <w:t xml:space="preserve"> resulted in severe positive autocorrelation particularly in the cycle of </w:t>
      </w:r>
      <w:r w:rsidR="00627488">
        <w:t>Real GDP</w:t>
      </w:r>
      <w:r w:rsidRPr="00762161">
        <w:t xml:space="preserve">, cycle of </w:t>
      </w:r>
      <w:r w:rsidR="00627488">
        <w:t>Real Stock Price</w:t>
      </w:r>
      <w:r w:rsidRPr="00762161">
        <w:t xml:space="preserve">s and the cycle of </w:t>
      </w:r>
      <w:r w:rsidR="004B07A7">
        <w:t>Industrial Production</w:t>
      </w:r>
      <w:r w:rsidRPr="00762161">
        <w:t>.</w:t>
      </w:r>
    </w:p>
    <w:p w:rsidR="00C647CD" w:rsidRDefault="009C6D49" w:rsidP="00E36DFE">
      <w:pPr>
        <w:spacing w:before="480"/>
        <w:rPr>
          <w:rFonts w:eastAsiaTheme="minorEastAsia"/>
        </w:rPr>
      </w:pPr>
      <w:r>
        <w:t>As discussed t</w:t>
      </w:r>
      <w:r w:rsidR="00D91B53" w:rsidRPr="00762161">
        <w:t xml:space="preserve">his study follows an </w:t>
      </w:r>
      <w:r>
        <w:t>AR (1)</w:t>
      </w:r>
      <w:r w:rsidR="00D91B53" w:rsidRPr="00762161">
        <w:t xml:space="preserve"> process. Suppose that </w:t>
      </w:r>
      <m:oMath>
        <m:sSub>
          <m:sSubPr>
            <m:ctrlPr>
              <w:rPr>
                <w:rFonts w:ascii="Cambria Math" w:hAnsi="Cambria Math"/>
                <w:i/>
              </w:rPr>
            </m:ctrlPr>
          </m:sSubPr>
          <m:e>
            <m:r>
              <w:rPr>
                <w:rFonts w:ascii="Cambria Math" w:hAnsi="Cambria Math"/>
              </w:rPr>
              <m:t>ε</m:t>
            </m:r>
          </m:e>
          <m:sub>
            <m:r>
              <w:rPr>
                <w:rFonts w:ascii="Cambria Math" w:hAnsi="Cambria Math"/>
              </w:rPr>
              <m:t>1</m:t>
            </m:r>
          </m:sub>
        </m:sSub>
      </m:oMath>
      <w:r w:rsidR="00D91B53" w:rsidRPr="00762161">
        <w:rPr>
          <w:rFonts w:eastAsiaTheme="minorEastAsia"/>
        </w:rPr>
        <w:t xml:space="preserve"> is a purely random process with mean zero and variance of </w:t>
      </w:r>
      <m:oMath>
        <m:sSup>
          <m:sSupPr>
            <m:ctrlPr>
              <w:rPr>
                <w:rFonts w:ascii="Cambria Math" w:eastAsiaTheme="minorEastAsia" w:hAnsi="Cambria Math"/>
                <w:i/>
              </w:rPr>
            </m:ctrlPr>
          </m:sSupPr>
          <m:e>
            <m:r>
              <w:rPr>
                <w:rFonts w:ascii="Cambria Math" w:eastAsiaTheme="minorEastAsia" w:hAnsi="Cambria Math"/>
              </w:rPr>
              <m:t>σ</m:t>
            </m:r>
          </m:e>
          <m:sup>
            <m:r>
              <w:rPr>
                <w:rFonts w:ascii="Cambria Math" w:eastAsiaTheme="minorEastAsia" w:hAnsi="Cambria Math"/>
              </w:rPr>
              <m:t>2</m:t>
            </m:r>
          </m:sup>
        </m:sSup>
      </m:oMath>
      <w:r>
        <w:rPr>
          <w:rFonts w:eastAsiaTheme="minorEastAsia"/>
        </w:rPr>
        <w:t>,</w:t>
      </w:r>
      <w:r w:rsidR="00D91B53" w:rsidRPr="00762161">
        <w:rPr>
          <w:rFonts w:eastAsiaTheme="minorEastAsia"/>
        </w:rPr>
        <w:t xml:space="preserve"> </w:t>
      </w:r>
      <w:r>
        <w:rPr>
          <w:rFonts w:eastAsiaTheme="minorEastAsia"/>
        </w:rPr>
        <w:t>t</w:t>
      </w:r>
      <w:r w:rsidR="00D91B53" w:rsidRPr="00762161">
        <w:rPr>
          <w:rFonts w:eastAsiaTheme="minorEastAsia"/>
        </w:rPr>
        <w:t>hen the process</w:t>
      </w:r>
      <w:r w:rsidR="00076E37" w:rsidRPr="00762161">
        <w:rPr>
          <w:rFonts w:eastAsiaTheme="minorEastAsia"/>
        </w:rPr>
        <w:t xml:space="preserve">, </w:t>
      </w:r>
      <m:oMath>
        <m:sSub>
          <m:sSubPr>
            <m:ctrlPr>
              <w:rPr>
                <w:rFonts w:ascii="Cambria Math" w:hAnsi="Cambria Math"/>
                <w:i/>
              </w:rPr>
            </m:ctrlPr>
          </m:sSubPr>
          <m:e>
            <m:r>
              <w:rPr>
                <w:rFonts w:ascii="Cambria Math" w:hAnsi="Cambria Math"/>
              </w:rPr>
              <m:t>X</m:t>
            </m:r>
          </m:e>
          <m:sub>
            <m:r>
              <w:rPr>
                <w:rFonts w:ascii="Cambria Math" w:hAnsi="Cambria Math"/>
              </w:rPr>
              <m:t>t</m:t>
            </m:r>
          </m:sub>
        </m:sSub>
      </m:oMath>
      <w:r w:rsidR="00076E37" w:rsidRPr="00762161">
        <w:rPr>
          <w:rFonts w:eastAsiaTheme="minorEastAsia"/>
        </w:rPr>
        <w:t xml:space="preserve"> represent</w:t>
      </w:r>
      <w:r>
        <w:rPr>
          <w:rFonts w:eastAsiaTheme="minorEastAsia"/>
        </w:rPr>
        <w:t>ing</w:t>
      </w:r>
      <w:r w:rsidR="00076E37" w:rsidRPr="00762161">
        <w:rPr>
          <w:rFonts w:eastAsiaTheme="minorEastAsia"/>
        </w:rPr>
        <w:t xml:space="preserve"> the dependant variable,</w:t>
      </w:r>
      <w:r w:rsidR="00D91B53" w:rsidRPr="00762161">
        <w:rPr>
          <w:rFonts w:eastAsiaTheme="minorEastAsia"/>
        </w:rPr>
        <w:t xml:space="preserve"> is given by</w:t>
      </w:r>
      <w:r w:rsidR="00076E37" w:rsidRPr="00762161">
        <w:rPr>
          <w:rFonts w:eastAsiaTheme="minorEastAsia"/>
        </w:rPr>
        <w:t>:</w:t>
      </w:r>
    </w:p>
    <w:p w:rsidR="00E36DFE" w:rsidRPr="00762161" w:rsidRDefault="00E36DFE" w:rsidP="00E36DFE">
      <w:pPr>
        <w:spacing w:before="480"/>
        <w:rPr>
          <w:rFonts w:eastAsiaTheme="minorEastAsia"/>
        </w:rPr>
        <w:sectPr w:rsidR="00E36DFE" w:rsidRPr="00762161" w:rsidSect="00762161">
          <w:type w:val="continuous"/>
          <w:pgSz w:w="12240" w:h="15840"/>
          <w:pgMar w:top="1440" w:right="1467" w:bottom="1440" w:left="1440" w:header="708" w:footer="708" w:gutter="0"/>
          <w:cols w:space="708"/>
          <w:titlePg/>
          <w:docGrid w:linePitch="360"/>
        </w:sectPr>
      </w:pPr>
    </w:p>
    <w:p w:rsidR="00A92D42" w:rsidRPr="00762161" w:rsidRDefault="006F1E00" w:rsidP="009A1D23">
      <w:pPr>
        <w:spacing w:before="480"/>
      </w:pPr>
      <m:oMath>
        <m:sSub>
          <m:sSubPr>
            <m:ctrlPr>
              <w:rPr>
                <w:rFonts w:ascii="Cambria Math" w:hAnsi="Cambria Math"/>
                <w:i/>
              </w:rPr>
            </m:ctrlPr>
          </m:sSubPr>
          <m:e>
            <m:r>
              <w:rPr>
                <w:rFonts w:ascii="Cambria Math" w:hAnsi="Cambria Math"/>
              </w:rPr>
              <m:t>X</m:t>
            </m:r>
          </m:e>
          <m:sub>
            <m:r>
              <w:rPr>
                <w:rFonts w:ascii="Cambria Math" w:hAnsi="Cambria Math"/>
              </w:rPr>
              <m:t>t</m:t>
            </m:r>
          </m:sub>
        </m:sSub>
        <m:r>
          <w:rPr>
            <w:rFonts w:ascii="Cambria Math" w:hAnsi="Cambria Math"/>
          </w:rPr>
          <m:t>=</m:t>
        </m:r>
        <m:sSub>
          <m:sSubPr>
            <m:ctrlPr>
              <w:rPr>
                <w:rFonts w:ascii="Cambria Math" w:hAnsi="Cambria Math"/>
                <w:i/>
              </w:rPr>
            </m:ctrlPr>
          </m:sSubPr>
          <m:e>
            <m:r>
              <w:rPr>
                <w:rFonts w:ascii="Cambria Math" w:hAnsi="Cambria Math"/>
              </w:rPr>
              <m:t>α</m:t>
            </m:r>
          </m:e>
          <m:sub>
            <m:r>
              <w:rPr>
                <w:rFonts w:ascii="Cambria Math" w:hAnsi="Cambria Math"/>
              </w:rPr>
              <m:t>1</m:t>
            </m:r>
          </m:sub>
        </m:sSub>
        <m:sSub>
          <m:sSubPr>
            <m:ctrlPr>
              <w:rPr>
                <w:rFonts w:ascii="Cambria Math" w:hAnsi="Cambria Math"/>
                <w:i/>
              </w:rPr>
            </m:ctrlPr>
          </m:sSubPr>
          <m:e>
            <m:r>
              <w:rPr>
                <w:rFonts w:ascii="Cambria Math" w:hAnsi="Cambria Math"/>
              </w:rPr>
              <m:t>X</m:t>
            </m:r>
          </m:e>
          <m:sub>
            <m:r>
              <w:rPr>
                <w:rFonts w:ascii="Cambria Math" w:hAnsi="Cambria Math"/>
              </w:rPr>
              <m:t>t-1</m:t>
            </m:r>
          </m:sub>
        </m:sSub>
        <m:r>
          <w:rPr>
            <w:rFonts w:ascii="Cambria Math" w:hAnsi="Cambria Math"/>
          </w:rPr>
          <m:t>+</m:t>
        </m:r>
        <m:sSub>
          <m:sSubPr>
            <m:ctrlPr>
              <w:rPr>
                <w:rFonts w:ascii="Cambria Math" w:hAnsi="Cambria Math"/>
                <w:i/>
              </w:rPr>
            </m:ctrlPr>
          </m:sSubPr>
          <m:e>
            <m:r>
              <w:rPr>
                <w:rFonts w:ascii="Cambria Math" w:hAnsi="Cambria Math"/>
              </w:rPr>
              <m:t>β</m:t>
            </m:r>
          </m:e>
          <m:sub>
            <m:r>
              <w:rPr>
                <w:rFonts w:ascii="Cambria Math" w:hAnsi="Cambria Math"/>
              </w:rPr>
              <m:t>n</m:t>
            </m:r>
          </m:sub>
        </m:sSub>
        <m:sSub>
          <m:sSubPr>
            <m:ctrlPr>
              <w:rPr>
                <w:rFonts w:ascii="Cambria Math" w:hAnsi="Cambria Math"/>
                <w:i/>
              </w:rPr>
            </m:ctrlPr>
          </m:sSubPr>
          <m:e>
            <m:r>
              <w:rPr>
                <w:rFonts w:ascii="Cambria Math" w:hAnsi="Cambria Math"/>
              </w:rPr>
              <m:t>Z</m:t>
            </m:r>
          </m:e>
          <m:sub>
            <m:r>
              <w:rPr>
                <w:rFonts w:ascii="Cambria Math" w:hAnsi="Cambria Math"/>
              </w:rPr>
              <m:t>n</m:t>
            </m:r>
          </m:sub>
        </m:sSub>
        <m:r>
          <w:rPr>
            <w:rFonts w:ascii="Cambria Math" w:hAnsi="Cambria Math"/>
          </w:rPr>
          <m:t xml:space="preserve">+ </m:t>
        </m:r>
        <m:sSub>
          <m:sSubPr>
            <m:ctrlPr>
              <w:rPr>
                <w:rFonts w:ascii="Cambria Math" w:hAnsi="Cambria Math"/>
                <w:i/>
              </w:rPr>
            </m:ctrlPr>
          </m:sSubPr>
          <m:e>
            <m:r>
              <w:rPr>
                <w:rFonts w:ascii="Cambria Math" w:hAnsi="Cambria Math"/>
              </w:rPr>
              <m:t>ε</m:t>
            </m:r>
          </m:e>
          <m:sub>
            <m:r>
              <w:rPr>
                <w:rFonts w:ascii="Cambria Math" w:hAnsi="Cambria Math"/>
              </w:rPr>
              <m:t>t</m:t>
            </m:r>
          </m:sub>
        </m:sSub>
      </m:oMath>
      <w:r w:rsidR="00A92D42" w:rsidRPr="00762161">
        <w:rPr>
          <w:rFonts w:eastAsiaTheme="minorEastAsia"/>
        </w:rPr>
        <w:t xml:space="preserve"> </w:t>
      </w:r>
    </w:p>
    <w:p w:rsidR="00A92D42" w:rsidRPr="00762161" w:rsidRDefault="00A92D42" w:rsidP="00A92D42">
      <w:pPr>
        <w:spacing w:before="480"/>
        <w:jc w:val="right"/>
        <w:sectPr w:rsidR="00A92D42" w:rsidRPr="00762161" w:rsidSect="00A92D42">
          <w:type w:val="continuous"/>
          <w:pgSz w:w="12240" w:h="15840"/>
          <w:pgMar w:top="1440" w:right="1467" w:bottom="1440" w:left="1440" w:header="708" w:footer="708" w:gutter="0"/>
          <w:cols w:num="2" w:space="708"/>
          <w:titlePg/>
          <w:docGrid w:linePitch="360"/>
        </w:sectPr>
      </w:pPr>
      <w:r w:rsidRPr="00762161">
        <w:t xml:space="preserve"> (</w:t>
      </w:r>
      <w:r w:rsidR="0013546C">
        <w:t>6</w:t>
      </w:r>
      <w:r w:rsidRPr="00762161">
        <w:t>)</w:t>
      </w:r>
    </w:p>
    <w:p w:rsidR="00076E37" w:rsidRPr="00762161" w:rsidRDefault="00076E37" w:rsidP="00E73063">
      <w:pPr>
        <w:rPr>
          <w:rFonts w:eastAsiaTheme="minorEastAsia"/>
        </w:rPr>
      </w:pPr>
      <w:r w:rsidRPr="00762161">
        <w:rPr>
          <w:rFonts w:eastAsiaTheme="minorEastAsia"/>
        </w:rPr>
        <w:t xml:space="preserve">Where </w:t>
      </w:r>
      <m:oMath>
        <m:sSub>
          <m:sSubPr>
            <m:ctrlPr>
              <w:rPr>
                <w:rFonts w:ascii="Cambria Math" w:hAnsi="Cambria Math"/>
                <w:i/>
              </w:rPr>
            </m:ctrlPr>
          </m:sSubPr>
          <m:e>
            <m:r>
              <w:rPr>
                <w:rFonts w:ascii="Cambria Math" w:hAnsi="Cambria Math"/>
              </w:rPr>
              <m:t>α</m:t>
            </m:r>
          </m:e>
          <m:sub>
            <m:r>
              <w:rPr>
                <w:rFonts w:ascii="Cambria Math" w:hAnsi="Cambria Math"/>
              </w:rPr>
              <m:t>1</m:t>
            </m:r>
          </m:sub>
        </m:sSub>
      </m:oMath>
      <w:r w:rsidRPr="00762161">
        <w:rPr>
          <w:rFonts w:eastAsiaTheme="minorEastAsia"/>
        </w:rPr>
        <w:t xml:space="preserve"> represents the coefficient value of the AR lagged variable (</w:t>
      </w:r>
      <m:oMath>
        <m:sSub>
          <m:sSubPr>
            <m:ctrlPr>
              <w:rPr>
                <w:rFonts w:ascii="Cambria Math" w:hAnsi="Cambria Math"/>
                <w:i/>
              </w:rPr>
            </m:ctrlPr>
          </m:sSubPr>
          <m:e>
            <m:r>
              <w:rPr>
                <w:rFonts w:ascii="Cambria Math" w:hAnsi="Cambria Math"/>
              </w:rPr>
              <m:t>X</m:t>
            </m:r>
          </m:e>
          <m:sub>
            <m:r>
              <w:rPr>
                <w:rFonts w:ascii="Cambria Math" w:hAnsi="Cambria Math"/>
              </w:rPr>
              <m:t>t-1</m:t>
            </m:r>
          </m:sub>
        </m:sSub>
      </m:oMath>
      <w:r w:rsidRPr="00762161">
        <w:rPr>
          <w:rFonts w:eastAsiaTheme="minorEastAsia"/>
        </w:rPr>
        <w:t>), which is lagged once in the AR</w:t>
      </w:r>
      <w:r w:rsidR="00A92D42" w:rsidRPr="00762161">
        <w:rPr>
          <w:rFonts w:eastAsiaTheme="minorEastAsia"/>
        </w:rPr>
        <w:t xml:space="preserve"> </w:t>
      </w:r>
      <w:r w:rsidRPr="00762161">
        <w:rPr>
          <w:rFonts w:eastAsiaTheme="minorEastAsia"/>
        </w:rPr>
        <w:t xml:space="preserve">(1) process. </w:t>
      </w:r>
      <w:r w:rsidR="00A92D42" w:rsidRPr="00762161">
        <w:rPr>
          <w:rFonts w:eastAsiaTheme="minorEastAsia"/>
        </w:rPr>
        <w:t xml:space="preserve">And, </w:t>
      </w:r>
      <m:oMath>
        <m:sSub>
          <m:sSubPr>
            <m:ctrlPr>
              <w:rPr>
                <w:rFonts w:ascii="Cambria Math" w:hAnsi="Cambria Math"/>
                <w:i/>
              </w:rPr>
            </m:ctrlPr>
          </m:sSubPr>
          <m:e>
            <m:r>
              <w:rPr>
                <w:rFonts w:ascii="Cambria Math" w:hAnsi="Cambria Math"/>
              </w:rPr>
              <m:t>β</m:t>
            </m:r>
          </m:e>
          <m:sub>
            <m:r>
              <w:rPr>
                <w:rFonts w:ascii="Cambria Math" w:hAnsi="Cambria Math"/>
              </w:rPr>
              <m:t>n</m:t>
            </m:r>
          </m:sub>
        </m:sSub>
        <m:sSub>
          <m:sSubPr>
            <m:ctrlPr>
              <w:rPr>
                <w:rFonts w:ascii="Cambria Math" w:hAnsi="Cambria Math"/>
                <w:i/>
              </w:rPr>
            </m:ctrlPr>
          </m:sSubPr>
          <m:e>
            <m:r>
              <w:rPr>
                <w:rFonts w:ascii="Cambria Math" w:hAnsi="Cambria Math"/>
              </w:rPr>
              <m:t>Z</m:t>
            </m:r>
          </m:e>
          <m:sub>
            <m:r>
              <w:rPr>
                <w:rFonts w:ascii="Cambria Math" w:hAnsi="Cambria Math"/>
              </w:rPr>
              <m:t>n</m:t>
            </m:r>
          </m:sub>
        </m:sSub>
      </m:oMath>
      <w:r w:rsidRPr="00762161">
        <w:rPr>
          <w:rFonts w:eastAsiaTheme="minorEastAsia"/>
        </w:rPr>
        <w:t xml:space="preserve"> represents the cycle of the </w:t>
      </w:r>
      <w:r w:rsidR="00627488">
        <w:rPr>
          <w:rFonts w:eastAsiaTheme="minorEastAsia"/>
        </w:rPr>
        <w:t>Real Stock Price</w:t>
      </w:r>
      <w:r w:rsidRPr="00762161">
        <w:rPr>
          <w:rFonts w:eastAsiaTheme="minorEastAsia"/>
        </w:rPr>
        <w:t xml:space="preserve"> which is either considered in time </w:t>
      </w:r>
      <w:r w:rsidRPr="00762161">
        <w:rPr>
          <w:rFonts w:eastAsiaTheme="minorEastAsia"/>
          <w:i/>
        </w:rPr>
        <w:t>t</w:t>
      </w:r>
      <w:r w:rsidRPr="00762161">
        <w:rPr>
          <w:rFonts w:eastAsiaTheme="minorEastAsia"/>
        </w:rPr>
        <w:t xml:space="preserve">, or is lagged </w:t>
      </w:r>
      <w:r w:rsidRPr="00762161">
        <w:rPr>
          <w:rFonts w:eastAsiaTheme="minorEastAsia"/>
          <w:i/>
        </w:rPr>
        <w:t xml:space="preserve">n </w:t>
      </w:r>
      <w:r w:rsidRPr="00762161">
        <w:rPr>
          <w:rFonts w:eastAsiaTheme="minorEastAsia"/>
        </w:rPr>
        <w:t xml:space="preserve">times according to the specific regression. </w:t>
      </w:r>
    </w:p>
    <w:p w:rsidR="00E73063" w:rsidRPr="00762161" w:rsidRDefault="00E73063" w:rsidP="00E73063">
      <w:pPr>
        <w:rPr>
          <w:szCs w:val="24"/>
        </w:rPr>
      </w:pPr>
      <w:r w:rsidRPr="00762161">
        <w:rPr>
          <w:szCs w:val="24"/>
        </w:rPr>
        <w:t xml:space="preserve">Multiple regressions were run with </w:t>
      </w:r>
      <w:r w:rsidR="00AD1396" w:rsidRPr="00762161">
        <w:rPr>
          <w:szCs w:val="24"/>
        </w:rPr>
        <w:t xml:space="preserve">share prices as the </w:t>
      </w:r>
      <w:r w:rsidR="00AD1396">
        <w:rPr>
          <w:szCs w:val="24"/>
        </w:rPr>
        <w:t xml:space="preserve">solitary </w:t>
      </w:r>
      <w:r w:rsidR="00AD1396" w:rsidRPr="00762161">
        <w:rPr>
          <w:szCs w:val="24"/>
        </w:rPr>
        <w:t>independent</w:t>
      </w:r>
      <w:r w:rsidR="00AD1396">
        <w:rPr>
          <w:szCs w:val="24"/>
        </w:rPr>
        <w:t xml:space="preserve"> variable, and</w:t>
      </w:r>
      <w:r w:rsidR="00AD1396" w:rsidRPr="00762161">
        <w:rPr>
          <w:szCs w:val="24"/>
        </w:rPr>
        <w:t xml:space="preserve"> </w:t>
      </w:r>
      <w:r w:rsidRPr="00762161">
        <w:rPr>
          <w:szCs w:val="24"/>
        </w:rPr>
        <w:t xml:space="preserve">each of the </w:t>
      </w:r>
      <w:r w:rsidR="00AD1396">
        <w:rPr>
          <w:szCs w:val="24"/>
        </w:rPr>
        <w:t xml:space="preserve">remaining </w:t>
      </w:r>
      <w:r w:rsidRPr="00762161">
        <w:rPr>
          <w:szCs w:val="24"/>
        </w:rPr>
        <w:t>economic indicators as dependant variables. These regressions changed from period to period as share prices were lagged two years</w:t>
      </w:r>
      <w:r w:rsidR="00AD1396">
        <w:rPr>
          <w:szCs w:val="24"/>
        </w:rPr>
        <w:t>, or eight quarters,</w:t>
      </w:r>
      <w:r w:rsidRPr="00762161">
        <w:rPr>
          <w:szCs w:val="24"/>
        </w:rPr>
        <w:t xml:space="preserve"> for the quarterly analysis and three years for the yearly analysis. Share prices were found to contain very little predictive power past 8 quarters or 3 years, depending on the particular regression.</w:t>
      </w:r>
    </w:p>
    <w:p w:rsidR="00E73063" w:rsidRPr="00762161" w:rsidRDefault="00E73063" w:rsidP="00E73063">
      <w:pPr>
        <w:rPr>
          <w:szCs w:val="24"/>
        </w:rPr>
      </w:pPr>
      <w:r w:rsidRPr="00762161">
        <w:rPr>
          <w:szCs w:val="24"/>
        </w:rPr>
        <w:t xml:space="preserve">Regressions were run to show the </w:t>
      </w:r>
      <w:r w:rsidR="00AD1396">
        <w:rPr>
          <w:szCs w:val="24"/>
        </w:rPr>
        <w:t>relationship</w:t>
      </w:r>
      <w:r w:rsidRPr="00762161">
        <w:rPr>
          <w:szCs w:val="24"/>
        </w:rPr>
        <w:t xml:space="preserve"> that </w:t>
      </w:r>
      <w:r w:rsidR="00AD1396">
        <w:rPr>
          <w:szCs w:val="24"/>
        </w:rPr>
        <w:t xml:space="preserve">the </w:t>
      </w:r>
      <w:r w:rsidR="00627488">
        <w:rPr>
          <w:szCs w:val="24"/>
        </w:rPr>
        <w:t>Real Stock Price</w:t>
      </w:r>
      <w:r w:rsidR="00AD1396">
        <w:rPr>
          <w:szCs w:val="24"/>
        </w:rPr>
        <w:t xml:space="preserve"> cycle</w:t>
      </w:r>
      <w:r w:rsidRPr="00762161">
        <w:rPr>
          <w:szCs w:val="24"/>
        </w:rPr>
        <w:t xml:space="preserve"> </w:t>
      </w:r>
      <w:r w:rsidR="00AD1396">
        <w:rPr>
          <w:szCs w:val="24"/>
        </w:rPr>
        <w:t>has</w:t>
      </w:r>
      <w:r w:rsidRPr="00762161">
        <w:rPr>
          <w:szCs w:val="24"/>
        </w:rPr>
        <w:t xml:space="preserve"> on </w:t>
      </w:r>
      <w:r w:rsidR="00AD1396">
        <w:rPr>
          <w:szCs w:val="24"/>
        </w:rPr>
        <w:t xml:space="preserve">the </w:t>
      </w:r>
      <w:r w:rsidR="00627488">
        <w:rPr>
          <w:szCs w:val="24"/>
        </w:rPr>
        <w:t>Real GDP</w:t>
      </w:r>
      <w:r w:rsidR="00AD1396">
        <w:rPr>
          <w:szCs w:val="24"/>
        </w:rPr>
        <w:t xml:space="preserve"> cycle</w:t>
      </w:r>
      <w:r w:rsidRPr="00762161">
        <w:rPr>
          <w:szCs w:val="24"/>
        </w:rPr>
        <w:t xml:space="preserve">, </w:t>
      </w:r>
      <w:r w:rsidR="00AD1396">
        <w:rPr>
          <w:szCs w:val="24"/>
        </w:rPr>
        <w:t xml:space="preserve">Real </w:t>
      </w:r>
      <w:r w:rsidR="004B07A7">
        <w:rPr>
          <w:szCs w:val="24"/>
        </w:rPr>
        <w:t>Industrial Production</w:t>
      </w:r>
      <w:r w:rsidR="00AD1396">
        <w:rPr>
          <w:szCs w:val="24"/>
        </w:rPr>
        <w:t xml:space="preserve"> cycle</w:t>
      </w:r>
      <w:r w:rsidRPr="00762161">
        <w:rPr>
          <w:szCs w:val="24"/>
        </w:rPr>
        <w:t xml:space="preserve"> and </w:t>
      </w:r>
      <w:r w:rsidR="00AD1396">
        <w:rPr>
          <w:szCs w:val="24"/>
        </w:rPr>
        <w:t>the level I</w:t>
      </w:r>
      <w:r w:rsidRPr="00762161">
        <w:rPr>
          <w:szCs w:val="24"/>
        </w:rPr>
        <w:t xml:space="preserve">nflation. </w:t>
      </w:r>
      <w:r w:rsidR="00AD1396">
        <w:rPr>
          <w:szCs w:val="24"/>
        </w:rPr>
        <w:t xml:space="preserve">The </w:t>
      </w:r>
      <w:r w:rsidR="00627488">
        <w:rPr>
          <w:szCs w:val="24"/>
        </w:rPr>
        <w:t>Real Stock Price</w:t>
      </w:r>
      <w:r w:rsidR="00AD1396">
        <w:rPr>
          <w:szCs w:val="24"/>
        </w:rPr>
        <w:t xml:space="preserve"> cycle</w:t>
      </w:r>
      <w:r w:rsidRPr="00762161">
        <w:rPr>
          <w:szCs w:val="24"/>
        </w:rPr>
        <w:t xml:space="preserve"> was lagged over successive periods to determine where, if at all, the stock price has the greatest influence over the economic indicators.</w:t>
      </w:r>
      <w:r w:rsidR="00AD1396">
        <w:rPr>
          <w:szCs w:val="24"/>
        </w:rPr>
        <w:t xml:space="preserve"> In each of this study’s tables, the initial regression contains all of the lagged </w:t>
      </w:r>
      <w:r w:rsidR="00627488">
        <w:rPr>
          <w:szCs w:val="24"/>
        </w:rPr>
        <w:t>Real Stock Price</w:t>
      </w:r>
      <w:r w:rsidR="00AD1396">
        <w:rPr>
          <w:szCs w:val="24"/>
        </w:rPr>
        <w:t xml:space="preserve"> cycle variables. </w:t>
      </w:r>
      <w:r w:rsidR="000944C3">
        <w:rPr>
          <w:szCs w:val="24"/>
        </w:rPr>
        <w:t>The same table displays</w:t>
      </w:r>
      <w:r w:rsidR="00AD1396">
        <w:rPr>
          <w:szCs w:val="24"/>
        </w:rPr>
        <w:t xml:space="preserve"> the subsequent regressions </w:t>
      </w:r>
      <w:r w:rsidR="000944C3">
        <w:rPr>
          <w:szCs w:val="24"/>
        </w:rPr>
        <w:t>being run</w:t>
      </w:r>
      <w:r w:rsidR="00AD1396">
        <w:rPr>
          <w:szCs w:val="24"/>
        </w:rPr>
        <w:t xml:space="preserve"> with only one lag per regression</w:t>
      </w:r>
      <w:r w:rsidR="000944C3">
        <w:rPr>
          <w:szCs w:val="24"/>
        </w:rPr>
        <w:t>, specifically chosen in descending order</w:t>
      </w:r>
      <w:r w:rsidR="00AD1396">
        <w:rPr>
          <w:szCs w:val="24"/>
        </w:rPr>
        <w:t>.</w:t>
      </w:r>
    </w:p>
    <w:p w:rsidR="00C56FB9" w:rsidRDefault="00D71C8D" w:rsidP="004B07A7">
      <w:pPr>
        <w:rPr>
          <w:color w:val="FF0000"/>
          <w:szCs w:val="24"/>
        </w:rPr>
      </w:pPr>
      <w:r>
        <w:rPr>
          <w:szCs w:val="24"/>
        </w:rPr>
        <w:t>Structural breaks were also applied to the data set in the hope of increasing significance levels and decreasing the possible dominance of the AR</w:t>
      </w:r>
      <w:r w:rsidR="000944C3">
        <w:rPr>
          <w:szCs w:val="24"/>
        </w:rPr>
        <w:t xml:space="preserve"> </w:t>
      </w:r>
      <w:r>
        <w:rPr>
          <w:szCs w:val="24"/>
        </w:rPr>
        <w:t xml:space="preserve">(1) process. The data was visibly inspected and the structural breaks were chosen according to not only visible differences in the graphs of the individual variables over differing frequencies, but also through the significance of the </w:t>
      </w:r>
      <w:r w:rsidR="00463069">
        <w:rPr>
          <w:szCs w:val="24"/>
        </w:rPr>
        <w:t>Chow Test</w:t>
      </w:r>
      <w:r>
        <w:rPr>
          <w:szCs w:val="24"/>
        </w:rPr>
        <w:t xml:space="preserve">. The </w:t>
      </w:r>
      <w:r w:rsidR="00463069">
        <w:rPr>
          <w:szCs w:val="24"/>
        </w:rPr>
        <w:t>Chow Test</w:t>
      </w:r>
      <w:r>
        <w:rPr>
          <w:szCs w:val="24"/>
        </w:rPr>
        <w:t xml:space="preserve"> was applied to each individual regression containing all of the </w:t>
      </w:r>
      <w:r w:rsidR="00627488">
        <w:rPr>
          <w:szCs w:val="24"/>
        </w:rPr>
        <w:t>Real Stock Price</w:t>
      </w:r>
      <w:r>
        <w:rPr>
          <w:szCs w:val="24"/>
        </w:rPr>
        <w:t xml:space="preserve"> cycle lags, and in each regression significance was found once the </w:t>
      </w:r>
      <w:r w:rsidR="00463069">
        <w:rPr>
          <w:szCs w:val="24"/>
        </w:rPr>
        <w:t xml:space="preserve">structural </w:t>
      </w:r>
      <w:r>
        <w:rPr>
          <w:szCs w:val="24"/>
        </w:rPr>
        <w:t xml:space="preserve">breaks had been applied. </w:t>
      </w:r>
    </w:p>
    <w:p w:rsidR="00C56FB9" w:rsidRDefault="00C56FB9">
      <w:pPr>
        <w:rPr>
          <w:color w:val="FF0000"/>
          <w:szCs w:val="24"/>
        </w:rPr>
      </w:pPr>
      <w:r>
        <w:rPr>
          <w:color w:val="FF0000"/>
          <w:szCs w:val="24"/>
        </w:rPr>
        <w:br w:type="page"/>
      </w:r>
    </w:p>
    <w:p w:rsidR="009D61A9" w:rsidRPr="00762161" w:rsidRDefault="009D61A9" w:rsidP="005941C0">
      <w:pPr>
        <w:pStyle w:val="Heading1"/>
        <w:numPr>
          <w:ilvl w:val="0"/>
          <w:numId w:val="7"/>
        </w:numPr>
      </w:pPr>
      <w:bookmarkStart w:id="326" w:name="_Toc282531639"/>
      <w:bookmarkStart w:id="327" w:name="_Toc286616325"/>
      <w:r w:rsidRPr="00762161">
        <w:t>Results</w:t>
      </w:r>
      <w:bookmarkEnd w:id="326"/>
      <w:bookmarkEnd w:id="327"/>
    </w:p>
    <w:p w:rsidR="009D61A9" w:rsidRPr="00762161" w:rsidRDefault="009D61A9" w:rsidP="005941C0"/>
    <w:p w:rsidR="00DB1315" w:rsidRDefault="00DB1315" w:rsidP="005941C0">
      <w:r>
        <w:t>The results will show a number of interesting and key aspects of this study. However, due to the presence of positive autocorrelation in three out of the four economic variables, decisive conclusions cannot be drawn from all of the significant outputs and must be individually evaluated in consideration of this. Improvement in not only the power of the regression but also in the decreasing of autocorrelation was seen when yearly as opposed to quarterly data was tested. One can only assume that the autocorrelation would become notably worse should monthly data be analysed. These issues could be put down to the lack of efficiency of the JSE, but the fact remains that yearl</w:t>
      </w:r>
      <w:r w:rsidR="00DA7E4C">
        <w:t>y results show superior ability</w:t>
      </w:r>
      <w:r>
        <w:t xml:space="preserve"> when compared to quarterly, of the</w:t>
      </w:r>
      <w:r w:rsidR="00726BEF">
        <w:t xml:space="preserve"> </w:t>
      </w:r>
      <w:r w:rsidR="00627488">
        <w:t>Real Stock Price</w:t>
      </w:r>
      <w:r w:rsidR="00726BEF">
        <w:t xml:space="preserve"> Cycle</w:t>
      </w:r>
      <w:r>
        <w:t xml:space="preserve"> to indicate levels of economic activity in the future.</w:t>
      </w:r>
    </w:p>
    <w:p w:rsidR="009D61A9" w:rsidRPr="00762161" w:rsidRDefault="00874336" w:rsidP="005941C0">
      <w:pPr>
        <w:rPr>
          <w:rFonts w:eastAsiaTheme="minorEastAsia"/>
        </w:rPr>
      </w:pPr>
      <w:r>
        <w:t>Evaluating</w:t>
      </w:r>
      <w:r w:rsidR="005941C0" w:rsidRPr="00762161">
        <w:t xml:space="preserve"> </w:t>
      </w:r>
      <w:r w:rsidR="000E2463" w:rsidRPr="00762161">
        <w:t>Table</w:t>
      </w:r>
      <w:r w:rsidR="005941C0" w:rsidRPr="00762161">
        <w:t xml:space="preserve"> 1 over the </w:t>
      </w:r>
      <w:r w:rsidR="00E7009E" w:rsidRPr="00762161">
        <w:t xml:space="preserve">quarterly </w:t>
      </w:r>
      <w:r w:rsidR="005941C0" w:rsidRPr="00762161">
        <w:t>sample period 19</w:t>
      </w:r>
      <w:r w:rsidR="00B705B7" w:rsidRPr="00762161">
        <w:t>69</w:t>
      </w:r>
      <w:r w:rsidR="005941C0" w:rsidRPr="00762161">
        <w:t xml:space="preserve">-1988, the </w:t>
      </w:r>
      <w:r w:rsidR="003265D3">
        <w:t>initial</w:t>
      </w:r>
      <w:r w:rsidR="005941C0" w:rsidRPr="00762161">
        <w:t xml:space="preserve"> regression shows that lag</w:t>
      </w:r>
      <w:r w:rsidR="00AD65B5" w:rsidRPr="00762161">
        <w:t>ged quarters</w:t>
      </w:r>
      <w:r w:rsidR="005941C0" w:rsidRPr="00762161">
        <w:t xml:space="preserve"> three, four, five and six are significant at the 1% level, while period seven is significant at the 5% level. Running through the individual regressions</w:t>
      </w:r>
      <w:r>
        <w:t xml:space="preserve"> (regressions with only one independent variable)</w:t>
      </w:r>
      <w:r w:rsidR="005941C0" w:rsidRPr="00762161">
        <w:t xml:space="preserve"> no lag, </w:t>
      </w:r>
      <w:r w:rsidR="00AD65B5" w:rsidRPr="00762161">
        <w:t xml:space="preserve">lagged quarters </w:t>
      </w:r>
      <w:r w:rsidR="005941C0" w:rsidRPr="00762161">
        <w:t xml:space="preserve">four and </w:t>
      </w:r>
      <w:r w:rsidR="00AD65B5" w:rsidRPr="00762161">
        <w:t>eight</w:t>
      </w:r>
      <w:r w:rsidR="005941C0" w:rsidRPr="00762161">
        <w:t xml:space="preserve"> are significant at the 10% level, in contrast lag seven is significant at the 5% level while lags five and six are significant at the 1% level. The initial regression proves to have the lowest AR value and Akaike, and highest </w:t>
      </w:r>
      <m:oMath>
        <m:acc>
          <m:accPr>
            <m:chr m:val="̅"/>
            <m:ctrlPr>
              <w:rPr>
                <w:rFonts w:ascii="Cambria Math" w:hAnsi="Cambria Math"/>
                <w:i/>
              </w:rPr>
            </m:ctrlPr>
          </m:accPr>
          <m:e>
            <m:r>
              <w:rPr>
                <w:rFonts w:ascii="Cambria Math" w:hAnsi="Cambria Math"/>
              </w:rPr>
              <m:t>R</m:t>
            </m:r>
          </m:e>
        </m:acc>
      </m:oMath>
      <w:r w:rsidR="005941C0" w:rsidRPr="00762161">
        <w:rPr>
          <w:rFonts w:eastAsiaTheme="minorEastAsia"/>
        </w:rPr>
        <w:t xml:space="preserve">, showing that under this regression </w:t>
      </w:r>
      <w:r w:rsidR="00AD65B5" w:rsidRPr="00762161">
        <w:t xml:space="preserve">lagged quarters </w:t>
      </w:r>
      <w:r w:rsidR="005941C0" w:rsidRPr="00762161">
        <w:rPr>
          <w:rFonts w:eastAsiaTheme="minorEastAsia"/>
        </w:rPr>
        <w:t>three, four, five, six and seven of the</w:t>
      </w:r>
      <w:r w:rsidR="00726BEF">
        <w:rPr>
          <w:rFonts w:eastAsiaTheme="minorEastAsia"/>
        </w:rPr>
        <w:t xml:space="preserve"> </w:t>
      </w:r>
      <w:r w:rsidR="00627488">
        <w:rPr>
          <w:rFonts w:eastAsiaTheme="minorEastAsia"/>
        </w:rPr>
        <w:t>Real Stock Price</w:t>
      </w:r>
      <w:r w:rsidR="00726BEF">
        <w:rPr>
          <w:rFonts w:eastAsiaTheme="minorEastAsia"/>
        </w:rPr>
        <w:t xml:space="preserve"> Cycle</w:t>
      </w:r>
      <w:r w:rsidR="005941C0" w:rsidRPr="00762161">
        <w:rPr>
          <w:rFonts w:eastAsiaTheme="minorEastAsia"/>
        </w:rPr>
        <w:t xml:space="preserve"> showed the greatest indication of the cycle of GDP.</w:t>
      </w:r>
      <w:r w:rsidR="00997EF2">
        <w:rPr>
          <w:rFonts w:eastAsiaTheme="minorEastAsia"/>
        </w:rPr>
        <w:t xml:space="preserve"> However, overall the regressions have high AR values, thus showing domination by the model, yielding results which are not easily useable.</w:t>
      </w:r>
    </w:p>
    <w:p w:rsidR="006F6400" w:rsidRPr="00762161" w:rsidRDefault="006F6400" w:rsidP="006F6400">
      <w:r w:rsidRPr="00762161">
        <w:t xml:space="preserve">Consulting </w:t>
      </w:r>
      <w:r w:rsidR="000E2463" w:rsidRPr="00762161">
        <w:t>Table</w:t>
      </w:r>
      <w:r w:rsidRPr="00762161">
        <w:t xml:space="preserve"> </w:t>
      </w:r>
      <w:r w:rsidR="00B705B7" w:rsidRPr="00762161">
        <w:t>2</w:t>
      </w:r>
      <w:r w:rsidRPr="00762161">
        <w:t xml:space="preserve"> over the </w:t>
      </w:r>
      <w:r w:rsidR="00E7009E" w:rsidRPr="00762161">
        <w:t xml:space="preserve">quarterly </w:t>
      </w:r>
      <w:r w:rsidRPr="00762161">
        <w:t xml:space="preserve">sample period 1988-1997, the </w:t>
      </w:r>
      <w:r w:rsidR="00F642E2" w:rsidRPr="00762161">
        <w:t>initial</w:t>
      </w:r>
      <w:r w:rsidRPr="00762161">
        <w:t xml:space="preserve"> regression shows that </w:t>
      </w:r>
      <w:r w:rsidR="00F642E2" w:rsidRPr="00762161">
        <w:t>the</w:t>
      </w:r>
      <w:r w:rsidR="00726BEF">
        <w:t xml:space="preserve"> </w:t>
      </w:r>
      <w:r w:rsidR="00627488">
        <w:t>Real Stock Price</w:t>
      </w:r>
      <w:r w:rsidR="00726BEF">
        <w:t xml:space="preserve"> Cycle</w:t>
      </w:r>
      <w:r w:rsidR="00F642E2" w:rsidRPr="00762161">
        <w:t xml:space="preserve"> with no lags, and </w:t>
      </w:r>
      <w:r w:rsidR="00AD65B5" w:rsidRPr="00762161">
        <w:t xml:space="preserve">lagged quarters </w:t>
      </w:r>
      <w:r w:rsidR="00F642E2" w:rsidRPr="00762161">
        <w:t>one, two,</w:t>
      </w:r>
      <w:r w:rsidRPr="00762161">
        <w:t xml:space="preserve"> three, six</w:t>
      </w:r>
      <w:r w:rsidR="00F642E2" w:rsidRPr="00762161">
        <w:t>, seven and eight</w:t>
      </w:r>
      <w:r w:rsidRPr="00762161">
        <w:t xml:space="preserve"> are significant at the 1% level. Running through the individual regressions </w:t>
      </w:r>
      <w:r w:rsidR="00F642E2" w:rsidRPr="00762161">
        <w:t>lag one</w:t>
      </w:r>
      <w:r w:rsidRPr="00762161">
        <w:t xml:space="preserve"> </w:t>
      </w:r>
      <w:r w:rsidR="00F642E2" w:rsidRPr="00762161">
        <w:t>is</w:t>
      </w:r>
      <w:r w:rsidRPr="00762161">
        <w:t xml:space="preserve"> significant at the 10% level, in contrast </w:t>
      </w:r>
      <w:r w:rsidR="00F642E2" w:rsidRPr="00762161">
        <w:t xml:space="preserve">no lag, </w:t>
      </w:r>
      <w:r w:rsidR="00AD65B5" w:rsidRPr="00762161">
        <w:t xml:space="preserve">lagged quarters </w:t>
      </w:r>
      <w:r w:rsidR="00F642E2" w:rsidRPr="00762161">
        <w:t>five, six, seven, and eight</w:t>
      </w:r>
      <w:r w:rsidRPr="00762161">
        <w:t xml:space="preserve"> are significant at the 1% level. The initial regression </w:t>
      </w:r>
      <w:r w:rsidR="00DA7E4C">
        <w:t xml:space="preserve">still </w:t>
      </w:r>
      <w:r w:rsidRPr="00762161">
        <w:t xml:space="preserve">proves to have the lowest AR value and Akaike, and highest </w:t>
      </w:r>
      <m:oMath>
        <m:acc>
          <m:accPr>
            <m:chr m:val="̅"/>
            <m:ctrlPr>
              <w:rPr>
                <w:rFonts w:ascii="Cambria Math" w:hAnsi="Cambria Math"/>
                <w:i/>
              </w:rPr>
            </m:ctrlPr>
          </m:accPr>
          <m:e>
            <m:r>
              <w:rPr>
                <w:rFonts w:ascii="Cambria Math" w:hAnsi="Cambria Math"/>
              </w:rPr>
              <m:t>R</m:t>
            </m:r>
          </m:e>
        </m:acc>
      </m:oMath>
      <w:r w:rsidRPr="00762161">
        <w:rPr>
          <w:rFonts w:eastAsiaTheme="minorEastAsia"/>
        </w:rPr>
        <w:t xml:space="preserve">, showing that </w:t>
      </w:r>
      <w:r w:rsidR="00DA7E4C">
        <w:rPr>
          <w:rFonts w:eastAsiaTheme="minorEastAsia"/>
        </w:rPr>
        <w:t>the variables:</w:t>
      </w:r>
      <w:r w:rsidRPr="00762161">
        <w:rPr>
          <w:rFonts w:eastAsiaTheme="minorEastAsia"/>
        </w:rPr>
        <w:t xml:space="preserve"> </w:t>
      </w:r>
      <w:r w:rsidR="00F642E2" w:rsidRPr="00762161">
        <w:t xml:space="preserve">no lags, and </w:t>
      </w:r>
      <w:r w:rsidR="00AD65B5" w:rsidRPr="00762161">
        <w:t xml:space="preserve">lagged quarters </w:t>
      </w:r>
      <w:r w:rsidR="00F642E2" w:rsidRPr="00762161">
        <w:t>one, two, three, six, seven and eight</w:t>
      </w:r>
      <w:r w:rsidRPr="00762161">
        <w:rPr>
          <w:rFonts w:eastAsiaTheme="minorEastAsia"/>
        </w:rPr>
        <w:t xml:space="preserve"> of the</w:t>
      </w:r>
      <w:r w:rsidR="00726BEF">
        <w:rPr>
          <w:rFonts w:eastAsiaTheme="minorEastAsia"/>
        </w:rPr>
        <w:t xml:space="preserve"> </w:t>
      </w:r>
      <w:r w:rsidR="00627488">
        <w:rPr>
          <w:rFonts w:eastAsiaTheme="minorEastAsia"/>
        </w:rPr>
        <w:t>Real Stock Price</w:t>
      </w:r>
      <w:r w:rsidR="00726BEF">
        <w:rPr>
          <w:rFonts w:eastAsiaTheme="minorEastAsia"/>
        </w:rPr>
        <w:t xml:space="preserve"> Cycle</w:t>
      </w:r>
      <w:r w:rsidRPr="00762161">
        <w:rPr>
          <w:rFonts w:eastAsiaTheme="minorEastAsia"/>
        </w:rPr>
        <w:t xml:space="preserve"> showed the greatest indication of the cycle of GDP.</w:t>
      </w:r>
      <w:r w:rsidR="00726BEF">
        <w:rPr>
          <w:rFonts w:eastAsiaTheme="minorEastAsia"/>
        </w:rPr>
        <w:t xml:space="preserve"> Once again the AR values are extremely high across the regressions, which don’t allow conclusive results. The F Values are also extremely significant.</w:t>
      </w:r>
    </w:p>
    <w:p w:rsidR="00B705B7" w:rsidRPr="00762161" w:rsidRDefault="00B705B7" w:rsidP="00B705B7">
      <w:r w:rsidRPr="00762161">
        <w:t xml:space="preserve">Consulting </w:t>
      </w:r>
      <w:r w:rsidR="000E2463" w:rsidRPr="00762161">
        <w:t>Table</w:t>
      </w:r>
      <w:r w:rsidRPr="00762161">
        <w:t xml:space="preserve"> 3 over the </w:t>
      </w:r>
      <w:r w:rsidR="00E7009E" w:rsidRPr="00762161">
        <w:t xml:space="preserve">quarterly </w:t>
      </w:r>
      <w:r w:rsidRPr="00762161">
        <w:t>sample period 1997-2010, the initial regression shows that the</w:t>
      </w:r>
      <w:r w:rsidR="00726BEF">
        <w:t xml:space="preserve"> </w:t>
      </w:r>
      <w:r w:rsidR="00627488">
        <w:t>Real Stock Price</w:t>
      </w:r>
      <w:r w:rsidR="00726BEF">
        <w:t xml:space="preserve"> Cycle</w:t>
      </w:r>
      <w:r w:rsidRPr="00762161">
        <w:t xml:space="preserve"> with no lags, and </w:t>
      </w:r>
      <w:r w:rsidR="00AD65B5" w:rsidRPr="00762161">
        <w:t xml:space="preserve">lagged quarters </w:t>
      </w:r>
      <w:r w:rsidRPr="00762161">
        <w:t xml:space="preserve">one, two, three, and four are significant at the 1% level. Running through the individual regressions </w:t>
      </w:r>
      <w:r w:rsidR="001901A6" w:rsidRPr="00762161">
        <w:t xml:space="preserve">no lag, and </w:t>
      </w:r>
      <w:r w:rsidR="00AD65B5" w:rsidRPr="00762161">
        <w:t xml:space="preserve">lagged quarters </w:t>
      </w:r>
      <w:r w:rsidR="001901A6" w:rsidRPr="00762161">
        <w:t>one, two, three, four and eight</w:t>
      </w:r>
      <w:r w:rsidRPr="00762161">
        <w:t xml:space="preserve"> are significant at the 1% level. </w:t>
      </w:r>
      <w:r w:rsidR="00DA7E4C">
        <w:t>Once again t</w:t>
      </w:r>
      <w:r w:rsidRPr="00762161">
        <w:t xml:space="preserve">he initial regression proves to have the lowest AR value and Akaike, and highest </w:t>
      </w:r>
      <m:oMath>
        <m:acc>
          <m:accPr>
            <m:chr m:val="̅"/>
            <m:ctrlPr>
              <w:rPr>
                <w:rFonts w:ascii="Cambria Math" w:hAnsi="Cambria Math"/>
                <w:i/>
              </w:rPr>
            </m:ctrlPr>
          </m:accPr>
          <m:e>
            <m:r>
              <w:rPr>
                <w:rFonts w:ascii="Cambria Math" w:hAnsi="Cambria Math"/>
              </w:rPr>
              <m:t>R</m:t>
            </m:r>
          </m:e>
        </m:acc>
      </m:oMath>
      <w:r w:rsidRPr="00762161">
        <w:rPr>
          <w:rFonts w:eastAsiaTheme="minorEastAsia"/>
        </w:rPr>
        <w:t xml:space="preserve">, showing that under this regression </w:t>
      </w:r>
      <w:r w:rsidR="001901A6" w:rsidRPr="00762161">
        <w:t xml:space="preserve">no lag, and </w:t>
      </w:r>
      <w:r w:rsidR="00AD65B5" w:rsidRPr="00762161">
        <w:t xml:space="preserve">lagged quarters </w:t>
      </w:r>
      <w:r w:rsidR="001901A6" w:rsidRPr="00762161">
        <w:t>one, two, three, four and eight</w:t>
      </w:r>
      <w:r w:rsidR="001901A6" w:rsidRPr="00762161">
        <w:rPr>
          <w:rFonts w:eastAsiaTheme="minorEastAsia"/>
        </w:rPr>
        <w:t xml:space="preserve"> </w:t>
      </w:r>
      <w:r w:rsidRPr="00762161">
        <w:rPr>
          <w:rFonts w:eastAsiaTheme="minorEastAsia"/>
        </w:rPr>
        <w:t>of the</w:t>
      </w:r>
      <w:r w:rsidR="00726BEF">
        <w:rPr>
          <w:rFonts w:eastAsiaTheme="minorEastAsia"/>
        </w:rPr>
        <w:t xml:space="preserve"> </w:t>
      </w:r>
      <w:r w:rsidR="00627488">
        <w:rPr>
          <w:rFonts w:eastAsiaTheme="minorEastAsia"/>
        </w:rPr>
        <w:t>Real Stock Price</w:t>
      </w:r>
      <w:r w:rsidR="00726BEF">
        <w:rPr>
          <w:rFonts w:eastAsiaTheme="minorEastAsia"/>
        </w:rPr>
        <w:t xml:space="preserve"> Cycle</w:t>
      </w:r>
      <w:r w:rsidRPr="00762161">
        <w:rPr>
          <w:rFonts w:eastAsiaTheme="minorEastAsia"/>
        </w:rPr>
        <w:t xml:space="preserve"> showed the greatest indication of the cycle of GDP.</w:t>
      </w:r>
      <w:r w:rsidR="001901A6" w:rsidRPr="00762161">
        <w:rPr>
          <w:rFonts w:eastAsiaTheme="minorEastAsia"/>
        </w:rPr>
        <w:t xml:space="preserve"> Th</w:t>
      </w:r>
      <w:r w:rsidR="00A80B09" w:rsidRPr="00762161">
        <w:rPr>
          <w:rFonts w:eastAsiaTheme="minorEastAsia"/>
        </w:rPr>
        <w:t>ese</w:t>
      </w:r>
      <w:r w:rsidR="001901A6" w:rsidRPr="00762161">
        <w:rPr>
          <w:rFonts w:eastAsiaTheme="minorEastAsia"/>
        </w:rPr>
        <w:t xml:space="preserve"> result</w:t>
      </w:r>
      <w:r w:rsidR="00A80B09" w:rsidRPr="00762161">
        <w:rPr>
          <w:rFonts w:eastAsiaTheme="minorEastAsia"/>
        </w:rPr>
        <w:t>s</w:t>
      </w:r>
      <w:r w:rsidR="001901A6" w:rsidRPr="00762161">
        <w:rPr>
          <w:rFonts w:eastAsiaTheme="minorEastAsia"/>
        </w:rPr>
        <w:t xml:space="preserve"> </w:t>
      </w:r>
      <w:r w:rsidR="00A80B09" w:rsidRPr="00762161">
        <w:rPr>
          <w:rFonts w:eastAsiaTheme="minorEastAsia"/>
        </w:rPr>
        <w:t xml:space="preserve">are </w:t>
      </w:r>
      <w:r w:rsidR="001901A6" w:rsidRPr="00762161">
        <w:rPr>
          <w:rFonts w:eastAsiaTheme="minorEastAsia"/>
        </w:rPr>
        <w:t>of increased interest due to the sample periods close proximity to the current period.</w:t>
      </w:r>
      <w:r w:rsidR="00A80B09" w:rsidRPr="00762161">
        <w:rPr>
          <w:rFonts w:eastAsiaTheme="minorEastAsia"/>
        </w:rPr>
        <w:t xml:space="preserve"> The initial and subsequent regressions may have a high AR value which can point to spurious results, however the initial regression falls within a </w:t>
      </w:r>
      <w:r w:rsidR="006322D8" w:rsidRPr="00762161">
        <w:rPr>
          <w:rFonts w:eastAsiaTheme="minorEastAsia"/>
        </w:rPr>
        <w:t>suitable</w:t>
      </w:r>
      <w:r w:rsidR="00A80B09" w:rsidRPr="00762161">
        <w:rPr>
          <w:rFonts w:eastAsiaTheme="minorEastAsia"/>
        </w:rPr>
        <w:t xml:space="preserve"> range that conclusions may be sufficiently drawn.</w:t>
      </w:r>
    </w:p>
    <w:p w:rsidR="006F6400" w:rsidRPr="00762161" w:rsidRDefault="00A80B09" w:rsidP="005941C0">
      <w:r w:rsidRPr="00762161">
        <w:t xml:space="preserve">Across </w:t>
      </w:r>
      <w:r w:rsidR="000E2463" w:rsidRPr="00762161">
        <w:t>Table</w:t>
      </w:r>
      <w:r w:rsidRPr="00762161">
        <w:t xml:space="preserve">s one to three, no lag and </w:t>
      </w:r>
      <w:r w:rsidR="00AD65B5" w:rsidRPr="00762161">
        <w:t xml:space="preserve">lagged quarters </w:t>
      </w:r>
      <w:r w:rsidRPr="00762161">
        <w:t>one, two and three show the greatest tendency to indicate the cycl</w:t>
      </w:r>
      <w:r w:rsidR="00DA7E4C">
        <w:t>e of the GDP by consulting the C</w:t>
      </w:r>
      <w:r w:rsidRPr="00762161">
        <w:t xml:space="preserve">ycle of the </w:t>
      </w:r>
      <w:r w:rsidR="00726BEF">
        <w:t>R</w:t>
      </w:r>
      <w:r w:rsidRPr="00762161">
        <w:t xml:space="preserve">eal aggregate </w:t>
      </w:r>
      <w:r w:rsidR="00726BEF">
        <w:t>S</w:t>
      </w:r>
      <w:r w:rsidRPr="00762161">
        <w:t xml:space="preserve">tock </w:t>
      </w:r>
      <w:r w:rsidR="00726BEF">
        <w:t>P</w:t>
      </w:r>
      <w:r w:rsidRPr="00762161">
        <w:t xml:space="preserve">rice. Therefore it can be deduced that the current </w:t>
      </w:r>
      <w:r w:rsidR="00DA7E4C">
        <w:t>C</w:t>
      </w:r>
      <w:r w:rsidRPr="00762161">
        <w:t>ycle level of the</w:t>
      </w:r>
      <w:r w:rsidR="00726BEF">
        <w:t xml:space="preserve"> </w:t>
      </w:r>
      <w:r w:rsidR="00627488">
        <w:t>Real Stock Price</w:t>
      </w:r>
      <w:r w:rsidRPr="00762161">
        <w:t xml:space="preserve"> is a powerful indicator for the GDP cycle over the following year. </w:t>
      </w:r>
      <w:r w:rsidR="00AD65B5" w:rsidRPr="00762161">
        <w:t xml:space="preserve">Lagged quarter </w:t>
      </w:r>
      <w:r w:rsidRPr="00762161">
        <w:t xml:space="preserve">eight also shows indicating power, however a specific period two years from the indicating </w:t>
      </w:r>
      <w:r w:rsidR="00DA7E4C">
        <w:t>Real Share Price Cycle</w:t>
      </w:r>
      <w:r w:rsidRPr="00762161">
        <w:t xml:space="preserve"> </w:t>
      </w:r>
      <w:r w:rsidR="00175399" w:rsidRPr="00762161">
        <w:t xml:space="preserve">could be argued to occur by coincident as opposed to </w:t>
      </w:r>
      <w:r w:rsidR="00726BEF">
        <w:t xml:space="preserve">it actually </w:t>
      </w:r>
      <w:r w:rsidR="00175399" w:rsidRPr="00762161">
        <w:t>signalling information.</w:t>
      </w:r>
    </w:p>
    <w:p w:rsidR="0052726F" w:rsidRPr="00762161" w:rsidRDefault="0052726F" w:rsidP="0052726F">
      <w:pPr>
        <w:rPr>
          <w:rFonts w:eastAsiaTheme="minorEastAsia"/>
        </w:rPr>
      </w:pPr>
      <w:r w:rsidRPr="00762161">
        <w:t xml:space="preserve">Consulting </w:t>
      </w:r>
      <w:r w:rsidR="000E2463" w:rsidRPr="00762161">
        <w:t>Table</w:t>
      </w:r>
      <w:r w:rsidRPr="00762161">
        <w:t xml:space="preserve"> 4 over the </w:t>
      </w:r>
      <w:r w:rsidR="00E7009E" w:rsidRPr="00762161">
        <w:t xml:space="preserve">quarterly </w:t>
      </w:r>
      <w:r w:rsidRPr="00762161">
        <w:t xml:space="preserve">sample period 1969-1988, the first regression shows that only lag five is significant at the 1% level, while </w:t>
      </w:r>
      <w:r w:rsidR="00AD65B5" w:rsidRPr="00762161">
        <w:t xml:space="preserve">lagged quarters </w:t>
      </w:r>
      <w:r w:rsidRPr="00762161">
        <w:t xml:space="preserve">three, four, five, six and seven are significant at the 5% level. Running through the individual regressions </w:t>
      </w:r>
      <w:r w:rsidR="00AD65B5" w:rsidRPr="00762161">
        <w:t xml:space="preserve">lagged quarters </w:t>
      </w:r>
      <w:r w:rsidRPr="00762161">
        <w:t xml:space="preserve">six and seven are significant at the 10% level, while </w:t>
      </w:r>
      <w:r w:rsidR="00AD65B5" w:rsidRPr="00762161">
        <w:t xml:space="preserve">lagged quarters </w:t>
      </w:r>
      <w:r w:rsidRPr="00762161">
        <w:t xml:space="preserve">five and eight are significant at the 1% level. The initial regression proves to have the lowest AR value and Akaike, and highest </w:t>
      </w:r>
      <m:oMath>
        <m:acc>
          <m:accPr>
            <m:chr m:val="̅"/>
            <m:ctrlPr>
              <w:rPr>
                <w:rFonts w:ascii="Cambria Math" w:hAnsi="Cambria Math"/>
                <w:i/>
              </w:rPr>
            </m:ctrlPr>
          </m:accPr>
          <m:e>
            <m:r>
              <w:rPr>
                <w:rFonts w:ascii="Cambria Math" w:hAnsi="Cambria Math"/>
              </w:rPr>
              <m:t>R</m:t>
            </m:r>
          </m:e>
        </m:acc>
      </m:oMath>
      <w:r w:rsidRPr="00762161">
        <w:rPr>
          <w:rFonts w:eastAsiaTheme="minorEastAsia"/>
        </w:rPr>
        <w:t>, showing that under this powerful regression only lag</w:t>
      </w:r>
      <w:r w:rsidR="00AD65B5" w:rsidRPr="00762161">
        <w:rPr>
          <w:rFonts w:eastAsiaTheme="minorEastAsia"/>
        </w:rPr>
        <w:t>ged quarter</w:t>
      </w:r>
      <w:r w:rsidRPr="00762161">
        <w:rPr>
          <w:rFonts w:eastAsiaTheme="minorEastAsia"/>
        </w:rPr>
        <w:t xml:space="preserve"> five of the</w:t>
      </w:r>
      <w:r w:rsidR="00726BEF">
        <w:rPr>
          <w:rFonts w:eastAsiaTheme="minorEastAsia"/>
        </w:rPr>
        <w:t xml:space="preserve"> </w:t>
      </w:r>
      <w:r w:rsidR="00627488">
        <w:rPr>
          <w:rFonts w:eastAsiaTheme="minorEastAsia"/>
        </w:rPr>
        <w:t>Real Stock Price</w:t>
      </w:r>
      <w:r w:rsidR="00726BEF">
        <w:rPr>
          <w:rFonts w:eastAsiaTheme="minorEastAsia"/>
        </w:rPr>
        <w:t xml:space="preserve"> </w:t>
      </w:r>
      <w:r w:rsidRPr="00762161">
        <w:rPr>
          <w:rFonts w:eastAsiaTheme="minorEastAsia"/>
        </w:rPr>
        <w:t xml:space="preserve">cycle showed the greatest indication of the cycle of </w:t>
      </w:r>
      <w:r w:rsidR="00726BEF">
        <w:rPr>
          <w:rFonts w:eastAsiaTheme="minorEastAsia"/>
        </w:rPr>
        <w:t>Industrial Production</w:t>
      </w:r>
      <w:r w:rsidRPr="00762161">
        <w:rPr>
          <w:rFonts w:eastAsiaTheme="minorEastAsia"/>
        </w:rPr>
        <w:t>.</w:t>
      </w:r>
    </w:p>
    <w:p w:rsidR="0052726F" w:rsidRPr="00762161" w:rsidRDefault="0052726F" w:rsidP="0052726F">
      <w:r w:rsidRPr="00762161">
        <w:t xml:space="preserve">Consulting </w:t>
      </w:r>
      <w:r w:rsidR="000E2463" w:rsidRPr="00762161">
        <w:t>Table</w:t>
      </w:r>
      <w:r w:rsidRPr="00762161">
        <w:t xml:space="preserve"> </w:t>
      </w:r>
      <w:r w:rsidR="00016E46" w:rsidRPr="00762161">
        <w:t>5</w:t>
      </w:r>
      <w:r w:rsidRPr="00762161">
        <w:t xml:space="preserve"> over the </w:t>
      </w:r>
      <w:r w:rsidR="00E7009E" w:rsidRPr="00762161">
        <w:t xml:space="preserve">quarterly </w:t>
      </w:r>
      <w:r w:rsidRPr="00762161">
        <w:t>sample period 1988-1997, the initial regression shows that the</w:t>
      </w:r>
      <w:r w:rsidR="00726BEF">
        <w:t xml:space="preserve"> </w:t>
      </w:r>
      <w:r w:rsidR="00627488">
        <w:t>Real Stock Price</w:t>
      </w:r>
      <w:r w:rsidR="00726BEF">
        <w:t xml:space="preserve"> Cycle</w:t>
      </w:r>
      <w:r w:rsidR="00AD65B5" w:rsidRPr="00762161">
        <w:t xml:space="preserve"> with no lag</w:t>
      </w:r>
      <w:r w:rsidRPr="00762161">
        <w:t xml:space="preserve">, and </w:t>
      </w:r>
      <w:r w:rsidR="00AD65B5" w:rsidRPr="00762161">
        <w:t xml:space="preserve">lagged quarters </w:t>
      </w:r>
      <w:r w:rsidRPr="00762161">
        <w:t xml:space="preserve">one, two, three, </w:t>
      </w:r>
      <w:r w:rsidR="00016E46" w:rsidRPr="00762161">
        <w:t>four</w:t>
      </w:r>
      <w:r w:rsidRPr="00762161">
        <w:t>, seven and eight are significant at the 1% level</w:t>
      </w:r>
      <w:r w:rsidR="00016E46" w:rsidRPr="00762161">
        <w:t xml:space="preserve"> while lag</w:t>
      </w:r>
      <w:r w:rsidR="00AD65B5" w:rsidRPr="00762161">
        <w:t>ged quarter</w:t>
      </w:r>
      <w:r w:rsidR="00016E46" w:rsidRPr="00762161">
        <w:t xml:space="preserve"> six is significant at the 5% level, and lag 5 significant at the 10% level</w:t>
      </w:r>
      <w:r w:rsidRPr="00762161">
        <w:t>. Running through the individual regressions lag</w:t>
      </w:r>
      <w:r w:rsidR="00AD65B5" w:rsidRPr="00762161">
        <w:t>ged quarter</w:t>
      </w:r>
      <w:r w:rsidRPr="00762161">
        <w:t xml:space="preserve"> </w:t>
      </w:r>
      <w:r w:rsidR="00016E46" w:rsidRPr="00762161">
        <w:t>seven</w:t>
      </w:r>
      <w:r w:rsidRPr="00762161">
        <w:t xml:space="preserve"> is significant at the 10% level, in contrast </w:t>
      </w:r>
      <w:r w:rsidR="00AD65B5" w:rsidRPr="00762161">
        <w:t xml:space="preserve">one </w:t>
      </w:r>
      <w:r w:rsidR="00016E46" w:rsidRPr="00762161">
        <w:t>lag</w:t>
      </w:r>
      <w:r w:rsidR="00AD65B5" w:rsidRPr="00762161">
        <w:t>ged quarter</w:t>
      </w:r>
      <w:r w:rsidR="00016E46" w:rsidRPr="00762161">
        <w:t xml:space="preserve"> is significant at the 5% level while </w:t>
      </w:r>
      <w:r w:rsidRPr="00762161">
        <w:t>no lag</w:t>
      </w:r>
      <w:r w:rsidR="00016E46" w:rsidRPr="00762161">
        <w:t xml:space="preserve"> and</w:t>
      </w:r>
      <w:r w:rsidRPr="00762161">
        <w:t xml:space="preserve"> </w:t>
      </w:r>
      <w:r w:rsidR="00AD65B5" w:rsidRPr="00762161">
        <w:t xml:space="preserve">lagged quarters </w:t>
      </w:r>
      <w:r w:rsidR="00016E46" w:rsidRPr="00762161">
        <w:t>two, four, five</w:t>
      </w:r>
      <w:r w:rsidRPr="00762161">
        <w:t xml:space="preserve"> and eight are significant at the 1% level. The initial regression proves to have the lowest AR value and Akaike, and highest </w:t>
      </w:r>
      <m:oMath>
        <m:acc>
          <m:accPr>
            <m:chr m:val="̅"/>
            <m:ctrlPr>
              <w:rPr>
                <w:rFonts w:ascii="Cambria Math" w:hAnsi="Cambria Math"/>
                <w:i/>
              </w:rPr>
            </m:ctrlPr>
          </m:accPr>
          <m:e>
            <m:r>
              <w:rPr>
                <w:rFonts w:ascii="Cambria Math" w:hAnsi="Cambria Math"/>
              </w:rPr>
              <m:t>R</m:t>
            </m:r>
          </m:e>
        </m:acc>
      </m:oMath>
      <w:r w:rsidRPr="00762161">
        <w:rPr>
          <w:rFonts w:eastAsiaTheme="minorEastAsia"/>
        </w:rPr>
        <w:t xml:space="preserve">, showing that under this powerful regression </w:t>
      </w:r>
      <w:r w:rsidR="00A654F2" w:rsidRPr="00762161">
        <w:t xml:space="preserve">no lags, and lags one, two, three, four, seven and eight </w:t>
      </w:r>
      <w:r w:rsidRPr="00762161">
        <w:rPr>
          <w:rFonts w:eastAsiaTheme="minorEastAsia"/>
        </w:rPr>
        <w:t>of the</w:t>
      </w:r>
      <w:r w:rsidR="00726BEF">
        <w:rPr>
          <w:rFonts w:eastAsiaTheme="minorEastAsia"/>
        </w:rPr>
        <w:t xml:space="preserve"> </w:t>
      </w:r>
      <w:r w:rsidR="00627488">
        <w:rPr>
          <w:rFonts w:eastAsiaTheme="minorEastAsia"/>
        </w:rPr>
        <w:t>Real Stock Price</w:t>
      </w:r>
      <w:r w:rsidR="00726BEF">
        <w:rPr>
          <w:rFonts w:eastAsiaTheme="minorEastAsia"/>
        </w:rPr>
        <w:t xml:space="preserve"> Cycle</w:t>
      </w:r>
      <w:r w:rsidRPr="00762161">
        <w:rPr>
          <w:rFonts w:eastAsiaTheme="minorEastAsia"/>
        </w:rPr>
        <w:t xml:space="preserve"> showed the greatest indication of the cycle of </w:t>
      </w:r>
      <w:r w:rsidR="00726BEF">
        <w:rPr>
          <w:rFonts w:eastAsiaTheme="minorEastAsia"/>
        </w:rPr>
        <w:t>Industrial Production</w:t>
      </w:r>
      <w:r w:rsidRPr="00762161">
        <w:rPr>
          <w:rFonts w:eastAsiaTheme="minorEastAsia"/>
        </w:rPr>
        <w:t>.</w:t>
      </w:r>
    </w:p>
    <w:p w:rsidR="0052726F" w:rsidRPr="00762161" w:rsidRDefault="0052726F" w:rsidP="0052726F">
      <w:r w:rsidRPr="00762161">
        <w:t xml:space="preserve">Consulting </w:t>
      </w:r>
      <w:r w:rsidR="000E2463" w:rsidRPr="00762161">
        <w:t>Table</w:t>
      </w:r>
      <w:r w:rsidRPr="00762161">
        <w:t xml:space="preserve"> </w:t>
      </w:r>
      <w:r w:rsidR="0013165F" w:rsidRPr="00762161">
        <w:t>6</w:t>
      </w:r>
      <w:r w:rsidRPr="00762161">
        <w:t xml:space="preserve"> over the </w:t>
      </w:r>
      <w:r w:rsidR="00E7009E" w:rsidRPr="00762161">
        <w:t xml:space="preserve">quarterly </w:t>
      </w:r>
      <w:r w:rsidRPr="00762161">
        <w:t>sample period 1997-2010, the initial regression shows that the</w:t>
      </w:r>
      <w:r w:rsidR="00726BEF">
        <w:t xml:space="preserve"> </w:t>
      </w:r>
      <w:r w:rsidR="00627488">
        <w:t>Real Stock Price</w:t>
      </w:r>
      <w:r w:rsidR="00726BEF">
        <w:t xml:space="preserve"> C</w:t>
      </w:r>
      <w:r w:rsidRPr="00762161">
        <w:t xml:space="preserve">ycle with </w:t>
      </w:r>
      <w:r w:rsidR="00AD65B5" w:rsidRPr="00762161">
        <w:t xml:space="preserve">lagged quarters </w:t>
      </w:r>
      <w:r w:rsidRPr="00762161">
        <w:t xml:space="preserve">one, two, three, and </w:t>
      </w:r>
      <w:r w:rsidR="000E2463" w:rsidRPr="00762161">
        <w:t>eight</w:t>
      </w:r>
      <w:r w:rsidRPr="00762161">
        <w:t xml:space="preserve"> are significant at the 1% level. Running through the individual regressions no lag, and </w:t>
      </w:r>
      <w:r w:rsidR="00AD65B5" w:rsidRPr="00762161">
        <w:t xml:space="preserve">lagged quarters </w:t>
      </w:r>
      <w:r w:rsidRPr="00762161">
        <w:t xml:space="preserve">one, two, three, </w:t>
      </w:r>
      <w:r w:rsidR="000E2463" w:rsidRPr="00762161">
        <w:t xml:space="preserve">and </w:t>
      </w:r>
      <w:r w:rsidRPr="00762161">
        <w:t xml:space="preserve">eight are significant at the 1% level. The initial regression proves to have the lowest AR value and Akaike, and highest </w:t>
      </w:r>
      <m:oMath>
        <m:acc>
          <m:accPr>
            <m:chr m:val="̅"/>
            <m:ctrlPr>
              <w:rPr>
                <w:rFonts w:ascii="Cambria Math" w:hAnsi="Cambria Math"/>
                <w:i/>
              </w:rPr>
            </m:ctrlPr>
          </m:accPr>
          <m:e>
            <m:r>
              <w:rPr>
                <w:rFonts w:ascii="Cambria Math" w:hAnsi="Cambria Math"/>
              </w:rPr>
              <m:t>R</m:t>
            </m:r>
          </m:e>
        </m:acc>
      </m:oMath>
      <w:r w:rsidRPr="00762161">
        <w:rPr>
          <w:rFonts w:eastAsiaTheme="minorEastAsia"/>
        </w:rPr>
        <w:t>, showing that under this powerful regression</w:t>
      </w:r>
      <w:r w:rsidR="00AD65B5" w:rsidRPr="00762161">
        <w:rPr>
          <w:rFonts w:eastAsiaTheme="minorEastAsia"/>
        </w:rPr>
        <w:t>,</w:t>
      </w:r>
      <w:r w:rsidRPr="00762161">
        <w:rPr>
          <w:rFonts w:eastAsiaTheme="minorEastAsia"/>
        </w:rPr>
        <w:t xml:space="preserve"> </w:t>
      </w:r>
      <w:r w:rsidR="00AD65B5" w:rsidRPr="00762161">
        <w:t xml:space="preserve">lagged quarters </w:t>
      </w:r>
      <w:r w:rsidR="000E2463" w:rsidRPr="00762161">
        <w:t>one, two, three, and eight</w:t>
      </w:r>
      <w:r w:rsidRPr="00762161">
        <w:rPr>
          <w:rFonts w:eastAsiaTheme="minorEastAsia"/>
        </w:rPr>
        <w:t xml:space="preserve"> of the</w:t>
      </w:r>
      <w:r w:rsidR="00726BEF">
        <w:rPr>
          <w:rFonts w:eastAsiaTheme="minorEastAsia"/>
        </w:rPr>
        <w:t xml:space="preserve"> </w:t>
      </w:r>
      <w:r w:rsidR="00627488">
        <w:rPr>
          <w:rFonts w:eastAsiaTheme="minorEastAsia"/>
        </w:rPr>
        <w:t>Real Stock Price</w:t>
      </w:r>
      <w:r w:rsidR="00726BEF">
        <w:rPr>
          <w:rFonts w:eastAsiaTheme="minorEastAsia"/>
        </w:rPr>
        <w:t xml:space="preserve"> Cycle</w:t>
      </w:r>
      <w:r w:rsidRPr="00762161">
        <w:rPr>
          <w:rFonts w:eastAsiaTheme="minorEastAsia"/>
        </w:rPr>
        <w:t xml:space="preserve"> showed the greatest indication of the cycle of GDP. These results are of increased interest due to the sample periods close proximity to the current period. The </w:t>
      </w:r>
      <w:r w:rsidR="000E2463" w:rsidRPr="00762161">
        <w:rPr>
          <w:rFonts w:eastAsiaTheme="minorEastAsia"/>
        </w:rPr>
        <w:t xml:space="preserve">initial regression and regression four </w:t>
      </w:r>
      <w:r w:rsidR="00726BEF">
        <w:rPr>
          <w:rFonts w:eastAsiaTheme="minorEastAsia"/>
        </w:rPr>
        <w:t>illustrate</w:t>
      </w:r>
      <w:r w:rsidR="000E2463" w:rsidRPr="00762161">
        <w:rPr>
          <w:rFonts w:eastAsiaTheme="minorEastAsia"/>
        </w:rPr>
        <w:t xml:space="preserve"> a significant but not dominating AR value showing that the variables involved within these regressions carry noteworthy explanatory </w:t>
      </w:r>
      <w:r w:rsidR="006322D8" w:rsidRPr="00762161">
        <w:rPr>
          <w:rFonts w:eastAsiaTheme="minorEastAsia"/>
        </w:rPr>
        <w:t>power;</w:t>
      </w:r>
      <w:r w:rsidR="000E2463" w:rsidRPr="00762161">
        <w:rPr>
          <w:rFonts w:eastAsiaTheme="minorEastAsia"/>
        </w:rPr>
        <w:t xml:space="preserve"> </w:t>
      </w:r>
      <w:r w:rsidR="00685755">
        <w:rPr>
          <w:rFonts w:eastAsiaTheme="minorEastAsia"/>
        </w:rPr>
        <w:t>yet</w:t>
      </w:r>
      <w:r w:rsidR="000E2463" w:rsidRPr="00762161">
        <w:rPr>
          <w:rFonts w:eastAsiaTheme="minorEastAsia"/>
        </w:rPr>
        <w:t xml:space="preserve"> the remaining regressions may have</w:t>
      </w:r>
      <w:r w:rsidRPr="00762161">
        <w:rPr>
          <w:rFonts w:eastAsiaTheme="minorEastAsia"/>
        </w:rPr>
        <w:t xml:space="preserve"> spurious results, however the initial </w:t>
      </w:r>
      <w:r w:rsidR="000E2463" w:rsidRPr="00762161">
        <w:rPr>
          <w:rFonts w:eastAsiaTheme="minorEastAsia"/>
        </w:rPr>
        <w:t xml:space="preserve">and fourth </w:t>
      </w:r>
      <w:r w:rsidRPr="00762161">
        <w:rPr>
          <w:rFonts w:eastAsiaTheme="minorEastAsia"/>
        </w:rPr>
        <w:t>regression</w:t>
      </w:r>
      <w:r w:rsidR="000E2463" w:rsidRPr="00762161">
        <w:rPr>
          <w:rFonts w:eastAsiaTheme="minorEastAsia"/>
        </w:rPr>
        <w:t>s</w:t>
      </w:r>
      <w:r w:rsidRPr="00762161">
        <w:rPr>
          <w:rFonts w:eastAsiaTheme="minorEastAsia"/>
        </w:rPr>
        <w:t xml:space="preserve"> fall within a sui</w:t>
      </w:r>
      <w:r w:rsidR="000E2463" w:rsidRPr="00762161">
        <w:rPr>
          <w:rFonts w:eastAsiaTheme="minorEastAsia"/>
        </w:rPr>
        <w:t>table</w:t>
      </w:r>
      <w:r w:rsidRPr="00762161">
        <w:rPr>
          <w:rFonts w:eastAsiaTheme="minorEastAsia"/>
        </w:rPr>
        <w:t xml:space="preserve"> range that conclusions may be sufficiently drawn.</w:t>
      </w:r>
    </w:p>
    <w:p w:rsidR="0052726F" w:rsidRPr="00762161" w:rsidRDefault="002457EB" w:rsidP="0052726F">
      <w:r w:rsidRPr="00762161">
        <w:t xml:space="preserve">Similar results to the GDP tables are expected in </w:t>
      </w:r>
      <w:r w:rsidR="00726BEF">
        <w:t>Industrial Production</w:t>
      </w:r>
      <w:r w:rsidRPr="00762161">
        <w:t xml:space="preserve"> due to the variables large value weighting within the GDP calculation. In effect, this study shows that the significance of </w:t>
      </w:r>
      <w:r w:rsidR="00AD65B5" w:rsidRPr="00762161">
        <w:t>lagged quarters</w:t>
      </w:r>
      <w:r w:rsidR="0052726F" w:rsidRPr="00762161">
        <w:t xml:space="preserve"> one, two and three</w:t>
      </w:r>
      <w:r w:rsidRPr="00762161">
        <w:t>, which</w:t>
      </w:r>
      <w:r w:rsidR="0052726F" w:rsidRPr="00762161">
        <w:t xml:space="preserve"> show the greatest tendency to indicate the cycle of </w:t>
      </w:r>
      <w:r w:rsidRPr="00762161">
        <w:t>GDP</w:t>
      </w:r>
      <w:r w:rsidR="0052726F" w:rsidRPr="00762161">
        <w:t xml:space="preserve"> by consulting the cycle of the real aggregate stock price</w:t>
      </w:r>
      <w:r w:rsidRPr="00762161">
        <w:t xml:space="preserve">, are actually due to the effect that the cycle of </w:t>
      </w:r>
      <w:r w:rsidR="00726BEF">
        <w:t>Industrial Production</w:t>
      </w:r>
      <w:r w:rsidRPr="00762161">
        <w:t xml:space="preserve"> is having on the cycle of GDP.</w:t>
      </w:r>
      <w:r w:rsidR="0052726F" w:rsidRPr="00762161">
        <w:t xml:space="preserve"> Therefore it can be deduced that the current cycle level of the</w:t>
      </w:r>
      <w:r w:rsidR="00726BEF">
        <w:t xml:space="preserve"> </w:t>
      </w:r>
      <w:r w:rsidR="00627488">
        <w:t>Real Stock Price</w:t>
      </w:r>
      <w:r w:rsidR="0052726F" w:rsidRPr="00762161">
        <w:t xml:space="preserve"> is a powerful indicator for the </w:t>
      </w:r>
      <w:r w:rsidR="00726BEF">
        <w:t>Industrial Production</w:t>
      </w:r>
      <w:r w:rsidR="0052726F" w:rsidRPr="00762161">
        <w:t xml:space="preserve"> cycle over the following year</w:t>
      </w:r>
      <w:r w:rsidRPr="00762161">
        <w:t>, similar to that found with GDP</w:t>
      </w:r>
      <w:r w:rsidR="0052726F" w:rsidRPr="00762161">
        <w:t xml:space="preserve">. </w:t>
      </w:r>
      <w:r w:rsidRPr="00762161">
        <w:t xml:space="preserve">Also similar to the </w:t>
      </w:r>
      <w:r w:rsidR="001D7A45" w:rsidRPr="00762161">
        <w:t xml:space="preserve">GDP </w:t>
      </w:r>
      <w:r w:rsidRPr="00762161">
        <w:t>cycle indicator</w:t>
      </w:r>
      <w:r w:rsidR="001D7A45" w:rsidRPr="00762161">
        <w:t xml:space="preserve"> l</w:t>
      </w:r>
      <w:r w:rsidR="0052726F" w:rsidRPr="00762161">
        <w:t xml:space="preserve">ag eight also shows indicating power, however a specific period two years from the indicating </w:t>
      </w:r>
      <w:r w:rsidR="00DA7E4C">
        <w:t>Real Share Price Cycle</w:t>
      </w:r>
      <w:r w:rsidR="0052726F" w:rsidRPr="00762161">
        <w:t xml:space="preserve"> could be argued to occur by coincident as opposed to signalling information.</w:t>
      </w:r>
      <w:r w:rsidR="00685755">
        <w:t xml:space="preserve"> The high Industrial Production Cycle significance levels also indicate the improbability of high significance with the </w:t>
      </w:r>
      <w:r w:rsidR="00627488">
        <w:t>Real Stock Price</w:t>
      </w:r>
      <w:r w:rsidR="00685755">
        <w:t xml:space="preserve"> Cycle and the remaining variables in the GDP calculation.</w:t>
      </w:r>
    </w:p>
    <w:p w:rsidR="008C1909" w:rsidRPr="00762161" w:rsidRDefault="00E7009E" w:rsidP="00E7009E">
      <w:r w:rsidRPr="00762161">
        <w:t xml:space="preserve">Now, turning the attention to </w:t>
      </w:r>
      <w:r w:rsidR="00726BEF">
        <w:t>Inflation</w:t>
      </w:r>
      <w:r w:rsidRPr="00762161">
        <w:t xml:space="preserve"> </w:t>
      </w:r>
      <w:r w:rsidR="00685755">
        <w:t xml:space="preserve">of </w:t>
      </w:r>
      <w:r w:rsidRPr="00762161">
        <w:t xml:space="preserve">Table 7 over the quarterly sample period 1969-1988, the first regression shows that only lag six is significant at the 1% level, while no lag and lag seven are significant at the 5% level, with lag eight being significant at the 10% level. Running through the individual regressions lag </w:t>
      </w:r>
      <w:r w:rsidR="008C1909" w:rsidRPr="00762161">
        <w:t>four and five</w:t>
      </w:r>
      <w:r w:rsidRPr="00762161">
        <w:t xml:space="preserve"> are significant at the 10% </w:t>
      </w:r>
      <w:r w:rsidR="003265D3" w:rsidRPr="00762161">
        <w:t>level;</w:t>
      </w:r>
      <w:r w:rsidRPr="00762161">
        <w:t xml:space="preserve"> while </w:t>
      </w:r>
      <w:r w:rsidR="008C1909" w:rsidRPr="00762161">
        <w:t>only lag six</w:t>
      </w:r>
      <w:r w:rsidRPr="00762161">
        <w:t xml:space="preserve"> significant at the 1% level. The initial </w:t>
      </w:r>
      <w:r w:rsidR="008C1909" w:rsidRPr="00762161">
        <w:t xml:space="preserve">and subsequent </w:t>
      </w:r>
      <w:r w:rsidRPr="00762161">
        <w:t>regression</w:t>
      </w:r>
      <w:r w:rsidR="008C1909" w:rsidRPr="00762161">
        <w:t>s</w:t>
      </w:r>
      <w:r w:rsidRPr="00762161">
        <w:t xml:space="preserve"> </w:t>
      </w:r>
      <w:r w:rsidR="008C1909" w:rsidRPr="00762161">
        <w:t>have very high AR, and extremely low Akaike values, showing that no major conclusions can be drawn from this Table.</w:t>
      </w:r>
    </w:p>
    <w:p w:rsidR="00E7009E" w:rsidRPr="00762161" w:rsidRDefault="00E7009E" w:rsidP="00E7009E">
      <w:r w:rsidRPr="00762161">
        <w:t xml:space="preserve">Table 8 </w:t>
      </w:r>
      <w:r w:rsidR="00685755">
        <w:t xml:space="preserve">looks </w:t>
      </w:r>
      <w:r w:rsidRPr="00762161">
        <w:t>over the quarterly sample period 1988-1997, the initial regression shows that the</w:t>
      </w:r>
      <w:r w:rsidR="00726BEF">
        <w:t xml:space="preserve"> </w:t>
      </w:r>
      <w:r w:rsidR="00627488">
        <w:t>Real Stock Price</w:t>
      </w:r>
      <w:r w:rsidR="00726BEF">
        <w:t xml:space="preserve"> Cycle</w:t>
      </w:r>
      <w:r w:rsidRPr="00762161">
        <w:t xml:space="preserve"> with no lags, and </w:t>
      </w:r>
      <w:r w:rsidR="00AD65B5" w:rsidRPr="00762161">
        <w:t>lagged quarters</w:t>
      </w:r>
      <w:r w:rsidRPr="00762161">
        <w:t xml:space="preserve"> one, three, </w:t>
      </w:r>
      <w:r w:rsidR="00AF3567" w:rsidRPr="00762161">
        <w:t xml:space="preserve">six </w:t>
      </w:r>
      <w:r w:rsidRPr="00762161">
        <w:t xml:space="preserve">and eight are significant at the 1% level while lag </w:t>
      </w:r>
      <w:r w:rsidR="00AF3567" w:rsidRPr="00762161">
        <w:t>seven</w:t>
      </w:r>
      <w:r w:rsidRPr="00762161">
        <w:t xml:space="preserve"> is significant at the 5% level, and lag </w:t>
      </w:r>
      <w:r w:rsidR="00AF3567" w:rsidRPr="00762161">
        <w:t>four</w:t>
      </w:r>
      <w:r w:rsidRPr="00762161">
        <w:t xml:space="preserve"> significant at the 10% level. Running through the individual regressions </w:t>
      </w:r>
      <w:r w:rsidR="00AF3567" w:rsidRPr="00762161">
        <w:t>no lag</w:t>
      </w:r>
      <w:r w:rsidRPr="00762161">
        <w:t xml:space="preserve"> is significant at the 5% level while </w:t>
      </w:r>
      <w:r w:rsidR="00AD65B5" w:rsidRPr="00762161">
        <w:t>lagged quarters</w:t>
      </w:r>
      <w:r w:rsidRPr="00762161">
        <w:t xml:space="preserve"> four, five</w:t>
      </w:r>
      <w:r w:rsidR="00AF3567" w:rsidRPr="00762161">
        <w:t>, six, seven</w:t>
      </w:r>
      <w:r w:rsidRPr="00762161">
        <w:t xml:space="preserve"> and eight are significant at the 1% level. </w:t>
      </w:r>
      <w:r w:rsidR="00AF3567" w:rsidRPr="00762161">
        <w:t>The initial and subsequent regressions have very high AR, and extremely low Akaike values, showing that no major conclusions can be drawn from this Table.</w:t>
      </w:r>
    </w:p>
    <w:p w:rsidR="00E7009E" w:rsidRPr="00762161" w:rsidRDefault="00E7009E" w:rsidP="00E7009E">
      <w:r w:rsidRPr="00762161">
        <w:t>Consulting Table 9 over the quarterly sample period 1997-2010, the initial regression shows that the</w:t>
      </w:r>
      <w:r w:rsidR="00726BEF">
        <w:t xml:space="preserve"> </w:t>
      </w:r>
      <w:r w:rsidR="00627488">
        <w:t>Real Stock Price</w:t>
      </w:r>
      <w:r w:rsidR="00726BEF">
        <w:t xml:space="preserve"> Cycle</w:t>
      </w:r>
      <w:r w:rsidRPr="00762161">
        <w:t xml:space="preserve"> with </w:t>
      </w:r>
      <w:r w:rsidR="00AD65B5" w:rsidRPr="00762161">
        <w:t>lagged quarters</w:t>
      </w:r>
      <w:r w:rsidRPr="00762161">
        <w:t xml:space="preserve"> </w:t>
      </w:r>
      <w:r w:rsidR="00AF3567" w:rsidRPr="00762161">
        <w:t>two, three, four and five</w:t>
      </w:r>
      <w:r w:rsidRPr="00762161">
        <w:t xml:space="preserve"> are significant at the 1% level</w:t>
      </w:r>
      <w:r w:rsidR="00AF3567" w:rsidRPr="00762161">
        <w:t>, while lag five is significant at the 5% level, and lag two significant at the 10% level.</w:t>
      </w:r>
      <w:r w:rsidRPr="00762161">
        <w:t xml:space="preserve"> Running through the individual regressions </w:t>
      </w:r>
      <w:r w:rsidR="00AF3567" w:rsidRPr="00762161">
        <w:t>two, three, four and five</w:t>
      </w:r>
      <w:r w:rsidRPr="00762161">
        <w:t xml:space="preserve"> are significant at the 1% level. </w:t>
      </w:r>
      <w:r w:rsidR="00AF3567" w:rsidRPr="00762161">
        <w:t>The initial and subsequent regressions have very high AR, and extremely low Akaike values, showing that no major conclusions can be drawn from this Table.</w:t>
      </w:r>
      <w:r w:rsidRPr="00762161">
        <w:rPr>
          <w:rFonts w:eastAsiaTheme="minorEastAsia"/>
        </w:rPr>
        <w:t xml:space="preserve"> These results are of increased interest due to the sample periods close proximity to the current period. </w:t>
      </w:r>
    </w:p>
    <w:p w:rsidR="00E7009E" w:rsidRPr="00762161" w:rsidRDefault="00AF3567" w:rsidP="00E7009E">
      <w:r w:rsidRPr="00762161">
        <w:t>Tables seven to nine encounter major data issues as shown by the large AR values, this unfortunately se</w:t>
      </w:r>
      <w:r w:rsidR="000E70AD">
        <w:t>verely limits the power of the C</w:t>
      </w:r>
      <w:r w:rsidRPr="00762161">
        <w:t>ycle of</w:t>
      </w:r>
      <w:r w:rsidR="00726BEF">
        <w:t xml:space="preserve"> </w:t>
      </w:r>
      <w:r w:rsidR="00627488">
        <w:t>Real Stock Price</w:t>
      </w:r>
      <w:r w:rsidRPr="00762161">
        <w:t xml:space="preserve">s to indicate the level of </w:t>
      </w:r>
      <w:r w:rsidR="00726BEF">
        <w:t>Inflation</w:t>
      </w:r>
      <w:r w:rsidRPr="00762161">
        <w:t xml:space="preserve"> in a given period. </w:t>
      </w:r>
      <w:r w:rsidR="00685755">
        <w:t>R</w:t>
      </w:r>
      <w:r w:rsidRPr="00762161">
        <w:t>egressions with intercept values that have very high values</w:t>
      </w:r>
      <w:r w:rsidR="00685755">
        <w:t xml:space="preserve"> are also observed</w:t>
      </w:r>
      <w:r w:rsidRPr="00762161">
        <w:t xml:space="preserve">, in effect the most powerful element of the regressions are the variable which has nothing to do with the study. This should be anticipated due to the nature of the </w:t>
      </w:r>
      <w:r w:rsidR="00726BEF">
        <w:t>Inflation</w:t>
      </w:r>
      <w:r w:rsidR="00685755">
        <w:t xml:space="preserve"> variable, as it has not been modified and therefore it is simply a representation of the level, as opposed to cycle, of Inflation</w:t>
      </w:r>
    </w:p>
    <w:p w:rsidR="007F2582" w:rsidRPr="00762161" w:rsidRDefault="007F2582" w:rsidP="007F2582">
      <w:pPr>
        <w:rPr>
          <w:rFonts w:eastAsiaTheme="minorEastAsia"/>
        </w:rPr>
      </w:pPr>
      <w:r w:rsidRPr="00762161">
        <w:t>Table 1</w:t>
      </w:r>
      <w:r w:rsidR="00142C80" w:rsidRPr="00762161">
        <w:t>0</w:t>
      </w:r>
      <w:r w:rsidRPr="00762161">
        <w:t xml:space="preserve"> </w:t>
      </w:r>
      <w:r w:rsidR="00685755">
        <w:t xml:space="preserve">evaluates </w:t>
      </w:r>
      <w:r w:rsidRPr="00762161">
        <w:t xml:space="preserve">over the </w:t>
      </w:r>
      <w:r w:rsidR="00C1704C" w:rsidRPr="00762161">
        <w:t>yearly</w:t>
      </w:r>
      <w:r w:rsidRPr="00762161">
        <w:t xml:space="preserve"> sample period 19</w:t>
      </w:r>
      <w:r w:rsidR="00C1704C" w:rsidRPr="00762161">
        <w:t>70</w:t>
      </w:r>
      <w:r w:rsidRPr="00762161">
        <w:t xml:space="preserve">-1988, the first regression shows that </w:t>
      </w:r>
      <w:r w:rsidR="00AD65B5" w:rsidRPr="00762161">
        <w:t>lagged years</w:t>
      </w:r>
      <w:r w:rsidRPr="00762161">
        <w:t xml:space="preserve"> </w:t>
      </w:r>
      <w:r w:rsidR="00AD65B5" w:rsidRPr="00762161">
        <w:t>two and three</w:t>
      </w:r>
      <w:r w:rsidRPr="00762161">
        <w:t xml:space="preserve"> are significant at the 1% level, while </w:t>
      </w:r>
      <w:r w:rsidR="00AD65B5" w:rsidRPr="00762161">
        <w:t>one year lagged</w:t>
      </w:r>
      <w:r w:rsidRPr="00762161">
        <w:t xml:space="preserve"> is significant at the 5% level. Running through the individual regressions </w:t>
      </w:r>
      <w:r w:rsidR="00AD65B5" w:rsidRPr="00762161">
        <w:t>lagged years</w:t>
      </w:r>
      <w:r w:rsidRPr="00762161">
        <w:t xml:space="preserve"> </w:t>
      </w:r>
      <w:r w:rsidR="00AD65B5" w:rsidRPr="00762161">
        <w:t>one and two</w:t>
      </w:r>
      <w:r w:rsidRPr="00762161">
        <w:t xml:space="preserve"> are significant at the 1% level</w:t>
      </w:r>
      <w:r w:rsidR="00AD65B5" w:rsidRPr="00762161">
        <w:t>, the regressions themselves are also significant as shown by their high F Values.</w:t>
      </w:r>
      <w:r w:rsidRPr="00762161">
        <w:t xml:space="preserve"> </w:t>
      </w:r>
      <w:r w:rsidR="00A77254" w:rsidRPr="00762161">
        <w:t xml:space="preserve">One point of concern is the negative effect that lagged year three has on the cycle of </w:t>
      </w:r>
      <w:r w:rsidR="00627488">
        <w:t>Real GDP</w:t>
      </w:r>
      <w:r w:rsidR="00A77254" w:rsidRPr="00762161">
        <w:t xml:space="preserve">, as shown by the negative coefficient and accompanying high level significance. </w:t>
      </w:r>
      <w:r w:rsidR="00524582" w:rsidRPr="00762161">
        <w:t>T</w:t>
      </w:r>
      <w:r w:rsidR="00AD5B63" w:rsidRPr="00762161">
        <w:t>he first regression has the lowest Akaike value</w:t>
      </w:r>
      <w:r w:rsidR="00142C80" w:rsidRPr="00762161">
        <w:t xml:space="preserve"> the F value shows significance, as stated, in lagged years one and two. So although the F value isn’t as high and the Akaike isn’t as low, these two years show noteworthy indication for the cycle levels of the GDP.</w:t>
      </w:r>
    </w:p>
    <w:p w:rsidR="007F2582" w:rsidRPr="00762161" w:rsidRDefault="007F2582" w:rsidP="007F2582">
      <w:r w:rsidRPr="00762161">
        <w:t xml:space="preserve">Consulting Table </w:t>
      </w:r>
      <w:r w:rsidR="00142C80" w:rsidRPr="00762161">
        <w:t>11</w:t>
      </w:r>
      <w:r w:rsidRPr="00762161">
        <w:t xml:space="preserve"> over the </w:t>
      </w:r>
      <w:r w:rsidR="00C1704C" w:rsidRPr="00762161">
        <w:t>yearly</w:t>
      </w:r>
      <w:r w:rsidRPr="00762161">
        <w:t xml:space="preserve"> sample period 1988-1997, the initial regression shows </w:t>
      </w:r>
      <w:r w:rsidR="00142C80" w:rsidRPr="00762161">
        <w:t xml:space="preserve">mixed results, although </w:t>
      </w:r>
      <w:r w:rsidRPr="00762161">
        <w:t>the</w:t>
      </w:r>
      <w:r w:rsidR="00726BEF">
        <w:t xml:space="preserve"> </w:t>
      </w:r>
      <w:r w:rsidR="00627488">
        <w:t>Real Stock Price</w:t>
      </w:r>
      <w:r w:rsidR="00726BEF">
        <w:t xml:space="preserve"> Cycle</w:t>
      </w:r>
      <w:r w:rsidRPr="00762161">
        <w:t xml:space="preserve"> with no lags</w:t>
      </w:r>
      <w:r w:rsidR="009E1FEA" w:rsidRPr="00762161">
        <w:t xml:space="preserve"> is</w:t>
      </w:r>
      <w:r w:rsidRPr="00762161">
        <w:t xml:space="preserve"> significant at the 1% level</w:t>
      </w:r>
      <w:r w:rsidR="00142C80" w:rsidRPr="00762161">
        <w:t xml:space="preserve"> and lagged year</w:t>
      </w:r>
      <w:r w:rsidR="009E1FEA" w:rsidRPr="00762161">
        <w:t>s</w:t>
      </w:r>
      <w:r w:rsidR="00142C80" w:rsidRPr="00762161">
        <w:t xml:space="preserve"> one</w:t>
      </w:r>
      <w:r w:rsidR="009E1FEA" w:rsidRPr="00762161">
        <w:t xml:space="preserve"> and three</w:t>
      </w:r>
      <w:r w:rsidR="00142C80" w:rsidRPr="00762161">
        <w:t xml:space="preserve"> is significant at the 5% level and year 2 significant at the 10% level, there is a high AR value, and the F-Value is not high relative to alternative regressions, although it does remain significant. This is probably due to the presence of positive autocorrelation in the data as shown by the DW statistic of 0.972403</w:t>
      </w:r>
      <w:r w:rsidRPr="00762161">
        <w:t xml:space="preserve">. Running through the individual regressions </w:t>
      </w:r>
      <w:r w:rsidR="00142C80" w:rsidRPr="00762161">
        <w:t>only the current year is significant, at the 5% level</w:t>
      </w:r>
      <w:r w:rsidRPr="00762161">
        <w:t xml:space="preserve">. </w:t>
      </w:r>
      <w:r w:rsidR="00142C80" w:rsidRPr="00762161">
        <w:t xml:space="preserve">This particular sample proves to </w:t>
      </w:r>
      <w:r w:rsidR="00E714A4">
        <w:t>have low power</w:t>
      </w:r>
      <w:r w:rsidR="00142C80" w:rsidRPr="00762161">
        <w:t xml:space="preserve"> as shown by the lack of significance in the variables and the presence of positive autocorrelation, which is particularly strong in regressions one and two.</w:t>
      </w:r>
    </w:p>
    <w:p w:rsidR="00C1704C" w:rsidRPr="00762161" w:rsidRDefault="007F2582" w:rsidP="007F2582">
      <w:r w:rsidRPr="00762161">
        <w:t xml:space="preserve">Consulting Table </w:t>
      </w:r>
      <w:r w:rsidR="00C1704C" w:rsidRPr="00762161">
        <w:t>12</w:t>
      </w:r>
      <w:r w:rsidRPr="00762161">
        <w:t xml:space="preserve"> over the </w:t>
      </w:r>
      <w:r w:rsidR="00C1704C" w:rsidRPr="00762161">
        <w:t>yearly</w:t>
      </w:r>
      <w:r w:rsidRPr="00762161">
        <w:t xml:space="preserve"> sample period 1997-2010, the initial regression </w:t>
      </w:r>
      <w:r w:rsidR="00C1704C" w:rsidRPr="00762161">
        <w:t xml:space="preserve">is </w:t>
      </w:r>
      <w:r w:rsidR="00685755">
        <w:t>dominated</w:t>
      </w:r>
      <w:r w:rsidR="00C1704C" w:rsidRPr="00762161">
        <w:t xml:space="preserve"> by lagged year one, which has a coefficient that is several time larger than the remaining variables and </w:t>
      </w:r>
      <w:r w:rsidR="00E714A4">
        <w:t xml:space="preserve">is </w:t>
      </w:r>
      <w:r w:rsidR="00C1704C" w:rsidRPr="00762161">
        <w:t>also highly s</w:t>
      </w:r>
      <w:r w:rsidR="00E714A4">
        <w:t>ignificant even at the 1% level, l</w:t>
      </w:r>
      <w:r w:rsidR="00C1704C" w:rsidRPr="00762161">
        <w:t>agged year three is significant at the 5% level. Regression three, the</w:t>
      </w:r>
      <w:r w:rsidR="00726BEF">
        <w:t xml:space="preserve"> </w:t>
      </w:r>
      <w:r w:rsidR="00627488">
        <w:t>Real Stock Price</w:t>
      </w:r>
      <w:r w:rsidR="00726BEF">
        <w:t xml:space="preserve"> Cycle</w:t>
      </w:r>
      <w:r w:rsidR="00C1704C" w:rsidRPr="00762161">
        <w:t xml:space="preserve"> </w:t>
      </w:r>
      <w:r w:rsidR="00E714A4">
        <w:t xml:space="preserve">is </w:t>
      </w:r>
      <w:r w:rsidR="00C1704C" w:rsidRPr="00762161">
        <w:t>lagged two years, is of particular interest showing a coefficient of 300.9451 and an F value of 179.7999, the Akaike is low relative to the other regressions and the adjusted R-square is above 90%. This essentially equates to a 1 unit rise in the cycle of</w:t>
      </w:r>
      <w:r w:rsidR="00726BEF">
        <w:t xml:space="preserve"> </w:t>
      </w:r>
      <w:r w:rsidR="00627488">
        <w:t>Real Stock Price</w:t>
      </w:r>
      <w:r w:rsidR="00C1704C" w:rsidRPr="00762161">
        <w:t xml:space="preserve">s leading to a 300 point increase in cycle of </w:t>
      </w:r>
      <w:r w:rsidR="00627488">
        <w:t>Real GDP</w:t>
      </w:r>
      <w:r w:rsidR="00C1704C" w:rsidRPr="00762161">
        <w:t xml:space="preserve">. </w:t>
      </w:r>
    </w:p>
    <w:p w:rsidR="00D40D16" w:rsidRDefault="00D40D16" w:rsidP="007F2582">
      <w:r w:rsidRPr="00762161">
        <w:t xml:space="preserve">Overall, Tables </w:t>
      </w:r>
      <w:r w:rsidR="00210594" w:rsidRPr="00762161">
        <w:t xml:space="preserve">10, </w:t>
      </w:r>
      <w:r w:rsidRPr="00762161">
        <w:t xml:space="preserve">11, </w:t>
      </w:r>
      <w:r w:rsidR="00210594" w:rsidRPr="00762161">
        <w:t xml:space="preserve">and </w:t>
      </w:r>
      <w:r w:rsidRPr="00762161">
        <w:t>12 show that each year has varying success from the cycle of the</w:t>
      </w:r>
      <w:r w:rsidR="00726BEF">
        <w:t xml:space="preserve"> </w:t>
      </w:r>
      <w:r w:rsidR="00627488">
        <w:t>Real Stock Price</w:t>
      </w:r>
      <w:r w:rsidRPr="00762161">
        <w:t xml:space="preserve">s point of view for the indication for the cycle of </w:t>
      </w:r>
      <w:r w:rsidR="00627488">
        <w:t>Real GDP</w:t>
      </w:r>
      <w:r w:rsidRPr="00762161">
        <w:t>. Recently and over the sample 1970-1988, year one showed the highest level of significance. The sample 1988-1997</w:t>
      </w:r>
      <w:r w:rsidR="00E714A4">
        <w:t xml:space="preserve"> is disappointing and</w:t>
      </w:r>
      <w:r w:rsidRPr="00762161">
        <w:t xml:space="preserve"> cannot be used to draw strong conclusions due to the presence of strong positive autocorrelation, mostly shown in the initial regression.</w:t>
      </w:r>
    </w:p>
    <w:p w:rsidR="002A2B19" w:rsidRDefault="002A2B19" w:rsidP="002A2B19">
      <w:pPr>
        <w:spacing w:before="480"/>
        <w:rPr>
          <w:szCs w:val="24"/>
        </w:rPr>
      </w:pPr>
      <w:r w:rsidRPr="00762161">
        <w:rPr>
          <w:szCs w:val="24"/>
        </w:rPr>
        <w:t>Mauro (2003) finds the univariate correlation between real economic growth and real stock returns positive in all the countries in their sample except for India and significantly positive in 5 out of 8 emerging markets and 10 out of 17 advanced countries. The author finds that an increase in real stock returns by 10</w:t>
      </w:r>
      <w:r>
        <w:rPr>
          <w:szCs w:val="24"/>
        </w:rPr>
        <w:t xml:space="preserve">% </w:t>
      </w:r>
      <w:r w:rsidRPr="00762161">
        <w:rPr>
          <w:szCs w:val="24"/>
        </w:rPr>
        <w:t>is typically associated with higher real economic growth of 0.35 percent. The average slope coefficient is slightly higher in emerging countries than advanced countries, though this result is reversed when the regression includes lagged growth, as an additional independent variable. Controlling for lagged economic growth, real economic growth and real stock returns are positively and significantly associated in 4 out of 8 emerging market countries and 10 out of 17 advanced countries.</w:t>
      </w:r>
    </w:p>
    <w:p w:rsidR="00D40D16" w:rsidRPr="00762161" w:rsidRDefault="00D40D16" w:rsidP="00D40D16">
      <w:pPr>
        <w:rPr>
          <w:rFonts w:eastAsiaTheme="minorEastAsia"/>
        </w:rPr>
      </w:pPr>
      <w:r w:rsidRPr="00762161">
        <w:t>Table 1</w:t>
      </w:r>
      <w:r w:rsidR="003C7698" w:rsidRPr="00762161">
        <w:t>3</w:t>
      </w:r>
      <w:r w:rsidRPr="00762161">
        <w:t xml:space="preserve"> </w:t>
      </w:r>
      <w:r w:rsidR="00E714A4">
        <w:t xml:space="preserve">shows </w:t>
      </w:r>
      <w:r w:rsidRPr="00762161">
        <w:t xml:space="preserve">the yearly sample period 1970-1988, the first regression shows that lagged years two and three </w:t>
      </w:r>
      <w:r w:rsidR="00524582" w:rsidRPr="00762161">
        <w:t>are significant at the 1% level</w:t>
      </w:r>
      <w:r w:rsidRPr="00762161">
        <w:t xml:space="preserve">. Running through the individual regressions </w:t>
      </w:r>
      <w:r w:rsidR="00524582" w:rsidRPr="00762161">
        <w:t>lagged year</w:t>
      </w:r>
      <w:r w:rsidRPr="00762161">
        <w:t xml:space="preserve"> two </w:t>
      </w:r>
      <w:r w:rsidR="00524582" w:rsidRPr="00762161">
        <w:t>is</w:t>
      </w:r>
      <w:r w:rsidRPr="00762161">
        <w:t xml:space="preserve"> significant at the 1% level,</w:t>
      </w:r>
      <w:r w:rsidR="00524582" w:rsidRPr="00762161">
        <w:t xml:space="preserve"> and lagged year’s one and three are significant at the 5% level</w:t>
      </w:r>
      <w:r w:rsidRPr="00762161">
        <w:t xml:space="preserve">. </w:t>
      </w:r>
      <w:r w:rsidR="00524582" w:rsidRPr="00762161">
        <w:t>Similar to Table 10, lagged year three has a negative coefficient and is significant at the 1% level</w:t>
      </w:r>
      <w:r w:rsidRPr="00762161">
        <w:t xml:space="preserve">. </w:t>
      </w:r>
      <w:r w:rsidR="00524582" w:rsidRPr="00762161">
        <w:t>This</w:t>
      </w:r>
      <w:r w:rsidR="000E70AD">
        <w:t xml:space="preserve"> may be the cause of the C</w:t>
      </w:r>
      <w:r w:rsidR="00524582" w:rsidRPr="00762161">
        <w:t>ycle for</w:t>
      </w:r>
      <w:r w:rsidR="00726BEF">
        <w:t xml:space="preserve"> </w:t>
      </w:r>
      <w:r w:rsidR="00627488">
        <w:t>Real Stock Price</w:t>
      </w:r>
      <w:r w:rsidR="00524582" w:rsidRPr="00762161">
        <w:t>s showing a negative coefficient. In actual fact the majority of the conclusions drawn from these particular results are mirrored in the yearly</w:t>
      </w:r>
      <w:r w:rsidR="00726BEF">
        <w:t xml:space="preserve"> </w:t>
      </w:r>
      <w:r w:rsidR="00627488">
        <w:t>Real GDP</w:t>
      </w:r>
      <w:r w:rsidR="00726BEF">
        <w:t xml:space="preserve"> Cycle</w:t>
      </w:r>
      <w:r w:rsidR="00524582" w:rsidRPr="00762161">
        <w:t xml:space="preserve"> regressions. </w:t>
      </w:r>
      <w:r w:rsidRPr="00762161">
        <w:t>Although the first regression has the lowest Akaike value the F value shows significance, as stated, in lagged years one and two. So although the F value isn’t as high and the Akaike isn’t as low, these two years show noteworthy indication for the cycle levels of the GDP.</w:t>
      </w:r>
    </w:p>
    <w:p w:rsidR="00D40D16" w:rsidRPr="00762161" w:rsidRDefault="007F5572" w:rsidP="00D40D16">
      <w:r w:rsidRPr="00762161">
        <w:t>Consulting Table 1</w:t>
      </w:r>
      <w:r w:rsidR="003C7698" w:rsidRPr="00762161">
        <w:t>4</w:t>
      </w:r>
      <w:r w:rsidRPr="00762161">
        <w:t xml:space="preserve"> over the yearly sample period 1988-1997, the first regression shows only </w:t>
      </w:r>
      <w:r w:rsidR="00BC7418">
        <w:t xml:space="preserve">that </w:t>
      </w:r>
      <w:r w:rsidRPr="00762161">
        <w:t>no lag is significant at the 1% level. Running through the individual regressions no lag is significant at the 1% level and lagged year three is significant at the 10% level. Similar to Table 11, lagged year three has a negative coefficient and is significant at the 1% level</w:t>
      </w:r>
      <w:r w:rsidR="00D40D16" w:rsidRPr="00762161">
        <w:t>. This is</w:t>
      </w:r>
      <w:r w:rsidRPr="00762161">
        <w:t xml:space="preserve"> once again</w:t>
      </w:r>
      <w:r w:rsidR="00D40D16" w:rsidRPr="00762161">
        <w:t xml:space="preserve"> probably due to the presence of positive autocorrelation in the data as shown by the DW statistic of </w:t>
      </w:r>
      <w:r w:rsidR="000E70AD">
        <w:t>1.1357</w:t>
      </w:r>
      <w:r w:rsidRPr="00762161">
        <w:t xml:space="preserve">, this may however by lower than the equivalent found in </w:t>
      </w:r>
      <w:r w:rsidR="00BC7418">
        <w:t>T</w:t>
      </w:r>
      <w:r w:rsidRPr="00762161">
        <w:t>able 11</w:t>
      </w:r>
      <w:r w:rsidR="00BC7418">
        <w:t xml:space="preserve"> yet</w:t>
      </w:r>
      <w:r w:rsidRPr="00762161">
        <w:t xml:space="preserve"> the inability to draw strong conclusions still filter through</w:t>
      </w:r>
      <w:r w:rsidR="00D40D16" w:rsidRPr="00762161">
        <w:t xml:space="preserve">. Running through the individual regressions only the current year is significant, at the 5% level. </w:t>
      </w:r>
      <w:r w:rsidR="003D220E" w:rsidRPr="00762161">
        <w:t>Once again, t</w:t>
      </w:r>
      <w:r w:rsidR="00D40D16" w:rsidRPr="00762161">
        <w:t>his particular sample proves to not be a very powerful one as shown by the lack of significance in the variables and the presence of positive autocorrelation, which is particularly stron</w:t>
      </w:r>
      <w:r w:rsidR="003D220E" w:rsidRPr="00762161">
        <w:t xml:space="preserve">g in </w:t>
      </w:r>
      <w:r w:rsidR="00235805">
        <w:t xml:space="preserve">the initial </w:t>
      </w:r>
      <w:r w:rsidR="003D220E" w:rsidRPr="00762161">
        <w:t>regression</w:t>
      </w:r>
      <w:r w:rsidR="00235805">
        <w:t>.</w:t>
      </w:r>
    </w:p>
    <w:p w:rsidR="00D40D16" w:rsidRPr="00762161" w:rsidRDefault="00D40D16" w:rsidP="00D40D16">
      <w:r w:rsidRPr="00762161">
        <w:t>Table 1</w:t>
      </w:r>
      <w:r w:rsidR="003C7698" w:rsidRPr="00762161">
        <w:t>5</w:t>
      </w:r>
      <w:r w:rsidRPr="00762161">
        <w:t xml:space="preserve"> </w:t>
      </w:r>
      <w:r w:rsidR="00235805">
        <w:t>looks at</w:t>
      </w:r>
      <w:r w:rsidRPr="00762161">
        <w:t xml:space="preserve"> the yearly sample period 1997-2010, </w:t>
      </w:r>
      <w:r w:rsidR="008036B8" w:rsidRPr="00762161">
        <w:t>there is significance shown across the board. Lagged years one, two and three show significance at the 1% level and no lag is significant at the 10% level</w:t>
      </w:r>
      <w:r w:rsidRPr="00762161">
        <w:t>.</w:t>
      </w:r>
      <w:r w:rsidR="008036B8" w:rsidRPr="00762161">
        <w:t xml:space="preserve"> Of particular note is the negative coefficients attached to lagged years two and three. Essentially if an increase in the cycle of</w:t>
      </w:r>
      <w:r w:rsidR="00726BEF">
        <w:t xml:space="preserve"> </w:t>
      </w:r>
      <w:r w:rsidR="00627488">
        <w:t>Real Stock Price</w:t>
      </w:r>
      <w:r w:rsidR="008036B8" w:rsidRPr="00762161">
        <w:t xml:space="preserve">s is seen now, there will be a future decline in the level of the </w:t>
      </w:r>
      <w:r w:rsidR="00235805">
        <w:t xml:space="preserve">Cycle of </w:t>
      </w:r>
      <w:r w:rsidR="00627488">
        <w:t>Real GDP</w:t>
      </w:r>
      <w:r w:rsidR="00235805">
        <w:t xml:space="preserve"> in years two and three. P</w:t>
      </w:r>
      <w:r w:rsidR="008036B8" w:rsidRPr="00762161">
        <w:t xml:space="preserve">articularly in three years time as shown by the variables significance in regressions one and five. Although these variables have a negative influence, this is mitigated by the positive effect that lagged year one has on the regressions showing very high significance as well as a low Akaike and adjusted R-squared values over 90%. </w:t>
      </w:r>
    </w:p>
    <w:p w:rsidR="00D40D16" w:rsidRPr="00762161" w:rsidRDefault="00D40D16" w:rsidP="00D40D16">
      <w:r w:rsidRPr="00762161">
        <w:t xml:space="preserve">Overall, Tables </w:t>
      </w:r>
      <w:r w:rsidR="008036B8" w:rsidRPr="00762161">
        <w:t>13, 14 and 15</w:t>
      </w:r>
      <w:r w:rsidRPr="00762161">
        <w:t xml:space="preserve"> show that each year has varying success from the cycle of the</w:t>
      </w:r>
      <w:r w:rsidR="00726BEF">
        <w:t xml:space="preserve"> </w:t>
      </w:r>
      <w:r w:rsidR="00627488">
        <w:t>Real Stock Price</w:t>
      </w:r>
      <w:r w:rsidRPr="00762161">
        <w:t xml:space="preserve">s point of view for the indication for the cycle of </w:t>
      </w:r>
      <w:r w:rsidR="00627488">
        <w:t>Real GDP</w:t>
      </w:r>
      <w:r w:rsidRPr="00762161">
        <w:t xml:space="preserve">. </w:t>
      </w:r>
      <w:r w:rsidR="00E84D42" w:rsidRPr="00762161">
        <w:t>Year three is of particular importance showing negative coefficients and very high significance.</w:t>
      </w:r>
      <w:r w:rsidR="00B31031" w:rsidRPr="00762161">
        <w:t xml:space="preserve"> Once again, the sample 1988-1997 shows contrasting conclusions from the alternative samples, however recently</w:t>
      </w:r>
      <w:r w:rsidR="00CB1165" w:rsidRPr="00762161">
        <w:t>, sample period 1998-2009,</w:t>
      </w:r>
      <w:r w:rsidR="00B31031" w:rsidRPr="00762161">
        <w:t xml:space="preserve"> a lag of one year shows dominance and this is further exemplified in Table 1</w:t>
      </w:r>
      <w:r w:rsidR="00E3507C">
        <w:t>2 and 15</w:t>
      </w:r>
      <w:r w:rsidR="00B31031" w:rsidRPr="00762161">
        <w:t>.</w:t>
      </w:r>
    </w:p>
    <w:p w:rsidR="009D6A73" w:rsidRPr="00762161" w:rsidRDefault="009D6A73" w:rsidP="009D6A73">
      <w:pPr>
        <w:rPr>
          <w:rFonts w:eastAsiaTheme="minorEastAsia"/>
        </w:rPr>
      </w:pPr>
      <w:r w:rsidRPr="00762161">
        <w:t>Consulting Table 16 over the yearly sample period 1970-1988, the first regression shows that lagged years two is significant at the 1% level, no lag is significant at the 5% level and three years lagged is significant at the 10% level. A lag of two years proves to be the most powerful indicator</w:t>
      </w:r>
      <w:r w:rsidR="006F70C8" w:rsidRPr="00762161">
        <w:t xml:space="preserve"> of the </w:t>
      </w:r>
      <w:r w:rsidR="00726BEF">
        <w:t>Inflation</w:t>
      </w:r>
      <w:r w:rsidR="006F70C8" w:rsidRPr="00762161">
        <w:t xml:space="preserve"> level. However, these results are dominated by the AR model as shown by the extreme significance and AR coefficient value of 0.9463. Essentially the lagged dependant variable shows the greatest indicating power. This is exacerbated by the relatively high coefficient value for all five regressions, which is the main cause for the high adjust</w:t>
      </w:r>
      <w:r w:rsidR="00E3507C">
        <w:t>ed</w:t>
      </w:r>
      <w:r w:rsidR="006F70C8" w:rsidRPr="00762161">
        <w:t xml:space="preserve"> R-square values.</w:t>
      </w:r>
    </w:p>
    <w:p w:rsidR="009D6A73" w:rsidRPr="00762161" w:rsidRDefault="009D6A73" w:rsidP="009D6A73">
      <w:r w:rsidRPr="00762161">
        <w:t>Table 1</w:t>
      </w:r>
      <w:r w:rsidR="00761413" w:rsidRPr="00762161">
        <w:t>7</w:t>
      </w:r>
      <w:r w:rsidRPr="00762161">
        <w:t xml:space="preserve"> </w:t>
      </w:r>
      <w:r w:rsidR="00E3507C">
        <w:t xml:space="preserve">shows </w:t>
      </w:r>
      <w:r w:rsidRPr="00762161">
        <w:t>the yearly sample period 1988-1997, the first regression shows no lag</w:t>
      </w:r>
      <w:r w:rsidR="00761413" w:rsidRPr="00762161">
        <w:t xml:space="preserve"> and lagged three years as being </w:t>
      </w:r>
      <w:r w:rsidRPr="00762161">
        <w:t xml:space="preserve">significant at the 1% level. </w:t>
      </w:r>
      <w:r w:rsidR="00761413" w:rsidRPr="00762161">
        <w:t xml:space="preserve">Two years lagged is significant at the two year level. </w:t>
      </w:r>
      <w:r w:rsidRPr="00762161">
        <w:t xml:space="preserve">Running through the individual regressions no lag is significant at the 1% level and lagged year three is significant at the </w:t>
      </w:r>
      <w:r w:rsidR="00761413" w:rsidRPr="00762161">
        <w:t>5</w:t>
      </w:r>
      <w:r w:rsidRPr="00762161">
        <w:t xml:space="preserve">% level. </w:t>
      </w:r>
      <w:r w:rsidR="00761413" w:rsidRPr="00762161">
        <w:t>Similar to Table 16, the regressions is dominated by the AR model and positive autocorrelation is very prevalent. As such, because the intercept coefficient is very large relative to the other variables, coupled with the lack of significance in any of the remaining variables in the regressions that show the lowest AR model dominance, no conclusions can actually be drawn from the regressions.</w:t>
      </w:r>
    </w:p>
    <w:p w:rsidR="009D6A73" w:rsidRPr="00762161" w:rsidRDefault="009D6A73" w:rsidP="009D6A73">
      <w:r w:rsidRPr="00762161">
        <w:t>Consulting Table 1</w:t>
      </w:r>
      <w:r w:rsidR="0062249E" w:rsidRPr="00762161">
        <w:t>8</w:t>
      </w:r>
      <w:r w:rsidRPr="00762161">
        <w:t xml:space="preserve"> over the yearly sample period 1997-2010, </w:t>
      </w:r>
      <w:r w:rsidR="0062249E" w:rsidRPr="00762161">
        <w:t xml:space="preserve">there is a very high degree of significance for one year lagged as well as three years lagged, which are both significant at the 1% level. The AR </w:t>
      </w:r>
      <w:r w:rsidR="00E3507C">
        <w:t>value is</w:t>
      </w:r>
      <w:r w:rsidR="0062249E" w:rsidRPr="00762161">
        <w:t xml:space="preserve"> in more of an acceptable range, in the individual regressions which shows that the</w:t>
      </w:r>
      <w:r w:rsidR="00726BEF">
        <w:t xml:space="preserve"> </w:t>
      </w:r>
      <w:r w:rsidR="00627488">
        <w:t>Real Stock Price</w:t>
      </w:r>
      <w:r w:rsidR="00726BEF">
        <w:t xml:space="preserve"> Cycle</w:t>
      </w:r>
      <w:r w:rsidR="0062249E" w:rsidRPr="00762161">
        <w:t xml:space="preserve"> can indicate the level of </w:t>
      </w:r>
      <w:r w:rsidR="00726BEF">
        <w:t>Inflation</w:t>
      </w:r>
      <w:r w:rsidR="0062249E" w:rsidRPr="00762161">
        <w:t xml:space="preserve"> with the greatest accuracy one year in advance. This is further emphasized by regression three’s relatively high adjusted R-square value and highly significant F value. However the constants still govern the regressions, yet lagged year two dictates the extent.</w:t>
      </w:r>
    </w:p>
    <w:p w:rsidR="009D6A73" w:rsidRPr="00762161" w:rsidRDefault="009D6A73" w:rsidP="009D6A73">
      <w:r w:rsidRPr="00762161">
        <w:t xml:space="preserve">Overall, Tables </w:t>
      </w:r>
      <w:r w:rsidR="0062249E" w:rsidRPr="00762161">
        <w:t xml:space="preserve">16, 17 and 18, show mixed conclusions, simply from the fact that the models are controlled by the AR model. Essentially this doesn’t allow for any constructive conclusions. Yet Table 18 sheds </w:t>
      </w:r>
      <w:r w:rsidR="00E3507C" w:rsidRPr="00762161">
        <w:t>important</w:t>
      </w:r>
      <w:r w:rsidR="0062249E" w:rsidRPr="00762161">
        <w:t xml:space="preserve"> light on the issue. A lag of one year illustrated the greatest indicating ability and this is further emphasized by the relatively high coefficient.</w:t>
      </w:r>
      <w:r w:rsidR="002A2B19">
        <w:t xml:space="preserve"> The positive coefficient of the significant one year lag is not </w:t>
      </w:r>
      <w:r w:rsidR="002A2B19" w:rsidRPr="00762161">
        <w:t xml:space="preserve">surprising as Kaul (1987) points out, in light of the view that common stocks, as claims against real assets, should be a good hedge against inflation. </w:t>
      </w:r>
      <w:r w:rsidR="002A2B19">
        <w:t xml:space="preserve">This is in contrast to Fama (1981) proxy hypothesis. </w:t>
      </w:r>
      <w:r w:rsidR="0062249E" w:rsidRPr="00762161">
        <w:t xml:space="preserve">The fact that the constants are so high is </w:t>
      </w:r>
      <w:r w:rsidR="00E3507C">
        <w:t xml:space="preserve">worrying but </w:t>
      </w:r>
      <w:r w:rsidR="0062249E" w:rsidRPr="00762161">
        <w:t xml:space="preserve">not of major concern, due to the nature of the variable. This study looks at unmodified </w:t>
      </w:r>
      <w:r w:rsidR="00726BEF">
        <w:t>Inflation</w:t>
      </w:r>
      <w:r w:rsidR="0062249E" w:rsidRPr="00762161">
        <w:t xml:space="preserve"> levels, thus it is expected to find a very low gradients for the regression and a high constant because vast majority of the time, a near flat regressions line will be predicted by the variables.</w:t>
      </w:r>
    </w:p>
    <w:p w:rsidR="00DB2861" w:rsidRPr="00762161" w:rsidRDefault="00DB2861" w:rsidP="00955A08">
      <w:pPr>
        <w:spacing w:before="480"/>
        <w:rPr>
          <w:szCs w:val="24"/>
        </w:rPr>
      </w:pPr>
    </w:p>
    <w:p w:rsidR="00955A08" w:rsidRPr="00762161" w:rsidRDefault="00955A08" w:rsidP="005941C0">
      <w:pPr>
        <w:autoSpaceDE w:val="0"/>
        <w:autoSpaceDN w:val="0"/>
        <w:adjustRightInd w:val="0"/>
        <w:rPr>
          <w:szCs w:val="24"/>
        </w:rPr>
      </w:pPr>
    </w:p>
    <w:p w:rsidR="007F142F" w:rsidRPr="00762161" w:rsidRDefault="007F142F">
      <w:r w:rsidRPr="00762161">
        <w:br w:type="page"/>
      </w:r>
    </w:p>
    <w:p w:rsidR="009D61A9" w:rsidRPr="00762161" w:rsidRDefault="009D61A9" w:rsidP="009D61A9">
      <w:pPr>
        <w:pStyle w:val="Heading1"/>
        <w:numPr>
          <w:ilvl w:val="0"/>
          <w:numId w:val="7"/>
        </w:numPr>
      </w:pPr>
      <w:bookmarkStart w:id="328" w:name="_Toc282531648"/>
      <w:bookmarkStart w:id="329" w:name="_Toc286616326"/>
      <w:r w:rsidRPr="00762161">
        <w:t>Conclusion</w:t>
      </w:r>
      <w:bookmarkEnd w:id="328"/>
      <w:bookmarkEnd w:id="329"/>
    </w:p>
    <w:p w:rsidR="00A857A8" w:rsidRDefault="002A2B19" w:rsidP="00A857A8">
      <w:pPr>
        <w:spacing w:before="480"/>
      </w:pPr>
      <w:r>
        <w:rPr>
          <w:szCs w:val="24"/>
        </w:rPr>
        <w:t xml:space="preserve">This study has critically evaluated the Real Stock Price Cycle as a leading indicator for the Cycle of Economic Activity. </w:t>
      </w:r>
      <w:r w:rsidR="00775515">
        <w:rPr>
          <w:szCs w:val="24"/>
        </w:rPr>
        <w:t>Stock Prices</w:t>
      </w:r>
      <w:r w:rsidR="00A857A8" w:rsidRPr="00A857A8">
        <w:rPr>
          <w:szCs w:val="24"/>
        </w:rPr>
        <w:t xml:space="preserve"> are in fact the foremost leading indicator and</w:t>
      </w:r>
      <w:r>
        <w:rPr>
          <w:szCs w:val="24"/>
        </w:rPr>
        <w:t>, as previously stated,</w:t>
      </w:r>
      <w:r w:rsidR="00A857A8" w:rsidRPr="00A857A8">
        <w:rPr>
          <w:szCs w:val="24"/>
        </w:rPr>
        <w:t xml:space="preserve"> </w:t>
      </w:r>
      <w:r w:rsidR="00A857A8">
        <w:t>Fama (1981) conducts tests whic</w:t>
      </w:r>
      <w:r w:rsidR="00A857A8" w:rsidRPr="00762161">
        <w:t xml:space="preserve">h show that the </w:t>
      </w:r>
      <w:r w:rsidR="000E70AD">
        <w:t xml:space="preserve">return on </w:t>
      </w:r>
      <w:r w:rsidR="00A857A8" w:rsidRPr="00762161">
        <w:t>stock is never l</w:t>
      </w:r>
      <w:r w:rsidR="00A857A8">
        <w:t xml:space="preserve">ed by any of the real variables. </w:t>
      </w:r>
      <w:r>
        <w:t xml:space="preserve">This is an important statement, and the reason for the exclusive choosing of stock prices as the independent variable within the AR (1) </w:t>
      </w:r>
      <w:r w:rsidR="000E70AD">
        <w:t>regressions</w:t>
      </w:r>
      <w:r>
        <w:t xml:space="preserve"> of this paper.</w:t>
      </w:r>
    </w:p>
    <w:p w:rsidR="002A2B19" w:rsidRDefault="002A2B19" w:rsidP="00A857A8">
      <w:pPr>
        <w:spacing w:before="480"/>
      </w:pPr>
      <w:r>
        <w:t xml:space="preserve">The results of this study show that lagged quarters one, two and three, together with lagged years one and two, yield the greatest information in the indication of current levels in both </w:t>
      </w:r>
      <w:r w:rsidR="00775515">
        <w:t xml:space="preserve">the Real Cycle of </w:t>
      </w:r>
      <w:r>
        <w:t>GDP and</w:t>
      </w:r>
      <w:r w:rsidR="00775515">
        <w:t xml:space="preserve"> the Real Cycle of</w:t>
      </w:r>
      <w:r>
        <w:t xml:space="preserve"> Industrial Production. Unfortunately no conclusive results were obtained for the level of </w:t>
      </w:r>
      <w:r w:rsidR="00775515">
        <w:t>Inflation</w:t>
      </w:r>
      <w:r>
        <w:t xml:space="preserve">. The lack of results for </w:t>
      </w:r>
      <w:r w:rsidR="00775515">
        <w:t>Inflation</w:t>
      </w:r>
      <w:r>
        <w:t xml:space="preserve"> is not of major concern </w:t>
      </w:r>
      <w:r w:rsidR="00775515">
        <w:t>because of</w:t>
      </w:r>
      <w:r>
        <w:t xml:space="preserve"> </w:t>
      </w:r>
      <w:r w:rsidR="00775515">
        <w:t>Inflation</w:t>
      </w:r>
      <w:r>
        <w:t xml:space="preserve"> having an indirect influence on the cycle of GDP. Due to South Africa’s </w:t>
      </w:r>
      <w:r w:rsidR="00775515">
        <w:t>Inflation</w:t>
      </w:r>
      <w:r>
        <w:t xml:space="preserve"> targeting policy, one might have </w:t>
      </w:r>
      <w:r w:rsidR="00B47692">
        <w:t>significant</w:t>
      </w:r>
      <w:r>
        <w:t xml:space="preserve"> success if interest rates and the Real GDP were used </w:t>
      </w:r>
      <w:r w:rsidR="00B47692">
        <w:t xml:space="preserve">instead </w:t>
      </w:r>
      <w:r>
        <w:t>as independent variables within the regression analysis</w:t>
      </w:r>
      <w:r w:rsidR="00B47692">
        <w:t>, because</w:t>
      </w:r>
      <w:r>
        <w:t xml:space="preserve"> </w:t>
      </w:r>
      <w:r w:rsidR="00775515">
        <w:t>Inflation</w:t>
      </w:r>
      <w:r>
        <w:t xml:space="preserve"> is mainly impacted in South Africa</w:t>
      </w:r>
      <w:r w:rsidR="00775515">
        <w:t xml:space="preserve"> by the monetary policy</w:t>
      </w:r>
      <w:r>
        <w:t xml:space="preserve"> through interest rates and the p</w:t>
      </w:r>
      <w:r w:rsidR="00B47692">
        <w:t>revailing level of the economy.</w:t>
      </w:r>
    </w:p>
    <w:p w:rsidR="00781679" w:rsidRDefault="00B47692" w:rsidP="00781679">
      <w:pPr>
        <w:spacing w:before="480"/>
      </w:pPr>
      <w:r>
        <w:t>In line with this study’s</w:t>
      </w:r>
      <w:r w:rsidR="00781679">
        <w:t xml:space="preserve"> results, </w:t>
      </w:r>
      <w:r w:rsidR="00781679" w:rsidRPr="00762161">
        <w:t>F</w:t>
      </w:r>
      <w:r w:rsidR="00781679">
        <w:t>ischer &amp; Merton (1984) regressed</w:t>
      </w:r>
      <w:r w:rsidR="00781679" w:rsidRPr="00762161">
        <w:t xml:space="preserve"> stock ma</w:t>
      </w:r>
      <w:r w:rsidR="00781679">
        <w:t>rket growth on GNP, and confirm</w:t>
      </w:r>
      <w:r w:rsidR="00781679" w:rsidRPr="00762161">
        <w:t xml:space="preserve"> that the stock market contributes substantially to the prediction of the growth rate of real GNP. The stock market variable is subsequently found to be the most powerful single forecaster of the growth rate of real GNP. The author finds that the stock market</w:t>
      </w:r>
      <w:r w:rsidR="00781679">
        <w:t>’</w:t>
      </w:r>
      <w:r w:rsidR="00781679" w:rsidRPr="00762161">
        <w:t>s forecasting ability can be traced to the fact that stock prices lea</w:t>
      </w:r>
      <w:r w:rsidR="00781679">
        <w:t>d the GNP components, Industrial Production (proxying for investment)</w:t>
      </w:r>
      <w:r w:rsidR="00781679" w:rsidRPr="00762161">
        <w:t xml:space="preserve"> and consumption. Stock prices and the </w:t>
      </w:r>
      <w:r w:rsidR="00775515">
        <w:t>Inflation</w:t>
      </w:r>
      <w:r w:rsidR="00781679" w:rsidRPr="00762161">
        <w:t xml:space="preserve"> rate provide strong predictive power for investment although the long term real interest rate also has a significant coefficient. </w:t>
      </w:r>
    </w:p>
    <w:p w:rsidR="00781679" w:rsidRDefault="00781679" w:rsidP="00781679">
      <w:pPr>
        <w:spacing w:before="480"/>
        <w:rPr>
          <w:szCs w:val="24"/>
        </w:rPr>
      </w:pPr>
      <w:r>
        <w:t>It could be argued also that the C</w:t>
      </w:r>
      <w:r w:rsidR="002A2B19" w:rsidRPr="00762161">
        <w:t xml:space="preserve">ycle of the </w:t>
      </w:r>
      <w:r>
        <w:t>R</w:t>
      </w:r>
      <w:r w:rsidR="002A2B19" w:rsidRPr="00762161">
        <w:t xml:space="preserve">eal aggregate </w:t>
      </w:r>
      <w:r>
        <w:t>S</w:t>
      </w:r>
      <w:r w:rsidR="002A2B19" w:rsidRPr="00762161">
        <w:t xml:space="preserve">tock </w:t>
      </w:r>
      <w:r>
        <w:t>P</w:t>
      </w:r>
      <w:r w:rsidR="002A2B19" w:rsidRPr="00762161">
        <w:t>rice</w:t>
      </w:r>
      <w:r>
        <w:t xml:space="preserve"> indicates </w:t>
      </w:r>
      <w:r w:rsidR="00775515">
        <w:t xml:space="preserve">the </w:t>
      </w:r>
      <w:r>
        <w:t>C</w:t>
      </w:r>
      <w:r w:rsidR="002A2B19" w:rsidRPr="00762161">
        <w:t xml:space="preserve">ycle of </w:t>
      </w:r>
      <w:r w:rsidR="002A2B19">
        <w:t>Industrial Production</w:t>
      </w:r>
      <w:r w:rsidR="002A2B19" w:rsidRPr="00762161">
        <w:t xml:space="preserve"> </w:t>
      </w:r>
      <w:r>
        <w:t xml:space="preserve">which has a direct effect on the Cycle of Real </w:t>
      </w:r>
      <w:r w:rsidR="002A2B19" w:rsidRPr="00762161">
        <w:t xml:space="preserve">GDP. </w:t>
      </w:r>
      <w:r>
        <w:t>This is due to South Africa’s reliance on primary and secondary sectors, the Industrial Production index that this study constructed will contain the majority of values inputted for the calculation of GDP.</w:t>
      </w:r>
      <w:r w:rsidRPr="00781679">
        <w:rPr>
          <w:szCs w:val="24"/>
        </w:rPr>
        <w:t xml:space="preserve"> </w:t>
      </w:r>
      <w:r w:rsidRPr="00762161">
        <w:rPr>
          <w:szCs w:val="24"/>
        </w:rPr>
        <w:t xml:space="preserve">Fama (1981), Geske &amp; Roll (1983), Kaul (1987), and </w:t>
      </w:r>
      <w:r w:rsidRPr="00762161">
        <w:t xml:space="preserve">Fischer &amp; Merton (1984) </w:t>
      </w:r>
      <w:r w:rsidRPr="00762161">
        <w:rPr>
          <w:szCs w:val="24"/>
        </w:rPr>
        <w:t xml:space="preserve">find that industrial production explains as much as, or more, variation as alternative real activity variables, </w:t>
      </w:r>
      <w:r w:rsidR="00A375E0">
        <w:rPr>
          <w:szCs w:val="24"/>
        </w:rPr>
        <w:t>for</w:t>
      </w:r>
      <w:r w:rsidRPr="00762161">
        <w:rPr>
          <w:szCs w:val="24"/>
        </w:rPr>
        <w:t xml:space="preserve"> growth rates of real G</w:t>
      </w:r>
      <w:r w:rsidR="00A375E0">
        <w:rPr>
          <w:szCs w:val="24"/>
        </w:rPr>
        <w:t>NP and Gross Private Investment</w:t>
      </w:r>
      <w:r w:rsidRPr="00762161">
        <w:rPr>
          <w:szCs w:val="24"/>
        </w:rPr>
        <w:t xml:space="preserve">. </w:t>
      </w:r>
    </w:p>
    <w:p w:rsidR="00781679" w:rsidRPr="00762161" w:rsidRDefault="00781679" w:rsidP="00781679">
      <w:pPr>
        <w:spacing w:before="480"/>
      </w:pPr>
      <w:r>
        <w:rPr>
          <w:szCs w:val="24"/>
        </w:rPr>
        <w:t xml:space="preserve">This study also conclusively finds that the longer the horizon, the greater the regression significance and the truer the resulting conclusions. This falls in line with the majority of research. </w:t>
      </w:r>
      <w:r>
        <w:t>Fama (1990) concurs and states that t</w:t>
      </w:r>
      <w:r w:rsidRPr="00762161">
        <w:t>he argument simply lies in the fact that not all information regarding future production becomes publically known over a short time period. Information is usually dispersed over longer time periods as production activities usually take place.</w:t>
      </w:r>
    </w:p>
    <w:p w:rsidR="00781679" w:rsidRDefault="00781679" w:rsidP="005A4EDE">
      <w:pPr>
        <w:spacing w:before="480"/>
      </w:pPr>
      <w:r>
        <w:rPr>
          <w:szCs w:val="24"/>
        </w:rPr>
        <w:t xml:space="preserve">To illustrate this </w:t>
      </w:r>
      <w:r w:rsidRPr="00762161">
        <w:t>Fischer &amp; Merton (1984) finds, by using annual data, that the change in stock prices in isolation as a predictive variable carries power to predict business and fixed investment and inventory investment even when other financial variables and lagged real GNP growth are included in the regression equations.</w:t>
      </w:r>
      <w:r>
        <w:t xml:space="preserve"> </w:t>
      </w:r>
      <w:r w:rsidR="005A4EDE" w:rsidRPr="00762161">
        <w:t>Fama (1981) and Kaul (1987)</w:t>
      </w:r>
      <w:r w:rsidR="005A4EDE">
        <w:t xml:space="preserve"> also</w:t>
      </w:r>
      <w:r w:rsidR="005A4EDE" w:rsidRPr="00762161">
        <w:t xml:space="preserve"> find that real activity explains more variation in returns of longer return horizons. Future production growth rates explain 6% of the variance of monthly returns on the</w:t>
      </w:r>
      <w:r w:rsidR="005A4EDE">
        <w:t xml:space="preserve"> NYSE </w:t>
      </w:r>
      <w:r w:rsidR="005A4EDE" w:rsidRPr="00762161">
        <w:t xml:space="preserve">value weighted </w:t>
      </w:r>
      <w:r w:rsidR="005A4EDE">
        <w:t>portfolio. The proportion rises to a much larger</w:t>
      </w:r>
      <w:r w:rsidR="005A4EDE" w:rsidRPr="00762161">
        <w:t xml:space="preserve"> 43% for annual returns. </w:t>
      </w:r>
    </w:p>
    <w:p w:rsidR="00955A08" w:rsidRDefault="00781679" w:rsidP="00F87F0D">
      <w:pPr>
        <w:spacing w:before="480"/>
      </w:pPr>
      <w:r>
        <w:t>An interesting extension of this paper would to compare the leading ability of stock prices with that of oil prices, money supply, inter</w:t>
      </w:r>
      <w:r w:rsidR="00A375E0">
        <w:t>est rates, term spread, etc. These</w:t>
      </w:r>
      <w:r>
        <w:t xml:space="preserve"> alternative leading indicators may yet yield greater explanatory power, and therefore increase the ability of sophisticated researchers to predict future economic activity.</w:t>
      </w:r>
      <w:r w:rsidR="00B47692">
        <w:t xml:space="preserve"> Another potential area of research is </w:t>
      </w:r>
      <w:r w:rsidR="00A375E0">
        <w:t xml:space="preserve">in </w:t>
      </w:r>
      <w:r w:rsidR="00B47692">
        <w:t>the critical evaluation of the Cycle of Real Stock Prices affect</w:t>
      </w:r>
      <w:r w:rsidR="00A375E0">
        <w:t>ing</w:t>
      </w:r>
      <w:r w:rsidR="00B47692">
        <w:t xml:space="preserve"> consumption as compare</w:t>
      </w:r>
      <w:r w:rsidR="00A375E0">
        <w:t>d</w:t>
      </w:r>
      <w:r w:rsidR="00B47692">
        <w:t xml:space="preserve"> to</w:t>
      </w:r>
      <w:r w:rsidR="00A375E0">
        <w:t xml:space="preserve"> its effect on</w:t>
      </w:r>
      <w:r w:rsidR="00B47692">
        <w:t xml:space="preserve"> investments. Finding out which of the two crucial GDP variables are affected, under varying conditions, may provide information to policymakers</w:t>
      </w:r>
    </w:p>
    <w:p w:rsidR="00F87F0D" w:rsidRPr="00762161" w:rsidRDefault="00F87F0D" w:rsidP="005A4EDE">
      <w:pPr>
        <w:spacing w:before="480"/>
      </w:pPr>
    </w:p>
    <w:p w:rsidR="005A4EDE" w:rsidRPr="00A857A8" w:rsidRDefault="005A4EDE" w:rsidP="00A857A8">
      <w:pPr>
        <w:spacing w:before="480"/>
        <w:rPr>
          <w:szCs w:val="24"/>
        </w:rPr>
      </w:pPr>
    </w:p>
    <w:p w:rsidR="009D61A9" w:rsidRPr="00762161" w:rsidRDefault="009D61A9" w:rsidP="009D61A9"/>
    <w:p w:rsidR="009D61A9" w:rsidRPr="00762161" w:rsidRDefault="009D61A9" w:rsidP="009D61A9"/>
    <w:p w:rsidR="009D61A9" w:rsidRPr="00762161" w:rsidRDefault="009D61A9" w:rsidP="009D61A9"/>
    <w:p w:rsidR="009D61A9" w:rsidRPr="00762161" w:rsidRDefault="009D61A9" w:rsidP="009D61A9">
      <w:pPr>
        <w:spacing w:before="480"/>
      </w:pPr>
      <w:r w:rsidRPr="00762161">
        <w:br w:type="page"/>
      </w:r>
    </w:p>
    <w:p w:rsidR="00B557B7" w:rsidRPr="00762161" w:rsidRDefault="007601FF" w:rsidP="00F8189F">
      <w:pPr>
        <w:pStyle w:val="Heading1"/>
        <w:numPr>
          <w:ilvl w:val="0"/>
          <w:numId w:val="12"/>
        </w:numPr>
      </w:pPr>
      <w:bookmarkStart w:id="330" w:name="_Toc286616327"/>
      <w:r w:rsidRPr="00762161">
        <w:t>Reference List</w:t>
      </w:r>
      <w:bookmarkEnd w:id="330"/>
    </w:p>
    <w:p w:rsidR="00A90B7C" w:rsidRPr="00762161" w:rsidRDefault="00A90B7C" w:rsidP="00A8777C">
      <w:pPr>
        <w:spacing w:before="480"/>
      </w:pPr>
    </w:p>
    <w:sdt>
      <w:sdtPr>
        <w:id w:val="1690131"/>
        <w:docPartObj>
          <w:docPartGallery w:val="Bibliographies"/>
          <w:docPartUnique/>
        </w:docPartObj>
      </w:sdtPr>
      <w:sdtContent>
        <w:p w:rsidR="005A50A9" w:rsidRDefault="006F1E00" w:rsidP="005A50A9">
          <w:pPr>
            <w:pStyle w:val="Bibliography"/>
            <w:rPr>
              <w:noProof/>
            </w:rPr>
          </w:pPr>
          <w:r w:rsidRPr="00762161">
            <w:fldChar w:fldCharType="begin"/>
          </w:r>
          <w:r w:rsidR="00B557B7" w:rsidRPr="00762161">
            <w:instrText xml:space="preserve"> BIBLIOGRAPHY </w:instrText>
          </w:r>
          <w:r w:rsidRPr="00762161">
            <w:fldChar w:fldCharType="separate"/>
          </w:r>
          <w:r w:rsidR="005A50A9">
            <w:rPr>
              <w:noProof/>
            </w:rPr>
            <w:t xml:space="preserve">Affleck-Graves, J. P., &amp; Money, A. H. (1975). A Note on the Random Walk Model and South African Share Prices. </w:t>
          </w:r>
          <w:r w:rsidR="005A50A9">
            <w:rPr>
              <w:i/>
              <w:iCs/>
              <w:noProof/>
            </w:rPr>
            <w:t>The South African Journal of Economics</w:t>
          </w:r>
          <w:r w:rsidR="005A50A9">
            <w:rPr>
              <w:noProof/>
            </w:rPr>
            <w:t xml:space="preserve"> </w:t>
          </w:r>
          <w:r w:rsidR="005A50A9">
            <w:rPr>
              <w:i/>
              <w:iCs/>
              <w:noProof/>
            </w:rPr>
            <w:t>, 43</w:t>
          </w:r>
          <w:r w:rsidR="005A50A9">
            <w:rPr>
              <w:noProof/>
            </w:rPr>
            <w:t xml:space="preserve"> (3), 383-389.</w:t>
          </w:r>
        </w:p>
        <w:p w:rsidR="005A50A9" w:rsidRDefault="005A50A9" w:rsidP="005A50A9">
          <w:pPr>
            <w:pStyle w:val="Bibliography"/>
            <w:rPr>
              <w:noProof/>
            </w:rPr>
          </w:pPr>
          <w:r>
            <w:rPr>
              <w:noProof/>
            </w:rPr>
            <w:t xml:space="preserve">Appiah-Kusi, J., &amp; Menyah, K. (2003). Return Predictability in African Stock Markets. </w:t>
          </w:r>
          <w:r>
            <w:rPr>
              <w:i/>
              <w:iCs/>
              <w:noProof/>
            </w:rPr>
            <w:t>Review of Financial Economics</w:t>
          </w:r>
          <w:r>
            <w:rPr>
              <w:noProof/>
            </w:rPr>
            <w:t xml:space="preserve"> </w:t>
          </w:r>
          <w:r>
            <w:rPr>
              <w:i/>
              <w:iCs/>
              <w:noProof/>
            </w:rPr>
            <w:t>, 12</w:t>
          </w:r>
          <w:r>
            <w:rPr>
              <w:noProof/>
            </w:rPr>
            <w:t>, 247-270.</w:t>
          </w:r>
        </w:p>
        <w:p w:rsidR="005A50A9" w:rsidRDefault="005A50A9" w:rsidP="005A50A9">
          <w:pPr>
            <w:pStyle w:val="Bibliography"/>
            <w:rPr>
              <w:noProof/>
            </w:rPr>
          </w:pPr>
          <w:r>
            <w:rPr>
              <w:noProof/>
            </w:rPr>
            <w:t xml:space="preserve">Asprem, M. (1989). Stock Prices, Asset Portfolios and Macroeconomic Variables in Ten European Countries. </w:t>
          </w:r>
          <w:r>
            <w:rPr>
              <w:i/>
              <w:iCs/>
              <w:noProof/>
            </w:rPr>
            <w:t>Journal of Banking and Finance</w:t>
          </w:r>
          <w:r>
            <w:rPr>
              <w:noProof/>
            </w:rPr>
            <w:t xml:space="preserve"> </w:t>
          </w:r>
          <w:r>
            <w:rPr>
              <w:i/>
              <w:iCs/>
              <w:noProof/>
            </w:rPr>
            <w:t>, 13</w:t>
          </w:r>
          <w:r>
            <w:rPr>
              <w:noProof/>
            </w:rPr>
            <w:t>, 589-612.</w:t>
          </w:r>
        </w:p>
        <w:p w:rsidR="005A50A9" w:rsidRDefault="005A50A9" w:rsidP="005A50A9">
          <w:pPr>
            <w:pStyle w:val="Bibliography"/>
            <w:rPr>
              <w:noProof/>
            </w:rPr>
          </w:pPr>
          <w:r>
            <w:rPr>
              <w:noProof/>
            </w:rPr>
            <w:t xml:space="preserve">Aylward, A., &amp; Glen, J. (2000). Some International Evidence on Stock Prices as Leading Indicators of Economic Activity. </w:t>
          </w:r>
          <w:r>
            <w:rPr>
              <w:i/>
              <w:iCs/>
              <w:noProof/>
            </w:rPr>
            <w:t>Applied Financial Economics</w:t>
          </w:r>
          <w:r>
            <w:rPr>
              <w:noProof/>
            </w:rPr>
            <w:t xml:space="preserve"> </w:t>
          </w:r>
          <w:r>
            <w:rPr>
              <w:i/>
              <w:iCs/>
              <w:noProof/>
            </w:rPr>
            <w:t>, 10</w:t>
          </w:r>
          <w:r>
            <w:rPr>
              <w:noProof/>
            </w:rPr>
            <w:t>, 1-14.</w:t>
          </w:r>
        </w:p>
        <w:p w:rsidR="005A50A9" w:rsidRDefault="005A50A9" w:rsidP="005A50A9">
          <w:pPr>
            <w:pStyle w:val="Bibliography"/>
            <w:rPr>
              <w:noProof/>
            </w:rPr>
          </w:pPr>
          <w:r>
            <w:rPr>
              <w:noProof/>
            </w:rPr>
            <w:t xml:space="preserve">Ball, R. (1995). The Theory of Stock Market Efficiency: Accomplishments and Limitations. </w:t>
          </w:r>
          <w:r>
            <w:rPr>
              <w:i/>
              <w:iCs/>
              <w:noProof/>
            </w:rPr>
            <w:t>Journal of Applied Corporate Finance</w:t>
          </w:r>
          <w:r>
            <w:rPr>
              <w:noProof/>
            </w:rPr>
            <w:t xml:space="preserve"> </w:t>
          </w:r>
          <w:r>
            <w:rPr>
              <w:i/>
              <w:iCs/>
              <w:noProof/>
            </w:rPr>
            <w:t>, 8</w:t>
          </w:r>
          <w:r>
            <w:rPr>
              <w:noProof/>
            </w:rPr>
            <w:t xml:space="preserve"> (1), 4-18.</w:t>
          </w:r>
        </w:p>
        <w:p w:rsidR="005A50A9" w:rsidRDefault="005A50A9" w:rsidP="005A50A9">
          <w:pPr>
            <w:pStyle w:val="Bibliography"/>
            <w:rPr>
              <w:noProof/>
            </w:rPr>
          </w:pPr>
          <w:r>
            <w:rPr>
              <w:noProof/>
            </w:rPr>
            <w:t xml:space="preserve">Ball, R., &amp; Brown, P. (1968). An Empirical Evaluation of Accounting Income Numbers. </w:t>
          </w:r>
          <w:r>
            <w:rPr>
              <w:i/>
              <w:iCs/>
              <w:noProof/>
            </w:rPr>
            <w:t>Journal of Accounting Research</w:t>
          </w:r>
          <w:r>
            <w:rPr>
              <w:noProof/>
            </w:rPr>
            <w:t xml:space="preserve"> </w:t>
          </w:r>
          <w:r>
            <w:rPr>
              <w:i/>
              <w:iCs/>
              <w:noProof/>
            </w:rPr>
            <w:t>, 6</w:t>
          </w:r>
          <w:r>
            <w:rPr>
              <w:noProof/>
            </w:rPr>
            <w:t>, 159-178.</w:t>
          </w:r>
        </w:p>
        <w:p w:rsidR="005A50A9" w:rsidRDefault="005A50A9" w:rsidP="005A50A9">
          <w:pPr>
            <w:pStyle w:val="Bibliography"/>
            <w:rPr>
              <w:noProof/>
            </w:rPr>
          </w:pPr>
          <w:r>
            <w:rPr>
              <w:noProof/>
            </w:rPr>
            <w:t xml:space="preserve">Ball, R., &amp; Kothari, S. P. (1989). Nonstationary Expected Returns: Implications for Tests of Market Efficiency and Serial Correlation in Returns. </w:t>
          </w:r>
          <w:r>
            <w:rPr>
              <w:i/>
              <w:iCs/>
              <w:noProof/>
            </w:rPr>
            <w:t>Journal of Financial Economics</w:t>
          </w:r>
          <w:r>
            <w:rPr>
              <w:noProof/>
            </w:rPr>
            <w:t xml:space="preserve"> </w:t>
          </w:r>
          <w:r>
            <w:rPr>
              <w:i/>
              <w:iCs/>
              <w:noProof/>
            </w:rPr>
            <w:t>, 25</w:t>
          </w:r>
          <w:r>
            <w:rPr>
              <w:noProof/>
            </w:rPr>
            <w:t>, 51-74.</w:t>
          </w:r>
        </w:p>
        <w:p w:rsidR="005A50A9" w:rsidRDefault="005A50A9" w:rsidP="005A50A9">
          <w:pPr>
            <w:pStyle w:val="Bibliography"/>
            <w:rPr>
              <w:noProof/>
            </w:rPr>
          </w:pPr>
          <w:r>
            <w:rPr>
              <w:noProof/>
            </w:rPr>
            <w:t xml:space="preserve">Banz, R. (1981). The Relationship between Return and Market Value of Common Stocks. </w:t>
          </w:r>
          <w:r>
            <w:rPr>
              <w:i/>
              <w:iCs/>
              <w:noProof/>
            </w:rPr>
            <w:t>Journal of Financial Economics</w:t>
          </w:r>
          <w:r>
            <w:rPr>
              <w:noProof/>
            </w:rPr>
            <w:t xml:space="preserve"> (9), 3-18.</w:t>
          </w:r>
        </w:p>
        <w:p w:rsidR="005A50A9" w:rsidRDefault="005A50A9" w:rsidP="005A50A9">
          <w:pPr>
            <w:pStyle w:val="Bibliography"/>
            <w:rPr>
              <w:noProof/>
            </w:rPr>
          </w:pPr>
          <w:r>
            <w:rPr>
              <w:noProof/>
            </w:rPr>
            <w:t xml:space="preserve">Barclay, M. J., &amp; Smith, C. W. (1999). The Capital Structure Puzzle: Another Look at the Evidence. </w:t>
          </w:r>
          <w:r>
            <w:rPr>
              <w:i/>
              <w:iCs/>
              <w:noProof/>
            </w:rPr>
            <w:t>Journal of Applied Corporate Finance</w:t>
          </w:r>
          <w:r>
            <w:rPr>
              <w:noProof/>
            </w:rPr>
            <w:t xml:space="preserve"> </w:t>
          </w:r>
          <w:r>
            <w:rPr>
              <w:i/>
              <w:iCs/>
              <w:noProof/>
            </w:rPr>
            <w:t>, 12</w:t>
          </w:r>
          <w:r>
            <w:rPr>
              <w:noProof/>
            </w:rPr>
            <w:t xml:space="preserve"> (1), 8-20.</w:t>
          </w:r>
        </w:p>
        <w:p w:rsidR="005A50A9" w:rsidRDefault="005A50A9" w:rsidP="005A50A9">
          <w:pPr>
            <w:pStyle w:val="Bibliography"/>
            <w:rPr>
              <w:noProof/>
            </w:rPr>
          </w:pPr>
          <w:r>
            <w:rPr>
              <w:noProof/>
            </w:rPr>
            <w:t xml:space="preserve">Barro, R. J. (1990). The Stock Market and Investment. </w:t>
          </w:r>
          <w:r>
            <w:rPr>
              <w:i/>
              <w:iCs/>
              <w:noProof/>
            </w:rPr>
            <w:t>The Review of Financial Studies</w:t>
          </w:r>
          <w:r>
            <w:rPr>
              <w:noProof/>
            </w:rPr>
            <w:t xml:space="preserve"> </w:t>
          </w:r>
          <w:r>
            <w:rPr>
              <w:i/>
              <w:iCs/>
              <w:noProof/>
            </w:rPr>
            <w:t>, 3</w:t>
          </w:r>
          <w:r>
            <w:rPr>
              <w:noProof/>
            </w:rPr>
            <w:t xml:space="preserve"> (1), 115-131.</w:t>
          </w:r>
        </w:p>
        <w:p w:rsidR="005A50A9" w:rsidRDefault="005A50A9" w:rsidP="005A50A9">
          <w:pPr>
            <w:pStyle w:val="Bibliography"/>
            <w:rPr>
              <w:noProof/>
            </w:rPr>
          </w:pPr>
          <w:r>
            <w:rPr>
              <w:noProof/>
            </w:rPr>
            <w:t xml:space="preserve">Basu, S. (1983). The Relationship between Earnings Yield, Market Value, and Return for NYSE Common Stocks: Further Evidence. </w:t>
          </w:r>
          <w:r>
            <w:rPr>
              <w:i/>
              <w:iCs/>
              <w:noProof/>
            </w:rPr>
            <w:t>Journal of Financial Economics</w:t>
          </w:r>
          <w:r>
            <w:rPr>
              <w:noProof/>
            </w:rPr>
            <w:t xml:space="preserve"> (12), 129-156.</w:t>
          </w:r>
        </w:p>
        <w:p w:rsidR="005A50A9" w:rsidRDefault="005A50A9" w:rsidP="005A50A9">
          <w:pPr>
            <w:pStyle w:val="Bibliography"/>
            <w:rPr>
              <w:noProof/>
            </w:rPr>
          </w:pPr>
          <w:r>
            <w:rPr>
              <w:noProof/>
            </w:rPr>
            <w:t xml:space="preserve">Bernanke, B. S. (1983). Nonmonetary Effects of the Financial Crisis in the Propagation of the Great Depression. </w:t>
          </w:r>
          <w:r>
            <w:rPr>
              <w:i/>
              <w:iCs/>
              <w:noProof/>
            </w:rPr>
            <w:t>The American Economic Review</w:t>
          </w:r>
          <w:r>
            <w:rPr>
              <w:noProof/>
            </w:rPr>
            <w:t xml:space="preserve"> </w:t>
          </w:r>
          <w:r>
            <w:rPr>
              <w:i/>
              <w:iCs/>
              <w:noProof/>
            </w:rPr>
            <w:t>, 73</w:t>
          </w:r>
          <w:r>
            <w:rPr>
              <w:noProof/>
            </w:rPr>
            <w:t xml:space="preserve"> (3), 257-276.</w:t>
          </w:r>
        </w:p>
        <w:p w:rsidR="005A50A9" w:rsidRDefault="005A50A9" w:rsidP="005A50A9">
          <w:pPr>
            <w:pStyle w:val="Bibliography"/>
            <w:rPr>
              <w:noProof/>
            </w:rPr>
          </w:pPr>
          <w:r>
            <w:rPr>
              <w:noProof/>
            </w:rPr>
            <w:t xml:space="preserve">Bernanke, B. S., &amp; Blinder, A. S. (1992). The Federal Funds Rate and the Channels of Monetary Transmission. </w:t>
          </w:r>
          <w:r>
            <w:rPr>
              <w:i/>
              <w:iCs/>
              <w:noProof/>
            </w:rPr>
            <w:t>The American Economic Review</w:t>
          </w:r>
          <w:r>
            <w:rPr>
              <w:noProof/>
            </w:rPr>
            <w:t xml:space="preserve"> </w:t>
          </w:r>
          <w:r>
            <w:rPr>
              <w:i/>
              <w:iCs/>
              <w:noProof/>
            </w:rPr>
            <w:t>, 82</w:t>
          </w:r>
          <w:r>
            <w:rPr>
              <w:noProof/>
            </w:rPr>
            <w:t xml:space="preserve"> (4), 901-921.</w:t>
          </w:r>
        </w:p>
        <w:p w:rsidR="005A50A9" w:rsidRDefault="005A50A9" w:rsidP="005A50A9">
          <w:pPr>
            <w:pStyle w:val="Bibliography"/>
            <w:rPr>
              <w:noProof/>
            </w:rPr>
          </w:pPr>
          <w:r>
            <w:rPr>
              <w:noProof/>
            </w:rPr>
            <w:t xml:space="preserve">Beveridge, S., &amp; Nelson, C. (1981). A New Approach to the Decomposition of Economic Time Series into Permanent and Transitory Components with Particular Attention to Measurements of the Business Cycle. </w:t>
          </w:r>
          <w:r>
            <w:rPr>
              <w:i/>
              <w:iCs/>
              <w:noProof/>
            </w:rPr>
            <w:t>Journal of Monetary Economics</w:t>
          </w:r>
          <w:r>
            <w:rPr>
              <w:noProof/>
            </w:rPr>
            <w:t xml:space="preserve"> </w:t>
          </w:r>
          <w:r>
            <w:rPr>
              <w:i/>
              <w:iCs/>
              <w:noProof/>
            </w:rPr>
            <w:t>, 7</w:t>
          </w:r>
          <w:r>
            <w:rPr>
              <w:noProof/>
            </w:rPr>
            <w:t>, 151-174.</w:t>
          </w:r>
        </w:p>
        <w:p w:rsidR="005A50A9" w:rsidRDefault="005A50A9" w:rsidP="005A50A9">
          <w:pPr>
            <w:pStyle w:val="Bibliography"/>
            <w:rPr>
              <w:noProof/>
            </w:rPr>
          </w:pPr>
          <w:r>
            <w:rPr>
              <w:noProof/>
            </w:rPr>
            <w:t xml:space="preserve">Binswanger, M. (2000). Stock Returns and Real Activity: Is there Still a Connection? </w:t>
          </w:r>
          <w:r>
            <w:rPr>
              <w:i/>
              <w:iCs/>
              <w:noProof/>
            </w:rPr>
            <w:t>Applied Financial Economics</w:t>
          </w:r>
          <w:r>
            <w:rPr>
              <w:noProof/>
            </w:rPr>
            <w:t xml:space="preserve"> </w:t>
          </w:r>
          <w:r>
            <w:rPr>
              <w:i/>
              <w:iCs/>
              <w:noProof/>
            </w:rPr>
            <w:t>, 10</w:t>
          </w:r>
          <w:r>
            <w:rPr>
              <w:noProof/>
            </w:rPr>
            <w:t>, 379-387.</w:t>
          </w:r>
        </w:p>
        <w:p w:rsidR="005A50A9" w:rsidRDefault="005A50A9" w:rsidP="005A50A9">
          <w:pPr>
            <w:pStyle w:val="Bibliography"/>
            <w:rPr>
              <w:noProof/>
            </w:rPr>
          </w:pPr>
          <w:r>
            <w:rPr>
              <w:noProof/>
            </w:rPr>
            <w:t xml:space="preserve">Blanchard, O. (1981). Output, the Stock Market and Interest Rates. </w:t>
          </w:r>
          <w:r>
            <w:rPr>
              <w:i/>
              <w:iCs/>
              <w:noProof/>
            </w:rPr>
            <w:t>The American Economic Reveiw</w:t>
          </w:r>
          <w:r>
            <w:rPr>
              <w:noProof/>
            </w:rPr>
            <w:t xml:space="preserve"> </w:t>
          </w:r>
          <w:r>
            <w:rPr>
              <w:i/>
              <w:iCs/>
              <w:noProof/>
            </w:rPr>
            <w:t>, 71</w:t>
          </w:r>
          <w:r>
            <w:rPr>
              <w:noProof/>
            </w:rPr>
            <w:t>, 132-143.</w:t>
          </w:r>
        </w:p>
        <w:p w:rsidR="005A50A9" w:rsidRDefault="005A50A9" w:rsidP="005A50A9">
          <w:pPr>
            <w:pStyle w:val="Bibliography"/>
            <w:rPr>
              <w:noProof/>
            </w:rPr>
          </w:pPr>
          <w:r>
            <w:rPr>
              <w:noProof/>
            </w:rPr>
            <w:t xml:space="preserve">Blanchard, O., Rhee, C., &amp; Summers, L. (1993). The Stock Market, Profit and Investment. </w:t>
          </w:r>
          <w:r>
            <w:rPr>
              <w:i/>
              <w:iCs/>
              <w:noProof/>
            </w:rPr>
            <w:t>Quarterly Journal of Economics</w:t>
          </w:r>
          <w:r>
            <w:rPr>
              <w:noProof/>
            </w:rPr>
            <w:t xml:space="preserve"> </w:t>
          </w:r>
          <w:r>
            <w:rPr>
              <w:i/>
              <w:iCs/>
              <w:noProof/>
            </w:rPr>
            <w:t>, 108</w:t>
          </w:r>
          <w:r>
            <w:rPr>
              <w:noProof/>
            </w:rPr>
            <w:t xml:space="preserve"> (1), 116-136.</w:t>
          </w:r>
        </w:p>
        <w:p w:rsidR="005A50A9" w:rsidRDefault="005A50A9" w:rsidP="005A50A9">
          <w:pPr>
            <w:pStyle w:val="Bibliography"/>
            <w:rPr>
              <w:noProof/>
            </w:rPr>
          </w:pPr>
          <w:r>
            <w:rPr>
              <w:noProof/>
            </w:rPr>
            <w:t xml:space="preserve">Bosworth, B., Hymans, S., &amp; Modigliani, F. (1975). The Stock Market and the Economy. </w:t>
          </w:r>
          <w:r>
            <w:rPr>
              <w:i/>
              <w:iCs/>
              <w:noProof/>
            </w:rPr>
            <w:t>Brookings Papers on Economic Activity</w:t>
          </w:r>
          <w:r>
            <w:rPr>
              <w:noProof/>
            </w:rPr>
            <w:t xml:space="preserve"> </w:t>
          </w:r>
          <w:r>
            <w:rPr>
              <w:i/>
              <w:iCs/>
              <w:noProof/>
            </w:rPr>
            <w:t>, 1975</w:t>
          </w:r>
          <w:r>
            <w:rPr>
              <w:noProof/>
            </w:rPr>
            <w:t xml:space="preserve"> (2), 257-300.</w:t>
          </w:r>
        </w:p>
        <w:p w:rsidR="005A50A9" w:rsidRDefault="005A50A9" w:rsidP="005A50A9">
          <w:pPr>
            <w:pStyle w:val="Bibliography"/>
            <w:rPr>
              <w:noProof/>
            </w:rPr>
          </w:pPr>
          <w:r>
            <w:rPr>
              <w:noProof/>
            </w:rPr>
            <w:t xml:space="preserve">Bradfield, D. (1990). A Note of Seasonality of Stock Returns on the JSE. </w:t>
          </w:r>
          <w:r>
            <w:rPr>
              <w:i/>
              <w:iCs/>
              <w:noProof/>
            </w:rPr>
            <w:t>The South African Journal of Business Management</w:t>
          </w:r>
          <w:r>
            <w:rPr>
              <w:noProof/>
            </w:rPr>
            <w:t xml:space="preserve"> </w:t>
          </w:r>
          <w:r>
            <w:rPr>
              <w:i/>
              <w:iCs/>
              <w:noProof/>
            </w:rPr>
            <w:t>, 21</w:t>
          </w:r>
          <w:r>
            <w:rPr>
              <w:noProof/>
            </w:rPr>
            <w:t xml:space="preserve"> (1), 7-9.</w:t>
          </w:r>
        </w:p>
        <w:p w:rsidR="005A50A9" w:rsidRDefault="005A50A9" w:rsidP="005A50A9">
          <w:pPr>
            <w:pStyle w:val="Bibliography"/>
            <w:rPr>
              <w:noProof/>
            </w:rPr>
          </w:pPr>
          <w:r>
            <w:rPr>
              <w:noProof/>
            </w:rPr>
            <w:t xml:space="preserve">Campbell, J. Y., Lettau, M., Malkiel, B. G., &amp; Xu, Y. (2002). Have Individual Stocks Become More Volatile? An Empirical Exploration of Idiosyncratic Risk. </w:t>
          </w:r>
          <w:r>
            <w:rPr>
              <w:i/>
              <w:iCs/>
              <w:noProof/>
            </w:rPr>
            <w:t>Journal of Finance</w:t>
          </w:r>
          <w:r>
            <w:rPr>
              <w:noProof/>
            </w:rPr>
            <w:t xml:space="preserve"> </w:t>
          </w:r>
          <w:r>
            <w:rPr>
              <w:i/>
              <w:iCs/>
              <w:noProof/>
            </w:rPr>
            <w:t>, 56</w:t>
          </w:r>
          <w:r>
            <w:rPr>
              <w:noProof/>
            </w:rPr>
            <w:t xml:space="preserve"> (1), 1-43.</w:t>
          </w:r>
        </w:p>
        <w:p w:rsidR="005A50A9" w:rsidRDefault="005A50A9" w:rsidP="005A50A9">
          <w:pPr>
            <w:pStyle w:val="Bibliography"/>
            <w:rPr>
              <w:noProof/>
            </w:rPr>
          </w:pPr>
          <w:r>
            <w:rPr>
              <w:noProof/>
            </w:rPr>
            <w:t xml:space="preserve">Canova, F. (1998). Detrending and Business Cycle Facts. </w:t>
          </w:r>
          <w:r>
            <w:rPr>
              <w:i/>
              <w:iCs/>
              <w:noProof/>
            </w:rPr>
            <w:t>Journal of Monetary Economics</w:t>
          </w:r>
          <w:r>
            <w:rPr>
              <w:noProof/>
            </w:rPr>
            <w:t xml:space="preserve"> (41), 475-512.</w:t>
          </w:r>
        </w:p>
        <w:p w:rsidR="005A50A9" w:rsidRDefault="005A50A9" w:rsidP="005A50A9">
          <w:pPr>
            <w:pStyle w:val="Bibliography"/>
            <w:rPr>
              <w:noProof/>
            </w:rPr>
          </w:pPr>
          <w:r>
            <w:rPr>
              <w:noProof/>
            </w:rPr>
            <w:t xml:space="preserve">Chan, K. C. (1986). Can Tax-Loss Selling Explain the January Seasonal in Stock Returns. </w:t>
          </w:r>
          <w:r>
            <w:rPr>
              <w:i/>
              <w:iCs/>
              <w:noProof/>
            </w:rPr>
            <w:t>Journal of Finance</w:t>
          </w:r>
          <w:r>
            <w:rPr>
              <w:noProof/>
            </w:rPr>
            <w:t xml:space="preserve"> </w:t>
          </w:r>
          <w:r>
            <w:rPr>
              <w:i/>
              <w:iCs/>
              <w:noProof/>
            </w:rPr>
            <w:t>, 41</w:t>
          </w:r>
          <w:r>
            <w:rPr>
              <w:noProof/>
            </w:rPr>
            <w:t xml:space="preserve"> (5), 1115-1128.</w:t>
          </w:r>
        </w:p>
        <w:p w:rsidR="005A50A9" w:rsidRDefault="005A50A9" w:rsidP="005A50A9">
          <w:pPr>
            <w:pStyle w:val="Bibliography"/>
            <w:rPr>
              <w:noProof/>
            </w:rPr>
          </w:pPr>
          <w:r>
            <w:rPr>
              <w:noProof/>
            </w:rPr>
            <w:t xml:space="preserve">Chan, K. C. (1988). On the Contrarian Investment Strategy. </w:t>
          </w:r>
          <w:r>
            <w:rPr>
              <w:i/>
              <w:iCs/>
              <w:noProof/>
            </w:rPr>
            <w:t>Journal of Business</w:t>
          </w:r>
          <w:r>
            <w:rPr>
              <w:noProof/>
            </w:rPr>
            <w:t xml:space="preserve"> </w:t>
          </w:r>
          <w:r>
            <w:rPr>
              <w:i/>
              <w:iCs/>
              <w:noProof/>
            </w:rPr>
            <w:t>, 61</w:t>
          </w:r>
          <w:r>
            <w:rPr>
              <w:noProof/>
            </w:rPr>
            <w:t>, 147-163.</w:t>
          </w:r>
        </w:p>
        <w:p w:rsidR="005A50A9" w:rsidRDefault="005A50A9" w:rsidP="005A50A9">
          <w:pPr>
            <w:pStyle w:val="Bibliography"/>
            <w:rPr>
              <w:noProof/>
            </w:rPr>
          </w:pPr>
          <w:r>
            <w:rPr>
              <w:noProof/>
            </w:rPr>
            <w:t xml:space="preserve">Chan, K. C., &amp; Chen, N.-F. (1988). An Unconditional Asset-Pricing Test and the Role of Firm Size as an Instrumental Variable for Risk. </w:t>
          </w:r>
          <w:r>
            <w:rPr>
              <w:i/>
              <w:iCs/>
              <w:noProof/>
            </w:rPr>
            <w:t>Journal of Finance</w:t>
          </w:r>
          <w:r>
            <w:rPr>
              <w:noProof/>
            </w:rPr>
            <w:t xml:space="preserve"> </w:t>
          </w:r>
          <w:r>
            <w:rPr>
              <w:i/>
              <w:iCs/>
              <w:noProof/>
            </w:rPr>
            <w:t>, 43</w:t>
          </w:r>
          <w:r>
            <w:rPr>
              <w:noProof/>
            </w:rPr>
            <w:t xml:space="preserve"> (2), 309-325.</w:t>
          </w:r>
        </w:p>
        <w:p w:rsidR="005A50A9" w:rsidRDefault="005A50A9" w:rsidP="005A50A9">
          <w:pPr>
            <w:pStyle w:val="Bibliography"/>
            <w:rPr>
              <w:noProof/>
            </w:rPr>
          </w:pPr>
          <w:r>
            <w:rPr>
              <w:noProof/>
            </w:rPr>
            <w:t xml:space="preserve">Chaudhuri, K., &amp; Smiles, S. (2004). Stock Market and Aggregate Economic Activity: Evidence from Australia. </w:t>
          </w:r>
          <w:r>
            <w:rPr>
              <w:i/>
              <w:iCs/>
              <w:noProof/>
            </w:rPr>
            <w:t>Applied Financial Economics</w:t>
          </w:r>
          <w:r>
            <w:rPr>
              <w:noProof/>
            </w:rPr>
            <w:t xml:space="preserve"> </w:t>
          </w:r>
          <w:r>
            <w:rPr>
              <w:i/>
              <w:iCs/>
              <w:noProof/>
            </w:rPr>
            <w:t>, 14</w:t>
          </w:r>
          <w:r>
            <w:rPr>
              <w:noProof/>
            </w:rPr>
            <w:t>, 121-129.</w:t>
          </w:r>
        </w:p>
        <w:p w:rsidR="005A50A9" w:rsidRDefault="005A50A9" w:rsidP="005A50A9">
          <w:pPr>
            <w:pStyle w:val="Bibliography"/>
            <w:rPr>
              <w:noProof/>
            </w:rPr>
          </w:pPr>
          <w:r>
            <w:rPr>
              <w:noProof/>
            </w:rPr>
            <w:t xml:space="preserve">Chen, N., Roll, R., &amp; Ross, R. (1986). Economic Forces and the Stock Market. </w:t>
          </w:r>
          <w:r>
            <w:rPr>
              <w:i/>
              <w:iCs/>
              <w:noProof/>
            </w:rPr>
            <w:t>Journal of Business</w:t>
          </w:r>
          <w:r>
            <w:rPr>
              <w:noProof/>
            </w:rPr>
            <w:t xml:space="preserve"> </w:t>
          </w:r>
          <w:r>
            <w:rPr>
              <w:i/>
              <w:iCs/>
              <w:noProof/>
            </w:rPr>
            <w:t>, 59</w:t>
          </w:r>
          <w:r>
            <w:rPr>
              <w:noProof/>
            </w:rPr>
            <w:t>, 383-403.</w:t>
          </w:r>
        </w:p>
        <w:p w:rsidR="005A50A9" w:rsidRDefault="005A50A9" w:rsidP="005A50A9">
          <w:pPr>
            <w:pStyle w:val="Bibliography"/>
            <w:rPr>
              <w:noProof/>
            </w:rPr>
          </w:pPr>
          <w:r>
            <w:rPr>
              <w:noProof/>
            </w:rPr>
            <w:t xml:space="preserve">Cheung, Y.-W., &amp; Ng, L. K. (1998). International Evidence on the Stock Market and Aggregate Economic Activity. </w:t>
          </w:r>
          <w:r>
            <w:rPr>
              <w:i/>
              <w:iCs/>
              <w:noProof/>
            </w:rPr>
            <w:t>Journal of Empirical Finance</w:t>
          </w:r>
          <w:r>
            <w:rPr>
              <w:noProof/>
            </w:rPr>
            <w:t xml:space="preserve"> </w:t>
          </w:r>
          <w:r>
            <w:rPr>
              <w:i/>
              <w:iCs/>
              <w:noProof/>
            </w:rPr>
            <w:t>, 5</w:t>
          </w:r>
          <w:r>
            <w:rPr>
              <w:noProof/>
            </w:rPr>
            <w:t>, 281-296.</w:t>
          </w:r>
        </w:p>
        <w:p w:rsidR="005A50A9" w:rsidRDefault="005A50A9" w:rsidP="005A50A9">
          <w:pPr>
            <w:pStyle w:val="Bibliography"/>
            <w:rPr>
              <w:noProof/>
            </w:rPr>
          </w:pPr>
          <w:r>
            <w:rPr>
              <w:noProof/>
            </w:rPr>
            <w:t xml:space="preserve">Choi, J. J., Hauser, S., &amp; Kopecky, K. J. (1999). Does the Stock Market Predict Real Activity? Time Series Evidence from the G-7 Countries. </w:t>
          </w:r>
          <w:r>
            <w:rPr>
              <w:i/>
              <w:iCs/>
              <w:noProof/>
            </w:rPr>
            <w:t>Journal of Banking and Finance</w:t>
          </w:r>
          <w:r>
            <w:rPr>
              <w:noProof/>
            </w:rPr>
            <w:t xml:space="preserve"> </w:t>
          </w:r>
          <w:r>
            <w:rPr>
              <w:i/>
              <w:iCs/>
              <w:noProof/>
            </w:rPr>
            <w:t>, 23</w:t>
          </w:r>
          <w:r>
            <w:rPr>
              <w:noProof/>
            </w:rPr>
            <w:t>, 1771-1792.</w:t>
          </w:r>
        </w:p>
        <w:p w:rsidR="005A50A9" w:rsidRDefault="005A50A9" w:rsidP="005A50A9">
          <w:pPr>
            <w:pStyle w:val="Bibliography"/>
            <w:rPr>
              <w:noProof/>
            </w:rPr>
          </w:pPr>
          <w:r>
            <w:rPr>
              <w:noProof/>
            </w:rPr>
            <w:t xml:space="preserve">Christofferson, P., &amp; Slok, T. (2000). Do Asset Prices in Transition Countries Contain Information about Future Economic Activity? </w:t>
          </w:r>
          <w:r>
            <w:rPr>
              <w:i/>
              <w:iCs/>
              <w:noProof/>
            </w:rPr>
            <w:t>IMF Working Paper</w:t>
          </w:r>
          <w:r>
            <w:rPr>
              <w:noProof/>
            </w:rPr>
            <w:t xml:space="preserve"> , 1-25.</w:t>
          </w:r>
        </w:p>
        <w:p w:rsidR="005A50A9" w:rsidRDefault="005A50A9" w:rsidP="005A50A9">
          <w:pPr>
            <w:pStyle w:val="Bibliography"/>
            <w:rPr>
              <w:noProof/>
            </w:rPr>
          </w:pPr>
          <w:r>
            <w:rPr>
              <w:noProof/>
            </w:rPr>
            <w:t xml:space="preserve">Corporation, I. D. (4th Quarter 2010). </w:t>
          </w:r>
          <w:r>
            <w:rPr>
              <w:i/>
              <w:iCs/>
              <w:noProof/>
            </w:rPr>
            <w:t>Sectoral Trends: Performance</w:t>
          </w:r>
          <w:r w:rsidR="00F968FF">
            <w:rPr>
              <w:i/>
              <w:iCs/>
              <w:noProof/>
            </w:rPr>
            <w:t xml:space="preserve"> </w:t>
          </w:r>
          <w:r>
            <w:rPr>
              <w:i/>
              <w:iCs/>
              <w:noProof/>
            </w:rPr>
            <w:t>of the Primary and Secondary Sectors of the South African Economy.</w:t>
          </w:r>
          <w:r>
            <w:rPr>
              <w:noProof/>
            </w:rPr>
            <w:t xml:space="preserve"> Johannesburg: Department of Research and Information.</w:t>
          </w:r>
        </w:p>
        <w:p w:rsidR="005A50A9" w:rsidRDefault="005A50A9" w:rsidP="005A50A9">
          <w:pPr>
            <w:pStyle w:val="Bibliography"/>
            <w:rPr>
              <w:noProof/>
            </w:rPr>
          </w:pPr>
          <w:r>
            <w:rPr>
              <w:noProof/>
            </w:rPr>
            <w:t xml:space="preserve">De Bondt, W., &amp; Thaler, R. (1985). Does the Stock Market Overreact? </w:t>
          </w:r>
          <w:r>
            <w:rPr>
              <w:i/>
              <w:iCs/>
              <w:noProof/>
            </w:rPr>
            <w:t>Journal of Finance</w:t>
          </w:r>
          <w:r>
            <w:rPr>
              <w:noProof/>
            </w:rPr>
            <w:t xml:space="preserve"> </w:t>
          </w:r>
          <w:r>
            <w:rPr>
              <w:i/>
              <w:iCs/>
              <w:noProof/>
            </w:rPr>
            <w:t>, 40</w:t>
          </w:r>
          <w:r>
            <w:rPr>
              <w:noProof/>
            </w:rPr>
            <w:t>, 793-805.</w:t>
          </w:r>
        </w:p>
        <w:p w:rsidR="005A50A9" w:rsidRDefault="005A50A9" w:rsidP="005A50A9">
          <w:pPr>
            <w:pStyle w:val="Bibliography"/>
            <w:rPr>
              <w:noProof/>
            </w:rPr>
          </w:pPr>
          <w:r>
            <w:rPr>
              <w:noProof/>
            </w:rPr>
            <w:t xml:space="preserve">Doan, T., Litterman, R. B., &amp; Sims, C. (1983). Forecasting and Conditional Projection Using Realistic Prior Distributions. </w:t>
          </w:r>
          <w:r>
            <w:rPr>
              <w:i/>
              <w:iCs/>
              <w:noProof/>
            </w:rPr>
            <w:t>Econometric Reviews</w:t>
          </w:r>
          <w:r>
            <w:rPr>
              <w:noProof/>
            </w:rPr>
            <w:t xml:space="preserve"> </w:t>
          </w:r>
          <w:r>
            <w:rPr>
              <w:i/>
              <w:iCs/>
              <w:noProof/>
            </w:rPr>
            <w:t>, 3</w:t>
          </w:r>
          <w:r>
            <w:rPr>
              <w:noProof/>
            </w:rPr>
            <w:t xml:space="preserve"> (1), 1-100.</w:t>
          </w:r>
        </w:p>
        <w:p w:rsidR="005A50A9" w:rsidRDefault="005A50A9" w:rsidP="005A50A9">
          <w:pPr>
            <w:pStyle w:val="Bibliography"/>
            <w:rPr>
              <w:noProof/>
            </w:rPr>
          </w:pPr>
          <w:r>
            <w:rPr>
              <w:noProof/>
            </w:rPr>
            <w:t xml:space="preserve">Estrella, A., &amp; Hardouvelis, G. (1991). The Term Structure as a Predictor of Real Economic Actvity. </w:t>
          </w:r>
          <w:r>
            <w:rPr>
              <w:i/>
              <w:iCs/>
              <w:noProof/>
            </w:rPr>
            <w:t>Journal of Finance</w:t>
          </w:r>
          <w:r>
            <w:rPr>
              <w:noProof/>
            </w:rPr>
            <w:t xml:space="preserve"> </w:t>
          </w:r>
          <w:r>
            <w:rPr>
              <w:i/>
              <w:iCs/>
              <w:noProof/>
            </w:rPr>
            <w:t>, 46</w:t>
          </w:r>
          <w:r>
            <w:rPr>
              <w:noProof/>
            </w:rPr>
            <w:t xml:space="preserve"> (2), 555-576.</w:t>
          </w:r>
        </w:p>
        <w:p w:rsidR="005A50A9" w:rsidRDefault="005A50A9" w:rsidP="005A50A9">
          <w:pPr>
            <w:pStyle w:val="Bibliography"/>
            <w:rPr>
              <w:noProof/>
            </w:rPr>
          </w:pPr>
          <w:r>
            <w:rPr>
              <w:noProof/>
            </w:rPr>
            <w:t xml:space="preserve">Estrella, A., &amp; Mishkin, F. S. (1998). Predicting U.S. Recessions: Financial Variables as Leading Indicators. </w:t>
          </w:r>
          <w:r>
            <w:rPr>
              <w:i/>
              <w:iCs/>
              <w:noProof/>
            </w:rPr>
            <w:t>The Review of Economics and Statistics</w:t>
          </w:r>
          <w:r>
            <w:rPr>
              <w:noProof/>
            </w:rPr>
            <w:t xml:space="preserve"> </w:t>
          </w:r>
          <w:r>
            <w:rPr>
              <w:i/>
              <w:iCs/>
              <w:noProof/>
            </w:rPr>
            <w:t>, 80</w:t>
          </w:r>
          <w:r>
            <w:rPr>
              <w:noProof/>
            </w:rPr>
            <w:t xml:space="preserve"> (1), 45-61.</w:t>
          </w:r>
        </w:p>
        <w:p w:rsidR="005A50A9" w:rsidRDefault="005A50A9" w:rsidP="005A50A9">
          <w:pPr>
            <w:pStyle w:val="Bibliography"/>
            <w:rPr>
              <w:noProof/>
            </w:rPr>
          </w:pPr>
          <w:r>
            <w:rPr>
              <w:noProof/>
            </w:rPr>
            <w:t xml:space="preserve">Fama, E. (1965). The Behaviour of Stock Market Prices. </w:t>
          </w:r>
          <w:r>
            <w:rPr>
              <w:i/>
              <w:iCs/>
              <w:noProof/>
            </w:rPr>
            <w:t>Journal of Business</w:t>
          </w:r>
          <w:r>
            <w:rPr>
              <w:noProof/>
            </w:rPr>
            <w:t xml:space="preserve"> </w:t>
          </w:r>
          <w:r>
            <w:rPr>
              <w:i/>
              <w:iCs/>
              <w:noProof/>
            </w:rPr>
            <w:t>, 38</w:t>
          </w:r>
          <w:r>
            <w:rPr>
              <w:noProof/>
            </w:rPr>
            <w:t>, 34-105.</w:t>
          </w:r>
        </w:p>
        <w:p w:rsidR="005A50A9" w:rsidRDefault="005A50A9" w:rsidP="005A50A9">
          <w:pPr>
            <w:pStyle w:val="Bibliography"/>
            <w:rPr>
              <w:noProof/>
            </w:rPr>
          </w:pPr>
          <w:r>
            <w:rPr>
              <w:noProof/>
            </w:rPr>
            <w:t xml:space="preserve">Fama, E. (1970). Efficient Capital Markets: A Reveiw of Theory and Empirical Work. </w:t>
          </w:r>
          <w:r>
            <w:rPr>
              <w:i/>
              <w:iCs/>
              <w:noProof/>
            </w:rPr>
            <w:t>Journal of Finance</w:t>
          </w:r>
          <w:r>
            <w:rPr>
              <w:noProof/>
            </w:rPr>
            <w:t xml:space="preserve"> , 383-417.</w:t>
          </w:r>
        </w:p>
        <w:p w:rsidR="005A50A9" w:rsidRDefault="005A50A9" w:rsidP="005A50A9">
          <w:pPr>
            <w:pStyle w:val="Bibliography"/>
            <w:rPr>
              <w:noProof/>
            </w:rPr>
          </w:pPr>
          <w:r>
            <w:rPr>
              <w:noProof/>
            </w:rPr>
            <w:t xml:space="preserve">Fama, E. (1981). Stock Returns, Real Activity, Inflation and Money. </w:t>
          </w:r>
          <w:r>
            <w:rPr>
              <w:i/>
              <w:iCs/>
              <w:noProof/>
            </w:rPr>
            <w:t>The American Economic Review</w:t>
          </w:r>
          <w:r>
            <w:rPr>
              <w:noProof/>
            </w:rPr>
            <w:t xml:space="preserve"> </w:t>
          </w:r>
          <w:r>
            <w:rPr>
              <w:i/>
              <w:iCs/>
              <w:noProof/>
            </w:rPr>
            <w:t>, 71</w:t>
          </w:r>
          <w:r>
            <w:rPr>
              <w:noProof/>
            </w:rPr>
            <w:t>, 545-565.</w:t>
          </w:r>
        </w:p>
        <w:p w:rsidR="005A50A9" w:rsidRDefault="005A50A9" w:rsidP="005A50A9">
          <w:pPr>
            <w:pStyle w:val="Bibliography"/>
            <w:rPr>
              <w:noProof/>
            </w:rPr>
          </w:pPr>
          <w:r>
            <w:rPr>
              <w:noProof/>
            </w:rPr>
            <w:t xml:space="preserve">Fama, E. (1990). Stock Returns, Expected Returns and Real Activity. </w:t>
          </w:r>
          <w:r>
            <w:rPr>
              <w:i/>
              <w:iCs/>
              <w:noProof/>
            </w:rPr>
            <w:t>Journal of Finance</w:t>
          </w:r>
          <w:r>
            <w:rPr>
              <w:noProof/>
            </w:rPr>
            <w:t xml:space="preserve"> </w:t>
          </w:r>
          <w:r>
            <w:rPr>
              <w:i/>
              <w:iCs/>
              <w:noProof/>
            </w:rPr>
            <w:t>, 45</w:t>
          </w:r>
          <w:r>
            <w:rPr>
              <w:noProof/>
            </w:rPr>
            <w:t>, 1089-1108.</w:t>
          </w:r>
        </w:p>
        <w:p w:rsidR="005A50A9" w:rsidRDefault="005A50A9" w:rsidP="005A50A9">
          <w:pPr>
            <w:pStyle w:val="Bibliography"/>
            <w:rPr>
              <w:noProof/>
            </w:rPr>
          </w:pPr>
          <w:r>
            <w:rPr>
              <w:noProof/>
            </w:rPr>
            <w:t xml:space="preserve">Fama, E. (1991). Efficient Capital Markets: II. </w:t>
          </w:r>
          <w:r>
            <w:rPr>
              <w:i/>
              <w:iCs/>
              <w:noProof/>
            </w:rPr>
            <w:t>Journal of Finance</w:t>
          </w:r>
          <w:r>
            <w:rPr>
              <w:noProof/>
            </w:rPr>
            <w:t xml:space="preserve"> </w:t>
          </w:r>
          <w:r>
            <w:rPr>
              <w:i/>
              <w:iCs/>
              <w:noProof/>
            </w:rPr>
            <w:t>, 46</w:t>
          </w:r>
          <w:r>
            <w:rPr>
              <w:noProof/>
            </w:rPr>
            <w:t xml:space="preserve"> (5), 1575-1617.</w:t>
          </w:r>
        </w:p>
        <w:p w:rsidR="005A50A9" w:rsidRDefault="005A50A9" w:rsidP="005A50A9">
          <w:pPr>
            <w:pStyle w:val="Bibliography"/>
            <w:rPr>
              <w:noProof/>
            </w:rPr>
          </w:pPr>
          <w:r>
            <w:rPr>
              <w:noProof/>
            </w:rPr>
            <w:t xml:space="preserve">Fama, E., Fisher, L., Jensen, M. C., &amp; Roll, R. (1969). The Adjustment of Stock Prices to New Information. </w:t>
          </w:r>
          <w:r>
            <w:rPr>
              <w:i/>
              <w:iCs/>
              <w:noProof/>
            </w:rPr>
            <w:t>International Economic Review</w:t>
          </w:r>
          <w:r>
            <w:rPr>
              <w:noProof/>
            </w:rPr>
            <w:t xml:space="preserve"> </w:t>
          </w:r>
          <w:r>
            <w:rPr>
              <w:i/>
              <w:iCs/>
              <w:noProof/>
            </w:rPr>
            <w:t>, 10</w:t>
          </w:r>
          <w:r>
            <w:rPr>
              <w:noProof/>
            </w:rPr>
            <w:t xml:space="preserve"> (1), 1-21.</w:t>
          </w:r>
        </w:p>
        <w:p w:rsidR="005A50A9" w:rsidRDefault="005A50A9" w:rsidP="005A50A9">
          <w:pPr>
            <w:pStyle w:val="Bibliography"/>
            <w:rPr>
              <w:noProof/>
            </w:rPr>
          </w:pPr>
          <w:r>
            <w:rPr>
              <w:noProof/>
            </w:rPr>
            <w:t xml:space="preserve">Fama, E., &amp; French, K. (1989). Business Conditions and Expected Returns on Stocks and Bonds. </w:t>
          </w:r>
          <w:r>
            <w:rPr>
              <w:i/>
              <w:iCs/>
              <w:noProof/>
            </w:rPr>
            <w:t>Journal of Financial Economics</w:t>
          </w:r>
          <w:r>
            <w:rPr>
              <w:noProof/>
            </w:rPr>
            <w:t xml:space="preserve"> </w:t>
          </w:r>
          <w:r>
            <w:rPr>
              <w:i/>
              <w:iCs/>
              <w:noProof/>
            </w:rPr>
            <w:t>, 25</w:t>
          </w:r>
          <w:r>
            <w:rPr>
              <w:noProof/>
            </w:rPr>
            <w:t>, 23-49.</w:t>
          </w:r>
        </w:p>
        <w:p w:rsidR="005A50A9" w:rsidRDefault="005A50A9" w:rsidP="005A50A9">
          <w:pPr>
            <w:pStyle w:val="Bibliography"/>
            <w:rPr>
              <w:noProof/>
            </w:rPr>
          </w:pPr>
          <w:r>
            <w:rPr>
              <w:noProof/>
            </w:rPr>
            <w:t xml:space="preserve">Fama, E., &amp; Schwert, S. G. (1977). Asset Returns and Inflation. </w:t>
          </w:r>
          <w:r>
            <w:rPr>
              <w:i/>
              <w:iCs/>
              <w:noProof/>
            </w:rPr>
            <w:t>Journal of Financial Economics, 5</w:t>
          </w:r>
          <w:r>
            <w:rPr>
              <w:noProof/>
            </w:rPr>
            <w:t xml:space="preserve"> (2), 115-146.</w:t>
          </w:r>
        </w:p>
        <w:p w:rsidR="005A50A9" w:rsidRDefault="005A50A9" w:rsidP="005A50A9">
          <w:pPr>
            <w:pStyle w:val="Bibliography"/>
            <w:rPr>
              <w:noProof/>
            </w:rPr>
          </w:pPr>
          <w:r>
            <w:rPr>
              <w:noProof/>
            </w:rPr>
            <w:t xml:space="preserve">Ferson, W. E., &amp; Harvey, C. R. (1991). The Variation of Economic Risk Premiums. </w:t>
          </w:r>
          <w:r>
            <w:rPr>
              <w:i/>
              <w:iCs/>
              <w:noProof/>
            </w:rPr>
            <w:t>The Journal of Political Economy</w:t>
          </w:r>
          <w:r>
            <w:rPr>
              <w:noProof/>
            </w:rPr>
            <w:t xml:space="preserve"> </w:t>
          </w:r>
          <w:r>
            <w:rPr>
              <w:i/>
              <w:iCs/>
              <w:noProof/>
            </w:rPr>
            <w:t>, 99</w:t>
          </w:r>
          <w:r>
            <w:rPr>
              <w:noProof/>
            </w:rPr>
            <w:t xml:space="preserve"> (2), 385-415.</w:t>
          </w:r>
        </w:p>
        <w:p w:rsidR="005A50A9" w:rsidRDefault="005A50A9" w:rsidP="005A50A9">
          <w:pPr>
            <w:pStyle w:val="Bibliography"/>
            <w:rPr>
              <w:noProof/>
            </w:rPr>
          </w:pPr>
          <w:r>
            <w:rPr>
              <w:noProof/>
            </w:rPr>
            <w:t xml:space="preserve">Ferson, W. E., &amp; Harvey, C. R. (1993). The Risk and Predictability of International Equity Returns. </w:t>
          </w:r>
          <w:r>
            <w:rPr>
              <w:i/>
              <w:iCs/>
              <w:noProof/>
            </w:rPr>
            <w:t>The Review of Financial Studies</w:t>
          </w:r>
          <w:r>
            <w:rPr>
              <w:noProof/>
            </w:rPr>
            <w:t xml:space="preserve"> </w:t>
          </w:r>
          <w:r>
            <w:rPr>
              <w:i/>
              <w:iCs/>
              <w:noProof/>
            </w:rPr>
            <w:t>, 6</w:t>
          </w:r>
          <w:r>
            <w:rPr>
              <w:noProof/>
            </w:rPr>
            <w:t xml:space="preserve"> (3), 527-566.</w:t>
          </w:r>
        </w:p>
        <w:p w:rsidR="005A50A9" w:rsidRDefault="005A50A9" w:rsidP="005A50A9">
          <w:pPr>
            <w:pStyle w:val="Bibliography"/>
            <w:rPr>
              <w:noProof/>
            </w:rPr>
          </w:pPr>
          <w:r>
            <w:rPr>
              <w:noProof/>
            </w:rPr>
            <w:t xml:space="preserve">Fischer, S., &amp; Merton, R. C. (1984). Macroeconomics and Finance: The Role of the Stock Market. </w:t>
          </w:r>
          <w:r>
            <w:rPr>
              <w:i/>
              <w:iCs/>
              <w:noProof/>
            </w:rPr>
            <w:t>NBER Working Paper No1291</w:t>
          </w:r>
          <w:r>
            <w:rPr>
              <w:noProof/>
            </w:rPr>
            <w:t xml:space="preserve"> , 1-63.</w:t>
          </w:r>
        </w:p>
        <w:p w:rsidR="005A50A9" w:rsidRDefault="005A50A9" w:rsidP="005A50A9">
          <w:pPr>
            <w:pStyle w:val="Bibliography"/>
            <w:rPr>
              <w:noProof/>
            </w:rPr>
          </w:pPr>
          <w:r>
            <w:rPr>
              <w:noProof/>
            </w:rPr>
            <w:t xml:space="preserve">Fisher, L. (1966). Some New Stock Market Indexes. </w:t>
          </w:r>
          <w:r>
            <w:rPr>
              <w:i/>
              <w:iCs/>
              <w:noProof/>
            </w:rPr>
            <w:t>Journal of Business</w:t>
          </w:r>
          <w:r>
            <w:rPr>
              <w:noProof/>
            </w:rPr>
            <w:t xml:space="preserve"> </w:t>
          </w:r>
          <w:r>
            <w:rPr>
              <w:i/>
              <w:iCs/>
              <w:noProof/>
            </w:rPr>
            <w:t>, 39</w:t>
          </w:r>
          <w:r>
            <w:rPr>
              <w:noProof/>
            </w:rPr>
            <w:t xml:space="preserve"> (1), 191-225.</w:t>
          </w:r>
        </w:p>
        <w:p w:rsidR="005A50A9" w:rsidRDefault="005A50A9" w:rsidP="005A50A9">
          <w:pPr>
            <w:pStyle w:val="Bibliography"/>
            <w:rPr>
              <w:noProof/>
            </w:rPr>
          </w:pPr>
          <w:r>
            <w:rPr>
              <w:noProof/>
            </w:rPr>
            <w:t xml:space="preserve">Fountas, S., &amp; Segredakis, K. (2002). Emerging Stock Markets Return Seasonalities: The January Effect and the Tax Loss Selling Hypothesis. </w:t>
          </w:r>
          <w:r>
            <w:rPr>
              <w:i/>
              <w:iCs/>
              <w:noProof/>
            </w:rPr>
            <w:t>Applied Financial Economics</w:t>
          </w:r>
          <w:r>
            <w:rPr>
              <w:noProof/>
            </w:rPr>
            <w:t xml:space="preserve"> (12), 291-299.</w:t>
          </w:r>
        </w:p>
        <w:p w:rsidR="005A50A9" w:rsidRDefault="005A50A9" w:rsidP="005A50A9">
          <w:pPr>
            <w:pStyle w:val="Bibliography"/>
            <w:rPr>
              <w:noProof/>
            </w:rPr>
          </w:pPr>
          <w:r>
            <w:rPr>
              <w:noProof/>
            </w:rPr>
            <w:t xml:space="preserve">French, K. R., &amp; Roll, R. (1986). Stock Returns Variances: The Arrival of new Information and the Reaction of Traders. </w:t>
          </w:r>
          <w:r>
            <w:rPr>
              <w:i/>
              <w:iCs/>
              <w:noProof/>
            </w:rPr>
            <w:t>Journal of Financial Economics</w:t>
          </w:r>
          <w:r>
            <w:rPr>
              <w:noProof/>
            </w:rPr>
            <w:t xml:space="preserve"> </w:t>
          </w:r>
          <w:r>
            <w:rPr>
              <w:i/>
              <w:iCs/>
              <w:noProof/>
            </w:rPr>
            <w:t>, 17</w:t>
          </w:r>
          <w:r>
            <w:rPr>
              <w:noProof/>
            </w:rPr>
            <w:t>, 5-26.</w:t>
          </w:r>
        </w:p>
        <w:p w:rsidR="005A50A9" w:rsidRDefault="005A50A9" w:rsidP="005A50A9">
          <w:pPr>
            <w:pStyle w:val="Bibliography"/>
            <w:rPr>
              <w:noProof/>
            </w:rPr>
          </w:pPr>
          <w:r>
            <w:rPr>
              <w:noProof/>
            </w:rPr>
            <w:t xml:space="preserve">French, K. R., Ruback, R. S., &amp; Schwert, G. (1981). Effects of Nominal Contracting on Stock Returns. </w:t>
          </w:r>
          <w:r>
            <w:rPr>
              <w:i/>
              <w:iCs/>
              <w:noProof/>
            </w:rPr>
            <w:t>Sloan School of Management Working Paper</w:t>
          </w:r>
          <w:r>
            <w:rPr>
              <w:noProof/>
            </w:rPr>
            <w:t xml:space="preserve"> , 1-65.</w:t>
          </w:r>
        </w:p>
        <w:p w:rsidR="005A50A9" w:rsidRDefault="005A50A9" w:rsidP="005A50A9">
          <w:pPr>
            <w:pStyle w:val="Bibliography"/>
            <w:rPr>
              <w:noProof/>
            </w:rPr>
          </w:pPr>
          <w:r>
            <w:rPr>
              <w:noProof/>
            </w:rPr>
            <w:t xml:space="preserve">French, K., Schwert, W., &amp; Stambaugh, R. (1987). Expected Stock Returns and Volatility. </w:t>
          </w:r>
          <w:r>
            <w:rPr>
              <w:i/>
              <w:iCs/>
              <w:noProof/>
            </w:rPr>
            <w:t>Journal of Financial Economics</w:t>
          </w:r>
          <w:r>
            <w:rPr>
              <w:noProof/>
            </w:rPr>
            <w:t xml:space="preserve"> </w:t>
          </w:r>
          <w:r>
            <w:rPr>
              <w:i/>
              <w:iCs/>
              <w:noProof/>
            </w:rPr>
            <w:t>, 19</w:t>
          </w:r>
          <w:r>
            <w:rPr>
              <w:noProof/>
            </w:rPr>
            <w:t>, 3-29.</w:t>
          </w:r>
        </w:p>
        <w:p w:rsidR="005A50A9" w:rsidRDefault="005A50A9" w:rsidP="005A50A9">
          <w:pPr>
            <w:pStyle w:val="Bibliography"/>
            <w:rPr>
              <w:noProof/>
            </w:rPr>
          </w:pPr>
          <w:r>
            <w:rPr>
              <w:noProof/>
            </w:rPr>
            <w:t xml:space="preserve">Friedman, B. M., &amp; Kuttner, K. N. (1992). Money, Income, Prices and Interest Rates. </w:t>
          </w:r>
          <w:r>
            <w:rPr>
              <w:i/>
              <w:iCs/>
              <w:noProof/>
            </w:rPr>
            <w:t>The American Economic Review</w:t>
          </w:r>
          <w:r>
            <w:rPr>
              <w:noProof/>
            </w:rPr>
            <w:t xml:space="preserve"> </w:t>
          </w:r>
          <w:r>
            <w:rPr>
              <w:i/>
              <w:iCs/>
              <w:noProof/>
            </w:rPr>
            <w:t>, 82</w:t>
          </w:r>
          <w:r>
            <w:rPr>
              <w:noProof/>
            </w:rPr>
            <w:t xml:space="preserve"> (3), 472-492.</w:t>
          </w:r>
        </w:p>
        <w:p w:rsidR="005A50A9" w:rsidRDefault="005A50A9" w:rsidP="005A50A9">
          <w:pPr>
            <w:pStyle w:val="Bibliography"/>
            <w:rPr>
              <w:noProof/>
            </w:rPr>
          </w:pPr>
          <w:r>
            <w:rPr>
              <w:noProof/>
            </w:rPr>
            <w:t xml:space="preserve">Geske, R., &amp; Roll, R. (1983). The Monetary and Fiscal Linkage between Stock Returns and Inflation. </w:t>
          </w:r>
          <w:r>
            <w:rPr>
              <w:i/>
              <w:iCs/>
              <w:noProof/>
            </w:rPr>
            <w:t>Journal of Finance</w:t>
          </w:r>
          <w:r>
            <w:rPr>
              <w:noProof/>
            </w:rPr>
            <w:t xml:space="preserve"> </w:t>
          </w:r>
          <w:r>
            <w:rPr>
              <w:i/>
              <w:iCs/>
              <w:noProof/>
            </w:rPr>
            <w:t>, 38</w:t>
          </w:r>
          <w:r>
            <w:rPr>
              <w:noProof/>
            </w:rPr>
            <w:t>, 1-33.</w:t>
          </w:r>
        </w:p>
        <w:p w:rsidR="005A50A9" w:rsidRDefault="005A50A9" w:rsidP="005A50A9">
          <w:pPr>
            <w:pStyle w:val="Bibliography"/>
            <w:rPr>
              <w:noProof/>
            </w:rPr>
          </w:pPr>
          <w:r>
            <w:rPr>
              <w:noProof/>
            </w:rPr>
            <w:t xml:space="preserve">Geyser, J. M., &amp; Lowies, G. A. (2001). The Impact of Inflation and Stock Prices in two SADC Countries. </w:t>
          </w:r>
          <w:r>
            <w:rPr>
              <w:i/>
              <w:iCs/>
              <w:noProof/>
            </w:rPr>
            <w:t>Meditari Accountacy Research</w:t>
          </w:r>
          <w:r>
            <w:rPr>
              <w:noProof/>
            </w:rPr>
            <w:t xml:space="preserve"> </w:t>
          </w:r>
          <w:r>
            <w:rPr>
              <w:i/>
              <w:iCs/>
              <w:noProof/>
            </w:rPr>
            <w:t>, 9</w:t>
          </w:r>
          <w:r>
            <w:rPr>
              <w:noProof/>
            </w:rPr>
            <w:t>, 109-122.</w:t>
          </w:r>
        </w:p>
        <w:p w:rsidR="005A50A9" w:rsidRDefault="005A50A9" w:rsidP="005A50A9">
          <w:pPr>
            <w:pStyle w:val="Bibliography"/>
            <w:rPr>
              <w:noProof/>
            </w:rPr>
          </w:pPr>
          <w:r>
            <w:rPr>
              <w:noProof/>
            </w:rPr>
            <w:t xml:space="preserve">Guo, H. (2002). Why are Stock Market Returns Correlated with Future Economic Activities? </w:t>
          </w:r>
          <w:r>
            <w:rPr>
              <w:i/>
              <w:iCs/>
              <w:noProof/>
            </w:rPr>
            <w:t>The Federal Reserve Bank of St. Louis Review</w:t>
          </w:r>
          <w:r>
            <w:rPr>
              <w:noProof/>
            </w:rPr>
            <w:t xml:space="preserve"> </w:t>
          </w:r>
          <w:r>
            <w:rPr>
              <w:i/>
              <w:iCs/>
              <w:noProof/>
            </w:rPr>
            <w:t>, 84</w:t>
          </w:r>
          <w:r>
            <w:rPr>
              <w:noProof/>
            </w:rPr>
            <w:t xml:space="preserve"> (5), 19-33.</w:t>
          </w:r>
        </w:p>
        <w:p w:rsidR="005A50A9" w:rsidRDefault="005A50A9" w:rsidP="005A50A9">
          <w:pPr>
            <w:pStyle w:val="Bibliography"/>
            <w:rPr>
              <w:noProof/>
            </w:rPr>
          </w:pPr>
          <w:r>
            <w:rPr>
              <w:noProof/>
            </w:rPr>
            <w:t xml:space="preserve">Hassapis, C., &amp; Kalyvitis, S. (2002). Investigating the Links between Growth and Real Stock Prices with Empirical Evidence from the G-7 Economies. </w:t>
          </w:r>
          <w:r>
            <w:rPr>
              <w:i/>
              <w:iCs/>
              <w:noProof/>
            </w:rPr>
            <w:t>The Quarterly Review of Economics and Finance</w:t>
          </w:r>
          <w:r>
            <w:rPr>
              <w:noProof/>
            </w:rPr>
            <w:t xml:space="preserve"> </w:t>
          </w:r>
          <w:r>
            <w:rPr>
              <w:i/>
              <w:iCs/>
              <w:noProof/>
            </w:rPr>
            <w:t>, 42</w:t>
          </w:r>
          <w:r>
            <w:rPr>
              <w:noProof/>
            </w:rPr>
            <w:t>, 543-575.</w:t>
          </w:r>
        </w:p>
        <w:p w:rsidR="005A50A9" w:rsidRDefault="005A50A9" w:rsidP="005A50A9">
          <w:pPr>
            <w:pStyle w:val="Bibliography"/>
            <w:rPr>
              <w:noProof/>
            </w:rPr>
          </w:pPr>
          <w:r>
            <w:rPr>
              <w:noProof/>
            </w:rPr>
            <w:t xml:space="preserve">Henry, O. T., Olekalns, N., &amp; Thong, J. (2004). Do Stock Market Returns Predict Changes to Output? Evidence from a Nonlinear Panel Data Model. </w:t>
          </w:r>
          <w:r>
            <w:rPr>
              <w:i/>
              <w:iCs/>
              <w:noProof/>
            </w:rPr>
            <w:t>Empirical Economics</w:t>
          </w:r>
          <w:r>
            <w:rPr>
              <w:noProof/>
            </w:rPr>
            <w:t xml:space="preserve"> </w:t>
          </w:r>
          <w:r>
            <w:rPr>
              <w:i/>
              <w:iCs/>
              <w:noProof/>
            </w:rPr>
            <w:t>, 29</w:t>
          </w:r>
          <w:r>
            <w:rPr>
              <w:noProof/>
            </w:rPr>
            <w:t>, 527-540.</w:t>
          </w:r>
        </w:p>
        <w:p w:rsidR="005A50A9" w:rsidRDefault="005A50A9" w:rsidP="005A50A9">
          <w:pPr>
            <w:pStyle w:val="Bibliography"/>
            <w:rPr>
              <w:noProof/>
            </w:rPr>
          </w:pPr>
          <w:r>
            <w:rPr>
              <w:noProof/>
            </w:rPr>
            <w:t xml:space="preserve">Hodrick, R., &amp; Prescott, E. (1981). Post-War U.S. Business Cycles: An Empirical Investigation. </w:t>
          </w:r>
          <w:r>
            <w:rPr>
              <w:i/>
              <w:iCs/>
              <w:noProof/>
            </w:rPr>
            <w:t>Journal of Money Credit and Banking</w:t>
          </w:r>
          <w:r>
            <w:rPr>
              <w:noProof/>
            </w:rPr>
            <w:t xml:space="preserve"> </w:t>
          </w:r>
          <w:r>
            <w:rPr>
              <w:i/>
              <w:iCs/>
              <w:noProof/>
            </w:rPr>
            <w:t>, 19</w:t>
          </w:r>
          <w:r>
            <w:rPr>
              <w:noProof/>
            </w:rPr>
            <w:t>, 1-16.</w:t>
          </w:r>
        </w:p>
        <w:p w:rsidR="005A50A9" w:rsidRDefault="005A50A9" w:rsidP="005A50A9">
          <w:pPr>
            <w:pStyle w:val="Bibliography"/>
            <w:rPr>
              <w:noProof/>
            </w:rPr>
          </w:pPr>
          <w:r>
            <w:rPr>
              <w:noProof/>
            </w:rPr>
            <w:t xml:space="preserve">Ibrahim, M. H. (2010). An Empirical Analysis of Real Activity and Stock Returns in an Emerging Market. </w:t>
          </w:r>
          <w:r>
            <w:rPr>
              <w:i/>
              <w:iCs/>
              <w:noProof/>
            </w:rPr>
            <w:t>Economic Analysis and Policy</w:t>
          </w:r>
          <w:r>
            <w:rPr>
              <w:noProof/>
            </w:rPr>
            <w:t xml:space="preserve"> </w:t>
          </w:r>
          <w:r>
            <w:rPr>
              <w:i/>
              <w:iCs/>
              <w:noProof/>
            </w:rPr>
            <w:t>, 40</w:t>
          </w:r>
          <w:r>
            <w:rPr>
              <w:noProof/>
            </w:rPr>
            <w:t xml:space="preserve"> (2), 263-271.</w:t>
          </w:r>
        </w:p>
        <w:p w:rsidR="005A50A9" w:rsidRDefault="005A50A9" w:rsidP="005A50A9">
          <w:pPr>
            <w:pStyle w:val="Bibliography"/>
            <w:rPr>
              <w:noProof/>
            </w:rPr>
          </w:pPr>
          <w:r>
            <w:rPr>
              <w:noProof/>
            </w:rPr>
            <w:t xml:space="preserve">Jefferis, K., &amp; Smith, G. (2005). The Changing Efficiencies of the African Stock Markets. </w:t>
          </w:r>
          <w:r>
            <w:rPr>
              <w:i/>
              <w:iCs/>
              <w:noProof/>
            </w:rPr>
            <w:t>South African Journal of Economics</w:t>
          </w:r>
          <w:r>
            <w:rPr>
              <w:noProof/>
            </w:rPr>
            <w:t xml:space="preserve"> </w:t>
          </w:r>
          <w:r>
            <w:rPr>
              <w:i/>
              <w:iCs/>
              <w:noProof/>
            </w:rPr>
            <w:t>, 73</w:t>
          </w:r>
          <w:r>
            <w:rPr>
              <w:noProof/>
            </w:rPr>
            <w:t xml:space="preserve"> (1), 54-67.</w:t>
          </w:r>
        </w:p>
        <w:p w:rsidR="005A50A9" w:rsidRDefault="005A50A9" w:rsidP="005A50A9">
          <w:pPr>
            <w:pStyle w:val="Bibliography"/>
            <w:rPr>
              <w:noProof/>
            </w:rPr>
          </w:pPr>
          <w:r>
            <w:rPr>
              <w:noProof/>
            </w:rPr>
            <w:t xml:space="preserve">Jegadeesh, N., &amp; Titman, S. (1993). Returns to Buying Winners and Selling Losers: Implications for Stock Market Efficiency. </w:t>
          </w:r>
          <w:r>
            <w:rPr>
              <w:i/>
              <w:iCs/>
              <w:noProof/>
            </w:rPr>
            <w:t>Journal of Finance</w:t>
          </w:r>
          <w:r>
            <w:rPr>
              <w:noProof/>
            </w:rPr>
            <w:t xml:space="preserve"> </w:t>
          </w:r>
          <w:r>
            <w:rPr>
              <w:i/>
              <w:iCs/>
              <w:noProof/>
            </w:rPr>
            <w:t>, 48</w:t>
          </w:r>
          <w:r>
            <w:rPr>
              <w:noProof/>
            </w:rPr>
            <w:t xml:space="preserve"> (1), 65-91.</w:t>
          </w:r>
        </w:p>
        <w:p w:rsidR="005A50A9" w:rsidRDefault="005A50A9" w:rsidP="005A50A9">
          <w:pPr>
            <w:pStyle w:val="Bibliography"/>
            <w:rPr>
              <w:noProof/>
            </w:rPr>
          </w:pPr>
          <w:r>
            <w:rPr>
              <w:noProof/>
            </w:rPr>
            <w:t xml:space="preserve">Jensen, M., &amp; Benington, G. (1970). Random Walks and Technical Theories: Some Additional Evidence. </w:t>
          </w:r>
          <w:r>
            <w:rPr>
              <w:i/>
              <w:iCs/>
              <w:noProof/>
            </w:rPr>
            <w:t>Journal of Finance</w:t>
          </w:r>
          <w:r>
            <w:rPr>
              <w:noProof/>
            </w:rPr>
            <w:t xml:space="preserve"> </w:t>
          </w:r>
          <w:r>
            <w:rPr>
              <w:i/>
              <w:iCs/>
              <w:noProof/>
            </w:rPr>
            <w:t>, 25</w:t>
          </w:r>
          <w:r>
            <w:rPr>
              <w:noProof/>
            </w:rPr>
            <w:t xml:space="preserve"> (2), 469-482.</w:t>
          </w:r>
        </w:p>
        <w:p w:rsidR="005A50A9" w:rsidRDefault="005A50A9" w:rsidP="005A50A9">
          <w:pPr>
            <w:pStyle w:val="Bibliography"/>
            <w:rPr>
              <w:noProof/>
            </w:rPr>
          </w:pPr>
          <w:r>
            <w:rPr>
              <w:noProof/>
            </w:rPr>
            <w:t xml:space="preserve">Kaul, G. (1987). Stock Returns and Inflation: The Role of the Monetary Sector. </w:t>
          </w:r>
          <w:r>
            <w:rPr>
              <w:i/>
              <w:iCs/>
              <w:noProof/>
            </w:rPr>
            <w:t>Journal of Financial Economics</w:t>
          </w:r>
          <w:r>
            <w:rPr>
              <w:noProof/>
            </w:rPr>
            <w:t xml:space="preserve"> </w:t>
          </w:r>
          <w:r>
            <w:rPr>
              <w:i/>
              <w:iCs/>
              <w:noProof/>
            </w:rPr>
            <w:t>, 18</w:t>
          </w:r>
          <w:r>
            <w:rPr>
              <w:noProof/>
            </w:rPr>
            <w:t>, 253-276.</w:t>
          </w:r>
        </w:p>
        <w:p w:rsidR="005A50A9" w:rsidRDefault="005A50A9" w:rsidP="005A50A9">
          <w:pPr>
            <w:pStyle w:val="Bibliography"/>
            <w:rPr>
              <w:noProof/>
            </w:rPr>
          </w:pPr>
          <w:r>
            <w:rPr>
              <w:noProof/>
            </w:rPr>
            <w:t xml:space="preserve">Keim, D. (1983). Size-Related Anomalies and Stock Return Seasonality: Further Empirical Evidence. </w:t>
          </w:r>
          <w:r>
            <w:rPr>
              <w:i/>
              <w:iCs/>
              <w:noProof/>
            </w:rPr>
            <w:t>Journal of Financial Economics</w:t>
          </w:r>
          <w:r>
            <w:rPr>
              <w:noProof/>
            </w:rPr>
            <w:t xml:space="preserve"> (12), 13-32.</w:t>
          </w:r>
        </w:p>
        <w:p w:rsidR="005A50A9" w:rsidRDefault="005A50A9" w:rsidP="005A50A9">
          <w:pPr>
            <w:pStyle w:val="Bibliography"/>
            <w:rPr>
              <w:noProof/>
            </w:rPr>
          </w:pPr>
          <w:r>
            <w:rPr>
              <w:noProof/>
            </w:rPr>
            <w:t xml:space="preserve">Kendall, M. G. (1953). The Analysis of Economic Time Series. </w:t>
          </w:r>
          <w:r>
            <w:rPr>
              <w:i/>
              <w:iCs/>
              <w:noProof/>
            </w:rPr>
            <w:t>Journal of the Royal Statistical Society (Series A)</w:t>
          </w:r>
          <w:r>
            <w:rPr>
              <w:noProof/>
            </w:rPr>
            <w:t xml:space="preserve"> </w:t>
          </w:r>
          <w:r>
            <w:rPr>
              <w:i/>
              <w:iCs/>
              <w:noProof/>
            </w:rPr>
            <w:t>, 116</w:t>
          </w:r>
          <w:r>
            <w:rPr>
              <w:noProof/>
            </w:rPr>
            <w:t xml:space="preserve"> (1), 11-25.</w:t>
          </w:r>
        </w:p>
        <w:p w:rsidR="005A50A9" w:rsidRDefault="005A50A9" w:rsidP="005A50A9">
          <w:pPr>
            <w:pStyle w:val="Bibliography"/>
            <w:rPr>
              <w:noProof/>
            </w:rPr>
          </w:pPr>
          <w:r>
            <w:rPr>
              <w:noProof/>
            </w:rPr>
            <w:t xml:space="preserve">Kleidon, A. W. (1986). Variance Bound Tests and Stock Price Valuation Models. </w:t>
          </w:r>
          <w:r>
            <w:rPr>
              <w:i/>
              <w:iCs/>
              <w:noProof/>
            </w:rPr>
            <w:t>The Journal of Political Economy</w:t>
          </w:r>
          <w:r>
            <w:rPr>
              <w:noProof/>
            </w:rPr>
            <w:t xml:space="preserve"> </w:t>
          </w:r>
          <w:r>
            <w:rPr>
              <w:i/>
              <w:iCs/>
              <w:noProof/>
            </w:rPr>
            <w:t>, 94</w:t>
          </w:r>
          <w:r>
            <w:rPr>
              <w:noProof/>
            </w:rPr>
            <w:t xml:space="preserve"> (5), 953-1001.</w:t>
          </w:r>
        </w:p>
        <w:p w:rsidR="005A50A9" w:rsidRDefault="005A50A9" w:rsidP="005A50A9">
          <w:pPr>
            <w:pStyle w:val="Bibliography"/>
            <w:rPr>
              <w:noProof/>
            </w:rPr>
          </w:pPr>
          <w:r>
            <w:rPr>
              <w:noProof/>
            </w:rPr>
            <w:t xml:space="preserve">Kuttner, K. N. (2009). Equity Prices as Leading Indicators: The Asian Experience. </w:t>
          </w:r>
          <w:r>
            <w:rPr>
              <w:i/>
              <w:iCs/>
              <w:noProof/>
            </w:rPr>
            <w:t>Bank for International Settlement Working Papers</w:t>
          </w:r>
          <w:r>
            <w:rPr>
              <w:noProof/>
            </w:rPr>
            <w:t xml:space="preserve"> </w:t>
          </w:r>
          <w:r>
            <w:rPr>
              <w:i/>
              <w:iCs/>
              <w:noProof/>
            </w:rPr>
            <w:t>, 39</w:t>
          </w:r>
          <w:r>
            <w:rPr>
              <w:noProof/>
            </w:rPr>
            <w:t>, 167-192.</w:t>
          </w:r>
        </w:p>
        <w:p w:rsidR="005A50A9" w:rsidRDefault="005A50A9" w:rsidP="005A50A9">
          <w:pPr>
            <w:pStyle w:val="Bibliography"/>
            <w:rPr>
              <w:noProof/>
            </w:rPr>
          </w:pPr>
          <w:r>
            <w:rPr>
              <w:noProof/>
            </w:rPr>
            <w:t xml:space="preserve">Kwon, C. S., &amp; Shin, S. T. (1999). Co-Integration and Causality between Macroeconomic Variables and Stock Market Returns. </w:t>
          </w:r>
          <w:r>
            <w:rPr>
              <w:i/>
              <w:iCs/>
              <w:noProof/>
            </w:rPr>
            <w:t>Global Finance Journal</w:t>
          </w:r>
          <w:r>
            <w:rPr>
              <w:noProof/>
            </w:rPr>
            <w:t xml:space="preserve"> </w:t>
          </w:r>
          <w:r>
            <w:rPr>
              <w:i/>
              <w:iCs/>
              <w:noProof/>
            </w:rPr>
            <w:t>, 10</w:t>
          </w:r>
          <w:r>
            <w:rPr>
              <w:noProof/>
            </w:rPr>
            <w:t>, 71-81.</w:t>
          </w:r>
        </w:p>
        <w:p w:rsidR="005A50A9" w:rsidRDefault="005A50A9" w:rsidP="005A50A9">
          <w:pPr>
            <w:pStyle w:val="Bibliography"/>
            <w:rPr>
              <w:noProof/>
            </w:rPr>
          </w:pPr>
          <w:r>
            <w:rPr>
              <w:noProof/>
            </w:rPr>
            <w:t xml:space="preserve">Lakonishok, J., &amp; Smidt, S. (1984). Volume and Turn-of-the-Year Behaviour. </w:t>
          </w:r>
          <w:r>
            <w:rPr>
              <w:i/>
              <w:iCs/>
              <w:noProof/>
            </w:rPr>
            <w:t>Journal of Financial Economics</w:t>
          </w:r>
          <w:r>
            <w:rPr>
              <w:noProof/>
            </w:rPr>
            <w:t xml:space="preserve"> (13), 435-455.</w:t>
          </w:r>
        </w:p>
        <w:p w:rsidR="005A50A9" w:rsidRDefault="005A50A9" w:rsidP="005A50A9">
          <w:pPr>
            <w:pStyle w:val="Bibliography"/>
            <w:rPr>
              <w:noProof/>
            </w:rPr>
          </w:pPr>
          <w:r>
            <w:rPr>
              <w:noProof/>
            </w:rPr>
            <w:t xml:space="preserve">Lakonishok, J., &amp; Smidt, S. (1988). Are Seasonal Anomalies Real? A Ninety-Year Perspective. </w:t>
          </w:r>
          <w:r>
            <w:rPr>
              <w:i/>
              <w:iCs/>
              <w:noProof/>
            </w:rPr>
            <w:t>The Reveiw of Financial Studies</w:t>
          </w:r>
          <w:r>
            <w:rPr>
              <w:noProof/>
            </w:rPr>
            <w:t xml:space="preserve"> </w:t>
          </w:r>
          <w:r>
            <w:rPr>
              <w:i/>
              <w:iCs/>
              <w:noProof/>
            </w:rPr>
            <w:t>, I</w:t>
          </w:r>
          <w:r>
            <w:rPr>
              <w:noProof/>
            </w:rPr>
            <w:t xml:space="preserve"> (4), 403-425.</w:t>
          </w:r>
        </w:p>
        <w:p w:rsidR="005A50A9" w:rsidRDefault="005A50A9" w:rsidP="005A50A9">
          <w:pPr>
            <w:pStyle w:val="Bibliography"/>
            <w:rPr>
              <w:noProof/>
            </w:rPr>
          </w:pPr>
          <w:r>
            <w:rPr>
              <w:noProof/>
            </w:rPr>
            <w:t xml:space="preserve">LeRoy, S. F., &amp; Porter, R. D. (1981). The Present Value Relation: Tests Based on Variance Bonds. </w:t>
          </w:r>
          <w:r>
            <w:rPr>
              <w:i/>
              <w:iCs/>
              <w:noProof/>
            </w:rPr>
            <w:t>Econometrica</w:t>
          </w:r>
          <w:r>
            <w:rPr>
              <w:noProof/>
            </w:rPr>
            <w:t xml:space="preserve"> </w:t>
          </w:r>
          <w:r>
            <w:rPr>
              <w:i/>
              <w:iCs/>
              <w:noProof/>
            </w:rPr>
            <w:t>, 49</w:t>
          </w:r>
          <w:r>
            <w:rPr>
              <w:noProof/>
            </w:rPr>
            <w:t xml:space="preserve"> (3), 555-574.</w:t>
          </w:r>
        </w:p>
        <w:p w:rsidR="005A50A9" w:rsidRDefault="005A50A9" w:rsidP="005A50A9">
          <w:pPr>
            <w:pStyle w:val="Bibliography"/>
            <w:rPr>
              <w:noProof/>
            </w:rPr>
          </w:pPr>
          <w:r>
            <w:rPr>
              <w:noProof/>
            </w:rPr>
            <w:t>Lettau, M., &amp; Ludvigson, S. (2001). Resurrecting the (C)CAPM: A Cross</w:t>
          </w:r>
          <w:r>
            <w:rPr>
              <w:rFonts w:ascii="Cambria Math" w:hAnsi="Cambria Math" w:cs="Cambria Math"/>
              <w:noProof/>
            </w:rPr>
            <w:t>‐</w:t>
          </w:r>
          <w:r>
            <w:rPr>
              <w:rFonts w:cs="Times New Roman"/>
              <w:noProof/>
            </w:rPr>
            <w:t>Sectional Test When Risk Premia Are Time</w:t>
          </w:r>
          <w:r>
            <w:rPr>
              <w:rFonts w:ascii="Cambria Math" w:hAnsi="Cambria Math" w:cs="Cambria Math"/>
              <w:noProof/>
            </w:rPr>
            <w:t>‐</w:t>
          </w:r>
          <w:r>
            <w:rPr>
              <w:rFonts w:cs="Times New Roman"/>
              <w:noProof/>
            </w:rPr>
            <w:t xml:space="preserve">Varying. </w:t>
          </w:r>
          <w:r>
            <w:rPr>
              <w:i/>
              <w:iCs/>
              <w:noProof/>
            </w:rPr>
            <w:t>The Journal of Political Economy</w:t>
          </w:r>
          <w:r>
            <w:rPr>
              <w:noProof/>
            </w:rPr>
            <w:t xml:space="preserve"> </w:t>
          </w:r>
          <w:r>
            <w:rPr>
              <w:i/>
              <w:iCs/>
              <w:noProof/>
            </w:rPr>
            <w:t>, 109</w:t>
          </w:r>
          <w:r>
            <w:rPr>
              <w:noProof/>
            </w:rPr>
            <w:t xml:space="preserve"> (6), 1238-1287.</w:t>
          </w:r>
        </w:p>
        <w:p w:rsidR="005A50A9" w:rsidRDefault="005A50A9" w:rsidP="005A50A9">
          <w:pPr>
            <w:pStyle w:val="Bibliography"/>
            <w:rPr>
              <w:noProof/>
            </w:rPr>
          </w:pPr>
          <w:r>
            <w:rPr>
              <w:noProof/>
            </w:rPr>
            <w:t xml:space="preserve">Lintner, J. (1975). Inflation and Security Returns. </w:t>
          </w:r>
          <w:r>
            <w:rPr>
              <w:i/>
              <w:iCs/>
              <w:noProof/>
            </w:rPr>
            <w:t>Journal of Finance</w:t>
          </w:r>
          <w:r>
            <w:rPr>
              <w:noProof/>
            </w:rPr>
            <w:t xml:space="preserve"> </w:t>
          </w:r>
          <w:r>
            <w:rPr>
              <w:i/>
              <w:iCs/>
              <w:noProof/>
            </w:rPr>
            <w:t>, 30</w:t>
          </w:r>
          <w:r>
            <w:rPr>
              <w:noProof/>
            </w:rPr>
            <w:t xml:space="preserve"> (2), 259-280.</w:t>
          </w:r>
        </w:p>
        <w:p w:rsidR="005A50A9" w:rsidRDefault="005A50A9" w:rsidP="005A50A9">
          <w:pPr>
            <w:pStyle w:val="Bibliography"/>
            <w:rPr>
              <w:noProof/>
            </w:rPr>
          </w:pPr>
          <w:r>
            <w:rPr>
              <w:noProof/>
            </w:rPr>
            <w:t xml:space="preserve">Magnusson, M. A., &amp; Wydick, B. (2002). How Efficient are Africa's Emerging Stock Markets? </w:t>
          </w:r>
          <w:r>
            <w:rPr>
              <w:i/>
              <w:iCs/>
              <w:noProof/>
            </w:rPr>
            <w:t>The Journal of Development Studies</w:t>
          </w:r>
          <w:r>
            <w:rPr>
              <w:noProof/>
            </w:rPr>
            <w:t xml:space="preserve"> </w:t>
          </w:r>
          <w:r>
            <w:rPr>
              <w:i/>
              <w:iCs/>
              <w:noProof/>
            </w:rPr>
            <w:t>, 38</w:t>
          </w:r>
          <w:r>
            <w:rPr>
              <w:noProof/>
            </w:rPr>
            <w:t xml:space="preserve"> (4), 141-156.</w:t>
          </w:r>
        </w:p>
        <w:p w:rsidR="005A50A9" w:rsidRDefault="005A50A9" w:rsidP="005A50A9">
          <w:pPr>
            <w:pStyle w:val="Bibliography"/>
            <w:rPr>
              <w:noProof/>
            </w:rPr>
          </w:pPr>
          <w:r>
            <w:rPr>
              <w:noProof/>
            </w:rPr>
            <w:t xml:space="preserve">Malkiel, B. (1995). Returns from Investing in Equity Mutual Funds. </w:t>
          </w:r>
          <w:r>
            <w:rPr>
              <w:i/>
              <w:iCs/>
              <w:noProof/>
            </w:rPr>
            <w:t>Journal of Finance</w:t>
          </w:r>
          <w:r>
            <w:rPr>
              <w:noProof/>
            </w:rPr>
            <w:t xml:space="preserve"> </w:t>
          </w:r>
          <w:r>
            <w:rPr>
              <w:i/>
              <w:iCs/>
              <w:noProof/>
            </w:rPr>
            <w:t>, 50</w:t>
          </w:r>
          <w:r>
            <w:rPr>
              <w:noProof/>
            </w:rPr>
            <w:t xml:space="preserve"> (2), 549-572.</w:t>
          </w:r>
        </w:p>
        <w:p w:rsidR="005A50A9" w:rsidRDefault="005A50A9" w:rsidP="005A50A9">
          <w:pPr>
            <w:pStyle w:val="Bibliography"/>
            <w:rPr>
              <w:noProof/>
            </w:rPr>
          </w:pPr>
          <w:r>
            <w:rPr>
              <w:noProof/>
            </w:rPr>
            <w:t xml:space="preserve">Malkiel, B. (2003). Passive Investment Strategies and Efficient Markets. </w:t>
          </w:r>
          <w:r>
            <w:rPr>
              <w:i/>
              <w:iCs/>
              <w:noProof/>
            </w:rPr>
            <w:t>European Financial Management</w:t>
          </w:r>
          <w:r>
            <w:rPr>
              <w:noProof/>
            </w:rPr>
            <w:t xml:space="preserve"> </w:t>
          </w:r>
          <w:r>
            <w:rPr>
              <w:i/>
              <w:iCs/>
              <w:noProof/>
            </w:rPr>
            <w:t>, 9</w:t>
          </w:r>
          <w:r>
            <w:rPr>
              <w:noProof/>
            </w:rPr>
            <w:t xml:space="preserve"> (1), 1-10.</w:t>
          </w:r>
        </w:p>
        <w:p w:rsidR="005A50A9" w:rsidRDefault="005A50A9" w:rsidP="005A50A9">
          <w:pPr>
            <w:pStyle w:val="Bibliography"/>
            <w:rPr>
              <w:noProof/>
            </w:rPr>
          </w:pPr>
          <w:r>
            <w:rPr>
              <w:noProof/>
            </w:rPr>
            <w:t xml:space="preserve">Mandelker, G., &amp; Tandon, K. (1985). Common Stock Returns, Real Activity, Money and Inflation: Some International Evidence. </w:t>
          </w:r>
          <w:r>
            <w:rPr>
              <w:i/>
              <w:iCs/>
              <w:noProof/>
            </w:rPr>
            <w:t>Journal of International Money and Finance</w:t>
          </w:r>
          <w:r>
            <w:rPr>
              <w:noProof/>
            </w:rPr>
            <w:t xml:space="preserve"> </w:t>
          </w:r>
          <w:r>
            <w:rPr>
              <w:i/>
              <w:iCs/>
              <w:noProof/>
            </w:rPr>
            <w:t>, 4</w:t>
          </w:r>
          <w:r>
            <w:rPr>
              <w:noProof/>
            </w:rPr>
            <w:t>, 267-286.</w:t>
          </w:r>
        </w:p>
        <w:p w:rsidR="005A50A9" w:rsidRDefault="005A50A9" w:rsidP="005A50A9">
          <w:pPr>
            <w:pStyle w:val="Bibliography"/>
            <w:rPr>
              <w:noProof/>
            </w:rPr>
          </w:pPr>
          <w:r>
            <w:rPr>
              <w:noProof/>
            </w:rPr>
            <w:t xml:space="preserve">Mauro, P. (2003). Stock Returns and Output Growth in Emerging and Advanced Economies. </w:t>
          </w:r>
          <w:r>
            <w:rPr>
              <w:i/>
              <w:iCs/>
              <w:noProof/>
            </w:rPr>
            <w:t>Journal of Development Economics</w:t>
          </w:r>
          <w:r>
            <w:rPr>
              <w:noProof/>
            </w:rPr>
            <w:t xml:space="preserve"> </w:t>
          </w:r>
          <w:r>
            <w:rPr>
              <w:i/>
              <w:iCs/>
              <w:noProof/>
            </w:rPr>
            <w:t>, 71</w:t>
          </w:r>
          <w:r>
            <w:rPr>
              <w:noProof/>
            </w:rPr>
            <w:t>, 129-153.</w:t>
          </w:r>
        </w:p>
        <w:p w:rsidR="005A50A9" w:rsidRDefault="005A50A9" w:rsidP="005A50A9">
          <w:pPr>
            <w:pStyle w:val="Bibliography"/>
            <w:rPr>
              <w:noProof/>
            </w:rPr>
          </w:pPr>
          <w:r>
            <w:rPr>
              <w:noProof/>
            </w:rPr>
            <w:t xml:space="preserve">McQueen, G., &amp; Roley, V. V. (1993). Stock Prices, News, and Business Conditions. </w:t>
          </w:r>
          <w:r>
            <w:rPr>
              <w:i/>
              <w:iCs/>
              <w:noProof/>
            </w:rPr>
            <w:t>Review of Financial Studies</w:t>
          </w:r>
          <w:r>
            <w:rPr>
              <w:noProof/>
            </w:rPr>
            <w:t xml:space="preserve"> </w:t>
          </w:r>
          <w:r>
            <w:rPr>
              <w:i/>
              <w:iCs/>
              <w:noProof/>
            </w:rPr>
            <w:t>, 6</w:t>
          </w:r>
          <w:r>
            <w:rPr>
              <w:noProof/>
            </w:rPr>
            <w:t xml:space="preserve"> (3), 683-707.</w:t>
          </w:r>
        </w:p>
        <w:p w:rsidR="005A50A9" w:rsidRDefault="005A50A9" w:rsidP="005A50A9">
          <w:pPr>
            <w:pStyle w:val="Bibliography"/>
            <w:rPr>
              <w:noProof/>
            </w:rPr>
          </w:pPr>
          <w:r>
            <w:rPr>
              <w:noProof/>
            </w:rPr>
            <w:t xml:space="preserve">Mitchell, W. C., &amp; Burns, A. F. (1938). Statistical Indicators of Cyclical Revivals. </w:t>
          </w:r>
          <w:r>
            <w:rPr>
              <w:i/>
              <w:iCs/>
              <w:noProof/>
            </w:rPr>
            <w:t>NBER Working Paper</w:t>
          </w:r>
          <w:r>
            <w:rPr>
              <w:noProof/>
            </w:rPr>
            <w:t xml:space="preserve"> , 1-12.</w:t>
          </w:r>
        </w:p>
        <w:p w:rsidR="005A50A9" w:rsidRDefault="005A50A9" w:rsidP="005A50A9">
          <w:pPr>
            <w:pStyle w:val="Bibliography"/>
            <w:rPr>
              <w:noProof/>
            </w:rPr>
          </w:pPr>
          <w:r>
            <w:rPr>
              <w:noProof/>
            </w:rPr>
            <w:t xml:space="preserve">Mlambo, C., &amp; Biekpe, N. (2003). Thin Trading on African Stock Markets: Implications for Market Efficiency Testing. </w:t>
          </w:r>
          <w:r>
            <w:rPr>
              <w:i/>
              <w:iCs/>
              <w:noProof/>
            </w:rPr>
            <w:t>Investment Analysts Journal</w:t>
          </w:r>
          <w:r>
            <w:rPr>
              <w:noProof/>
            </w:rPr>
            <w:t xml:space="preserve"> (61), 29-40.</w:t>
          </w:r>
        </w:p>
        <w:p w:rsidR="005A50A9" w:rsidRDefault="005A50A9" w:rsidP="005A50A9">
          <w:pPr>
            <w:pStyle w:val="Bibliography"/>
            <w:rPr>
              <w:noProof/>
            </w:rPr>
          </w:pPr>
          <w:r>
            <w:rPr>
              <w:noProof/>
            </w:rPr>
            <w:t xml:space="preserve">Mlambo, C., &amp; Biekpe, N. (2007). The Efficient Market Hypothesis: Evidence from Ten African Stock Markets. </w:t>
          </w:r>
          <w:r>
            <w:rPr>
              <w:i/>
              <w:iCs/>
              <w:noProof/>
            </w:rPr>
            <w:t>Investment Analysts Journal</w:t>
          </w:r>
          <w:r>
            <w:rPr>
              <w:noProof/>
            </w:rPr>
            <w:t xml:space="preserve"> (66), 5-18.</w:t>
          </w:r>
        </w:p>
        <w:p w:rsidR="005A50A9" w:rsidRDefault="005A50A9" w:rsidP="005A50A9">
          <w:pPr>
            <w:pStyle w:val="Bibliography"/>
            <w:rPr>
              <w:noProof/>
            </w:rPr>
          </w:pPr>
          <w:r>
            <w:rPr>
              <w:noProof/>
            </w:rPr>
            <w:t xml:space="preserve">Modigliani, F., &amp; Cohn, R. A. (1979). Inflation, Rational Valuation and the Market. </w:t>
          </w:r>
          <w:r>
            <w:rPr>
              <w:i/>
              <w:iCs/>
              <w:noProof/>
            </w:rPr>
            <w:t>Financial Analysts Journal</w:t>
          </w:r>
          <w:r>
            <w:rPr>
              <w:noProof/>
            </w:rPr>
            <w:t xml:space="preserve"> </w:t>
          </w:r>
          <w:r>
            <w:rPr>
              <w:i/>
              <w:iCs/>
              <w:noProof/>
            </w:rPr>
            <w:t>, 35</w:t>
          </w:r>
          <w:r>
            <w:rPr>
              <w:noProof/>
            </w:rPr>
            <w:t xml:space="preserve"> (2), 24-44.</w:t>
          </w:r>
        </w:p>
        <w:p w:rsidR="005A50A9" w:rsidRDefault="005A50A9" w:rsidP="005A50A9">
          <w:pPr>
            <w:pStyle w:val="Bibliography"/>
            <w:rPr>
              <w:noProof/>
            </w:rPr>
          </w:pPr>
          <w:r>
            <w:rPr>
              <w:noProof/>
            </w:rPr>
            <w:t xml:space="preserve">Moore, G. H. (1983). Cyclical Fluctuations and Secular Information. In NBER, </w:t>
          </w:r>
          <w:r>
            <w:rPr>
              <w:i/>
              <w:iCs/>
              <w:noProof/>
            </w:rPr>
            <w:t>Business Cycles, Inflation and Forecating</w:t>
          </w:r>
          <w:r>
            <w:rPr>
              <w:noProof/>
            </w:rPr>
            <w:t xml:space="preserve"> (2 ed., pp. 237-244). Cambridge: National Bureau of Economic Research.</w:t>
          </w:r>
        </w:p>
        <w:p w:rsidR="005A50A9" w:rsidRDefault="005A50A9" w:rsidP="005A50A9">
          <w:pPr>
            <w:pStyle w:val="Bibliography"/>
            <w:rPr>
              <w:noProof/>
            </w:rPr>
          </w:pPr>
          <w:r>
            <w:rPr>
              <w:noProof/>
            </w:rPr>
            <w:t xml:space="preserve">Morck, R., Shleifer, A., Vishny, R. W., Shapiro, M., &amp; Poterba, J. (1990). The Stock Market and Investment: Is the Stock Market a Sideshow. </w:t>
          </w:r>
          <w:r>
            <w:rPr>
              <w:i/>
              <w:iCs/>
              <w:noProof/>
            </w:rPr>
            <w:t>Brookings Papers on Economic Activity</w:t>
          </w:r>
          <w:r>
            <w:rPr>
              <w:noProof/>
            </w:rPr>
            <w:t xml:space="preserve"> (2), 157-215.</w:t>
          </w:r>
        </w:p>
        <w:p w:rsidR="005A50A9" w:rsidRDefault="005A50A9" w:rsidP="005A50A9">
          <w:pPr>
            <w:pStyle w:val="Bibliography"/>
            <w:rPr>
              <w:noProof/>
            </w:rPr>
          </w:pPr>
          <w:r>
            <w:rPr>
              <w:noProof/>
            </w:rPr>
            <w:t xml:space="preserve">Muller, C. (1999). Investor Overreation on the Johannesburg Stock Exchange. </w:t>
          </w:r>
          <w:r>
            <w:rPr>
              <w:i/>
              <w:iCs/>
              <w:noProof/>
            </w:rPr>
            <w:t>Investment Analyst Journal</w:t>
          </w:r>
          <w:r>
            <w:rPr>
              <w:noProof/>
            </w:rPr>
            <w:t xml:space="preserve"> (49), 5-17.</w:t>
          </w:r>
        </w:p>
        <w:p w:rsidR="005A50A9" w:rsidRDefault="005A50A9" w:rsidP="005A50A9">
          <w:pPr>
            <w:pStyle w:val="Bibliography"/>
            <w:rPr>
              <w:noProof/>
            </w:rPr>
          </w:pPr>
          <w:r>
            <w:rPr>
              <w:noProof/>
            </w:rPr>
            <w:t xml:space="preserve">Mullins, D. W. (1982, January-February). Does the Capital Asset Pricing Model Work? </w:t>
          </w:r>
          <w:r>
            <w:rPr>
              <w:i/>
              <w:iCs/>
              <w:noProof/>
            </w:rPr>
            <w:t>Harvard Business Review</w:t>
          </w:r>
          <w:r>
            <w:rPr>
              <w:noProof/>
            </w:rPr>
            <w:t xml:space="preserve"> , pp. 105-114.</w:t>
          </w:r>
        </w:p>
        <w:p w:rsidR="005A50A9" w:rsidRDefault="005A50A9" w:rsidP="005A50A9">
          <w:pPr>
            <w:pStyle w:val="Bibliography"/>
            <w:rPr>
              <w:noProof/>
            </w:rPr>
          </w:pPr>
          <w:r>
            <w:rPr>
              <w:noProof/>
            </w:rPr>
            <w:t xml:space="preserve">Mullins, M., &amp; Wadhwani, S. B. (1989). The Effect of the Stock Market on Invesment: A Comparative Study. </w:t>
          </w:r>
          <w:r>
            <w:rPr>
              <w:i/>
              <w:iCs/>
              <w:noProof/>
            </w:rPr>
            <w:t>European Economic Review</w:t>
          </w:r>
          <w:r>
            <w:rPr>
              <w:noProof/>
            </w:rPr>
            <w:t xml:space="preserve"> </w:t>
          </w:r>
          <w:r>
            <w:rPr>
              <w:i/>
              <w:iCs/>
              <w:noProof/>
            </w:rPr>
            <w:t>, 33</w:t>
          </w:r>
          <w:r>
            <w:rPr>
              <w:noProof/>
            </w:rPr>
            <w:t>, 939-961.</w:t>
          </w:r>
        </w:p>
        <w:p w:rsidR="005A50A9" w:rsidRDefault="005A50A9" w:rsidP="005A50A9">
          <w:pPr>
            <w:pStyle w:val="Bibliography"/>
            <w:rPr>
              <w:noProof/>
            </w:rPr>
          </w:pPr>
          <w:r>
            <w:rPr>
              <w:noProof/>
            </w:rPr>
            <w:t xml:space="preserve">Neu-Ner, M. A., &amp; Firer, C. (1997). The Benefits of Diversification on the JSE. </w:t>
          </w:r>
          <w:r>
            <w:rPr>
              <w:i/>
              <w:iCs/>
              <w:noProof/>
            </w:rPr>
            <w:t>Investment Analysts Journal</w:t>
          </w:r>
          <w:r>
            <w:rPr>
              <w:noProof/>
            </w:rPr>
            <w:t xml:space="preserve"> (46), 45-59.</w:t>
          </w:r>
        </w:p>
        <w:p w:rsidR="005A50A9" w:rsidRDefault="005A50A9" w:rsidP="005A50A9">
          <w:pPr>
            <w:pStyle w:val="Bibliography"/>
            <w:rPr>
              <w:noProof/>
            </w:rPr>
          </w:pPr>
          <w:r>
            <w:rPr>
              <w:noProof/>
            </w:rPr>
            <w:t xml:space="preserve">Niederhoffer, V., &amp; Osborne, M. F. (1966). Market Making and the Reversal on the Stock Echange. </w:t>
          </w:r>
          <w:r>
            <w:rPr>
              <w:i/>
              <w:iCs/>
              <w:noProof/>
            </w:rPr>
            <w:t>Journal of the American Statistical Association</w:t>
          </w:r>
          <w:r>
            <w:rPr>
              <w:noProof/>
            </w:rPr>
            <w:t xml:space="preserve"> </w:t>
          </w:r>
          <w:r>
            <w:rPr>
              <w:i/>
              <w:iCs/>
              <w:noProof/>
            </w:rPr>
            <w:t>, 61</w:t>
          </w:r>
          <w:r>
            <w:rPr>
              <w:noProof/>
            </w:rPr>
            <w:t>, 897-916.</w:t>
          </w:r>
        </w:p>
        <w:p w:rsidR="005A50A9" w:rsidRDefault="005A50A9" w:rsidP="005A50A9">
          <w:pPr>
            <w:pStyle w:val="Bibliography"/>
            <w:rPr>
              <w:noProof/>
            </w:rPr>
          </w:pPr>
          <w:r>
            <w:rPr>
              <w:noProof/>
            </w:rPr>
            <w:t xml:space="preserve">Page, M. J., &amp; Way, C. V. (1992). Stock Market Over-reaction: The South African Evidence. </w:t>
          </w:r>
          <w:r>
            <w:rPr>
              <w:i/>
              <w:iCs/>
              <w:noProof/>
            </w:rPr>
            <w:t>Investment Analysts Journal</w:t>
          </w:r>
          <w:r>
            <w:rPr>
              <w:noProof/>
            </w:rPr>
            <w:t xml:space="preserve"> , 35-49.</w:t>
          </w:r>
        </w:p>
        <w:p w:rsidR="005A50A9" w:rsidRDefault="005A50A9" w:rsidP="005A50A9">
          <w:pPr>
            <w:pStyle w:val="Bibliography"/>
            <w:rPr>
              <w:noProof/>
            </w:rPr>
          </w:pPr>
          <w:r>
            <w:rPr>
              <w:noProof/>
            </w:rPr>
            <w:t xml:space="preserve">Park, S. (1997). Rationality of Negative Stock-Price Responses to Strong Economic Activity. </w:t>
          </w:r>
          <w:r>
            <w:rPr>
              <w:i/>
              <w:iCs/>
              <w:noProof/>
            </w:rPr>
            <w:t>Financial Analysts Journal</w:t>
          </w:r>
          <w:r>
            <w:rPr>
              <w:noProof/>
            </w:rPr>
            <w:t xml:space="preserve"> </w:t>
          </w:r>
          <w:r>
            <w:rPr>
              <w:i/>
              <w:iCs/>
              <w:noProof/>
            </w:rPr>
            <w:t>, 53</w:t>
          </w:r>
          <w:r>
            <w:rPr>
              <w:noProof/>
            </w:rPr>
            <w:t xml:space="preserve"> (5), 52-56.</w:t>
          </w:r>
        </w:p>
        <w:p w:rsidR="005A50A9" w:rsidRDefault="005A50A9" w:rsidP="005A50A9">
          <w:pPr>
            <w:pStyle w:val="Bibliography"/>
            <w:rPr>
              <w:noProof/>
            </w:rPr>
          </w:pPr>
          <w:r>
            <w:rPr>
              <w:noProof/>
            </w:rPr>
            <w:t xml:space="preserve">Plosser, C. I., &amp; Rouwenhorst, G. K. (1994). International Term Structures and Real Economic Growth. </w:t>
          </w:r>
          <w:r>
            <w:rPr>
              <w:i/>
              <w:iCs/>
              <w:noProof/>
            </w:rPr>
            <w:t>Journal of Monetary Economics</w:t>
          </w:r>
          <w:r>
            <w:rPr>
              <w:noProof/>
            </w:rPr>
            <w:t xml:space="preserve"> </w:t>
          </w:r>
          <w:r>
            <w:rPr>
              <w:i/>
              <w:iCs/>
              <w:noProof/>
            </w:rPr>
            <w:t>, 33</w:t>
          </w:r>
          <w:r>
            <w:rPr>
              <w:noProof/>
            </w:rPr>
            <w:t>, 133-156.</w:t>
          </w:r>
        </w:p>
        <w:p w:rsidR="005A50A9" w:rsidRDefault="005A50A9" w:rsidP="005A50A9">
          <w:pPr>
            <w:pStyle w:val="Bibliography"/>
            <w:rPr>
              <w:noProof/>
            </w:rPr>
          </w:pPr>
          <w:r>
            <w:rPr>
              <w:noProof/>
            </w:rPr>
            <w:t xml:space="preserve">Reinganum, M. (1983). The Anomalous Stock Market Behaviour of Small Firms in January. </w:t>
          </w:r>
          <w:r>
            <w:rPr>
              <w:i/>
              <w:iCs/>
              <w:noProof/>
            </w:rPr>
            <w:t>Journal of Financial Economics</w:t>
          </w:r>
          <w:r>
            <w:rPr>
              <w:noProof/>
            </w:rPr>
            <w:t xml:space="preserve"> (12), 89-104.</w:t>
          </w:r>
        </w:p>
        <w:p w:rsidR="005A50A9" w:rsidRDefault="005A50A9" w:rsidP="005A50A9">
          <w:pPr>
            <w:pStyle w:val="Bibliography"/>
            <w:rPr>
              <w:noProof/>
            </w:rPr>
          </w:pPr>
          <w:r>
            <w:rPr>
              <w:noProof/>
            </w:rPr>
            <w:t xml:space="preserve">Ritter, J. (1988). The Buying and Selling Behaviour of Individuals at the Turn-of-the-Year. </w:t>
          </w:r>
          <w:r>
            <w:rPr>
              <w:i/>
              <w:iCs/>
              <w:noProof/>
            </w:rPr>
            <w:t>Journal of Finance</w:t>
          </w:r>
          <w:r>
            <w:rPr>
              <w:noProof/>
            </w:rPr>
            <w:t xml:space="preserve"> </w:t>
          </w:r>
          <w:r>
            <w:rPr>
              <w:i/>
              <w:iCs/>
              <w:noProof/>
            </w:rPr>
            <w:t>, 43</w:t>
          </w:r>
          <w:r>
            <w:rPr>
              <w:noProof/>
            </w:rPr>
            <w:t xml:space="preserve"> (3), 701-717.</w:t>
          </w:r>
        </w:p>
        <w:p w:rsidR="005A50A9" w:rsidRDefault="005A50A9" w:rsidP="005A50A9">
          <w:pPr>
            <w:pStyle w:val="Bibliography"/>
            <w:rPr>
              <w:noProof/>
            </w:rPr>
          </w:pPr>
          <w:r>
            <w:rPr>
              <w:noProof/>
            </w:rPr>
            <w:t xml:space="preserve">Roberts, H. V. (1959). Stock Market "Patterns" and Financial Analysis: Methodological Suggestions. </w:t>
          </w:r>
          <w:r>
            <w:rPr>
              <w:i/>
              <w:iCs/>
              <w:noProof/>
            </w:rPr>
            <w:t>Journal of Finance</w:t>
          </w:r>
          <w:r>
            <w:rPr>
              <w:noProof/>
            </w:rPr>
            <w:t xml:space="preserve"> </w:t>
          </w:r>
          <w:r>
            <w:rPr>
              <w:i/>
              <w:iCs/>
              <w:noProof/>
            </w:rPr>
            <w:t>, 14</w:t>
          </w:r>
          <w:r>
            <w:rPr>
              <w:noProof/>
            </w:rPr>
            <w:t xml:space="preserve"> (1), 1-10.</w:t>
          </w:r>
        </w:p>
        <w:p w:rsidR="005A50A9" w:rsidRDefault="005A50A9" w:rsidP="005A50A9">
          <w:pPr>
            <w:pStyle w:val="Bibliography"/>
            <w:rPr>
              <w:noProof/>
            </w:rPr>
          </w:pPr>
          <w:r>
            <w:rPr>
              <w:noProof/>
            </w:rPr>
            <w:t xml:space="preserve">Robins, E., Sandler, M., &amp; Durand, F. (1999). Inter-Relationship between the January Effect, Market Capitalisation and Value Investment Strategies on the JSE. </w:t>
          </w:r>
          <w:r>
            <w:rPr>
              <w:i/>
              <w:iCs/>
              <w:noProof/>
            </w:rPr>
            <w:t>Investment Analysts Journal</w:t>
          </w:r>
          <w:r>
            <w:rPr>
              <w:noProof/>
            </w:rPr>
            <w:t xml:space="preserve"> </w:t>
          </w:r>
          <w:r>
            <w:rPr>
              <w:i/>
              <w:iCs/>
              <w:noProof/>
            </w:rPr>
            <w:t xml:space="preserve">, 4 </w:t>
          </w:r>
          <w:r>
            <w:rPr>
              <w:noProof/>
            </w:rPr>
            <w:t>(4).</w:t>
          </w:r>
        </w:p>
        <w:p w:rsidR="005A50A9" w:rsidRDefault="005A50A9" w:rsidP="005A50A9">
          <w:pPr>
            <w:pStyle w:val="Bibliography"/>
            <w:rPr>
              <w:noProof/>
            </w:rPr>
          </w:pPr>
          <w:r>
            <w:rPr>
              <w:noProof/>
            </w:rPr>
            <w:t xml:space="preserve">Roll, R. (1977). A Critique of the Asset Pricing Theory's Tests. </w:t>
          </w:r>
          <w:r>
            <w:rPr>
              <w:i/>
              <w:iCs/>
              <w:noProof/>
            </w:rPr>
            <w:t>Journal of FInancial Economics, 4</w:t>
          </w:r>
          <w:r>
            <w:rPr>
              <w:noProof/>
            </w:rPr>
            <w:t>, 129-176.</w:t>
          </w:r>
        </w:p>
        <w:p w:rsidR="005A50A9" w:rsidRDefault="005A50A9" w:rsidP="005A50A9">
          <w:pPr>
            <w:pStyle w:val="Bibliography"/>
            <w:rPr>
              <w:noProof/>
            </w:rPr>
          </w:pPr>
          <w:r>
            <w:rPr>
              <w:noProof/>
            </w:rPr>
            <w:t xml:space="preserve">Roll, R. (1983). Vas Ist Das? The Turn-of-the-Year Effect and the Return Premia of Small Firms. </w:t>
          </w:r>
          <w:r>
            <w:rPr>
              <w:i/>
              <w:iCs/>
              <w:noProof/>
            </w:rPr>
            <w:t>Journal of Portfolio Management</w:t>
          </w:r>
          <w:r>
            <w:rPr>
              <w:noProof/>
            </w:rPr>
            <w:t xml:space="preserve"> </w:t>
          </w:r>
          <w:r>
            <w:rPr>
              <w:i/>
              <w:iCs/>
              <w:noProof/>
            </w:rPr>
            <w:t>, 9</w:t>
          </w:r>
          <w:r>
            <w:rPr>
              <w:noProof/>
            </w:rPr>
            <w:t xml:space="preserve"> (2), 18-28.</w:t>
          </w:r>
        </w:p>
        <w:p w:rsidR="005A50A9" w:rsidRDefault="005A50A9" w:rsidP="005A50A9">
          <w:pPr>
            <w:pStyle w:val="Bibliography"/>
            <w:rPr>
              <w:noProof/>
            </w:rPr>
          </w:pPr>
          <w:r>
            <w:rPr>
              <w:noProof/>
            </w:rPr>
            <w:t xml:space="preserve">Roll, R., &amp; Ross, S. A. (1980). An Empirical Investigation of the Arbitrage Pricing Theory. </w:t>
          </w:r>
          <w:r>
            <w:rPr>
              <w:i/>
              <w:iCs/>
              <w:noProof/>
            </w:rPr>
            <w:t>Journal of Finance</w:t>
          </w:r>
          <w:r>
            <w:rPr>
              <w:noProof/>
            </w:rPr>
            <w:t xml:space="preserve"> </w:t>
          </w:r>
          <w:r>
            <w:rPr>
              <w:i/>
              <w:iCs/>
              <w:noProof/>
            </w:rPr>
            <w:t>, 35</w:t>
          </w:r>
          <w:r>
            <w:rPr>
              <w:noProof/>
            </w:rPr>
            <w:t xml:space="preserve"> (5), 1073-1103.</w:t>
          </w:r>
        </w:p>
        <w:p w:rsidR="005A50A9" w:rsidRDefault="005A50A9" w:rsidP="005A50A9">
          <w:pPr>
            <w:pStyle w:val="Bibliography"/>
            <w:rPr>
              <w:noProof/>
            </w:rPr>
          </w:pPr>
          <w:r>
            <w:rPr>
              <w:noProof/>
            </w:rPr>
            <w:t xml:space="preserve">Ross, S. A. (1976). The Arbitrage Theory of Capital Asset Pricing. </w:t>
          </w:r>
          <w:r>
            <w:rPr>
              <w:i/>
              <w:iCs/>
              <w:noProof/>
            </w:rPr>
            <w:t>Journal of Economic Theory, 13</w:t>
          </w:r>
          <w:r>
            <w:rPr>
              <w:noProof/>
            </w:rPr>
            <w:t>, 341-360.</w:t>
          </w:r>
        </w:p>
        <w:p w:rsidR="005A50A9" w:rsidRDefault="005A50A9" w:rsidP="005A50A9">
          <w:pPr>
            <w:pStyle w:val="Bibliography"/>
            <w:rPr>
              <w:noProof/>
            </w:rPr>
          </w:pPr>
          <w:r>
            <w:rPr>
              <w:noProof/>
            </w:rPr>
            <w:t xml:space="preserve">Roux, F., &amp; Gilbertson, B. (1978). The Behaviour of Share Prices on the Johannesburg Stock Exchange. </w:t>
          </w:r>
          <w:r>
            <w:rPr>
              <w:i/>
              <w:iCs/>
              <w:noProof/>
            </w:rPr>
            <w:t>Journal of Business Finance and Accounting</w:t>
          </w:r>
          <w:r>
            <w:rPr>
              <w:noProof/>
            </w:rPr>
            <w:t xml:space="preserve"> </w:t>
          </w:r>
          <w:r>
            <w:rPr>
              <w:i/>
              <w:iCs/>
              <w:noProof/>
            </w:rPr>
            <w:t>, 5</w:t>
          </w:r>
          <w:r>
            <w:rPr>
              <w:noProof/>
            </w:rPr>
            <w:t xml:space="preserve"> (2), 223-232.</w:t>
          </w:r>
        </w:p>
        <w:p w:rsidR="005A50A9" w:rsidRDefault="005A50A9" w:rsidP="005A50A9">
          <w:pPr>
            <w:pStyle w:val="Bibliography"/>
            <w:rPr>
              <w:noProof/>
            </w:rPr>
          </w:pPr>
          <w:r>
            <w:rPr>
              <w:noProof/>
            </w:rPr>
            <w:t xml:space="preserve">Scholes, M. (1969). A Test of the Competitive Market Hypothesis. </w:t>
          </w:r>
          <w:r>
            <w:rPr>
              <w:i/>
              <w:iCs/>
              <w:noProof/>
            </w:rPr>
            <w:t>Journal of Business</w:t>
          </w:r>
          <w:r>
            <w:rPr>
              <w:noProof/>
            </w:rPr>
            <w:t xml:space="preserve"> </w:t>
          </w:r>
          <w:r>
            <w:rPr>
              <w:i/>
              <w:iCs/>
              <w:noProof/>
            </w:rPr>
            <w:t>, 9</w:t>
          </w:r>
          <w:r>
            <w:rPr>
              <w:noProof/>
            </w:rPr>
            <w:t>, 167-247.</w:t>
          </w:r>
        </w:p>
        <w:p w:rsidR="005A50A9" w:rsidRDefault="005A50A9" w:rsidP="005A50A9">
          <w:pPr>
            <w:pStyle w:val="Bibliography"/>
            <w:rPr>
              <w:noProof/>
            </w:rPr>
          </w:pPr>
          <w:r>
            <w:rPr>
              <w:noProof/>
            </w:rPr>
            <w:t xml:space="preserve">Schwert, W. (1990). Stock Returns and Real Activity: A Century of Evidence. </w:t>
          </w:r>
          <w:r>
            <w:rPr>
              <w:i/>
              <w:iCs/>
              <w:noProof/>
            </w:rPr>
            <w:t>Journal of Finance</w:t>
          </w:r>
          <w:r>
            <w:rPr>
              <w:noProof/>
            </w:rPr>
            <w:t xml:space="preserve"> </w:t>
          </w:r>
          <w:r>
            <w:rPr>
              <w:i/>
              <w:iCs/>
              <w:noProof/>
            </w:rPr>
            <w:t>, 45</w:t>
          </w:r>
          <w:r>
            <w:rPr>
              <w:noProof/>
            </w:rPr>
            <w:t>, 1237-1257.</w:t>
          </w:r>
        </w:p>
        <w:p w:rsidR="005A50A9" w:rsidRDefault="005A50A9" w:rsidP="005A50A9">
          <w:pPr>
            <w:pStyle w:val="Bibliography"/>
            <w:rPr>
              <w:noProof/>
            </w:rPr>
          </w:pPr>
          <w:r>
            <w:rPr>
              <w:noProof/>
            </w:rPr>
            <w:t xml:space="preserve">Seyhun, N. (1986). Insider Profits, Costs of Trading and Market Efficiency. </w:t>
          </w:r>
          <w:r>
            <w:rPr>
              <w:i/>
              <w:iCs/>
              <w:noProof/>
            </w:rPr>
            <w:t>The Journal of Financial Economics</w:t>
          </w:r>
          <w:r>
            <w:rPr>
              <w:noProof/>
            </w:rPr>
            <w:t xml:space="preserve"> </w:t>
          </w:r>
          <w:r>
            <w:rPr>
              <w:i/>
              <w:iCs/>
              <w:noProof/>
            </w:rPr>
            <w:t>, 16</w:t>
          </w:r>
          <w:r>
            <w:rPr>
              <w:noProof/>
            </w:rPr>
            <w:t>, 189-212.</w:t>
          </w:r>
        </w:p>
        <w:p w:rsidR="005A50A9" w:rsidRDefault="005A50A9" w:rsidP="005A50A9">
          <w:pPr>
            <w:pStyle w:val="Bibliography"/>
            <w:rPr>
              <w:noProof/>
            </w:rPr>
          </w:pPr>
          <w:r>
            <w:rPr>
              <w:noProof/>
            </w:rPr>
            <w:t xml:space="preserve">Shiller, R. J. (2003). From Efficient Markets Theory to Behavioural Finance. </w:t>
          </w:r>
          <w:r>
            <w:rPr>
              <w:i/>
              <w:iCs/>
              <w:noProof/>
            </w:rPr>
            <w:t>The Journal of Economic Perspectives</w:t>
          </w:r>
          <w:r>
            <w:rPr>
              <w:noProof/>
            </w:rPr>
            <w:t xml:space="preserve"> </w:t>
          </w:r>
          <w:r>
            <w:rPr>
              <w:i/>
              <w:iCs/>
              <w:noProof/>
            </w:rPr>
            <w:t>, 17</w:t>
          </w:r>
          <w:r>
            <w:rPr>
              <w:noProof/>
            </w:rPr>
            <w:t xml:space="preserve"> (1), 83-104.</w:t>
          </w:r>
        </w:p>
        <w:p w:rsidR="005A50A9" w:rsidRDefault="005A50A9" w:rsidP="005A50A9">
          <w:pPr>
            <w:pStyle w:val="Bibliography"/>
            <w:rPr>
              <w:noProof/>
            </w:rPr>
          </w:pPr>
          <w:r>
            <w:rPr>
              <w:noProof/>
            </w:rPr>
            <w:t xml:space="preserve">Shiller, R. J. (1981). The Use of Volatility Measures in Assessing Market Efficiency. </w:t>
          </w:r>
          <w:r>
            <w:rPr>
              <w:i/>
              <w:iCs/>
              <w:noProof/>
            </w:rPr>
            <w:t>Journal of Finance</w:t>
          </w:r>
          <w:r>
            <w:rPr>
              <w:noProof/>
            </w:rPr>
            <w:t xml:space="preserve"> </w:t>
          </w:r>
          <w:r>
            <w:rPr>
              <w:i/>
              <w:iCs/>
              <w:noProof/>
            </w:rPr>
            <w:t>, 36</w:t>
          </w:r>
          <w:r>
            <w:rPr>
              <w:noProof/>
            </w:rPr>
            <w:t xml:space="preserve"> (2), 291-311.</w:t>
          </w:r>
        </w:p>
        <w:p w:rsidR="005A50A9" w:rsidRDefault="005A50A9" w:rsidP="005A50A9">
          <w:pPr>
            <w:pStyle w:val="Bibliography"/>
            <w:rPr>
              <w:noProof/>
            </w:rPr>
          </w:pPr>
          <w:r>
            <w:rPr>
              <w:noProof/>
            </w:rPr>
            <w:t xml:space="preserve">Sichel, D. (1993). Business Cycle Asymmetry: A Deeper Look. </w:t>
          </w:r>
          <w:r>
            <w:rPr>
              <w:i/>
              <w:iCs/>
              <w:noProof/>
            </w:rPr>
            <w:t>Economic Inquiry</w:t>
          </w:r>
          <w:r>
            <w:rPr>
              <w:noProof/>
            </w:rPr>
            <w:t xml:space="preserve"> </w:t>
          </w:r>
          <w:r>
            <w:rPr>
              <w:i/>
              <w:iCs/>
              <w:noProof/>
            </w:rPr>
            <w:t>, 30</w:t>
          </w:r>
          <w:r>
            <w:rPr>
              <w:noProof/>
            </w:rPr>
            <w:t>, 224-236.</w:t>
          </w:r>
        </w:p>
        <w:p w:rsidR="005A50A9" w:rsidRDefault="005A50A9" w:rsidP="005A50A9">
          <w:pPr>
            <w:pStyle w:val="Bibliography"/>
            <w:rPr>
              <w:noProof/>
            </w:rPr>
          </w:pPr>
          <w:r>
            <w:rPr>
              <w:noProof/>
            </w:rPr>
            <w:t xml:space="preserve">Smets, F., &amp; Tsatsaronis, K. (1997). Why does the Yield Curve Predict Economic Activity? Dissecticting Evidence for Germany and the United States. </w:t>
          </w:r>
          <w:r>
            <w:rPr>
              <w:i/>
              <w:iCs/>
              <w:noProof/>
            </w:rPr>
            <w:t>Bank for International Settlement Working Papers</w:t>
          </w:r>
          <w:r>
            <w:rPr>
              <w:noProof/>
            </w:rPr>
            <w:t xml:space="preserve"> </w:t>
          </w:r>
          <w:r>
            <w:rPr>
              <w:i/>
              <w:iCs/>
              <w:noProof/>
            </w:rPr>
            <w:t>, 49</w:t>
          </w:r>
          <w:r>
            <w:rPr>
              <w:noProof/>
            </w:rPr>
            <w:t>, 1-43.</w:t>
          </w:r>
        </w:p>
        <w:p w:rsidR="005A50A9" w:rsidRDefault="005A50A9" w:rsidP="005A50A9">
          <w:pPr>
            <w:pStyle w:val="Bibliography"/>
            <w:rPr>
              <w:noProof/>
            </w:rPr>
          </w:pPr>
          <w:r>
            <w:rPr>
              <w:noProof/>
            </w:rPr>
            <w:t xml:space="preserve">Smith, Jefferis, &amp; Ryoo. (2002). African Stock Markets: Multiple Variance Ratio Tests of Random. </w:t>
          </w:r>
          <w:r>
            <w:rPr>
              <w:i/>
              <w:iCs/>
              <w:noProof/>
            </w:rPr>
            <w:t>Applied Financial Economics</w:t>
          </w:r>
          <w:r>
            <w:rPr>
              <w:noProof/>
            </w:rPr>
            <w:t xml:space="preserve"> </w:t>
          </w:r>
          <w:r>
            <w:rPr>
              <w:i/>
              <w:iCs/>
              <w:noProof/>
            </w:rPr>
            <w:t>, 12</w:t>
          </w:r>
          <w:r>
            <w:rPr>
              <w:noProof/>
            </w:rPr>
            <w:t xml:space="preserve"> (7), 475-484.</w:t>
          </w:r>
        </w:p>
        <w:p w:rsidR="005A50A9" w:rsidRDefault="005A50A9" w:rsidP="005A50A9">
          <w:pPr>
            <w:pStyle w:val="Bibliography"/>
            <w:rPr>
              <w:noProof/>
            </w:rPr>
          </w:pPr>
          <w:r>
            <w:rPr>
              <w:noProof/>
            </w:rPr>
            <w:t xml:space="preserve">Stein, J. C. (2009, January). Sophisticated Investors and Market Efficiency. </w:t>
          </w:r>
          <w:r>
            <w:rPr>
              <w:i/>
              <w:iCs/>
              <w:noProof/>
            </w:rPr>
            <w:t>Harvard University and NBER Working Paper</w:t>
          </w:r>
          <w:r>
            <w:rPr>
              <w:noProof/>
            </w:rPr>
            <w:t xml:space="preserve"> , 1-51.</w:t>
          </w:r>
        </w:p>
        <w:p w:rsidR="005A50A9" w:rsidRDefault="005A50A9" w:rsidP="005A50A9">
          <w:pPr>
            <w:pStyle w:val="Bibliography"/>
            <w:rPr>
              <w:noProof/>
            </w:rPr>
          </w:pPr>
          <w:r>
            <w:rPr>
              <w:noProof/>
            </w:rPr>
            <w:t xml:space="preserve">Stock, J. H., &amp; Watson, M. W. (1989). New Indexes of Coincident and Leading Economic Indicators. </w:t>
          </w:r>
          <w:r>
            <w:rPr>
              <w:i/>
              <w:iCs/>
              <w:noProof/>
            </w:rPr>
            <w:t>NBER Macroeconomics Annual</w:t>
          </w:r>
          <w:r>
            <w:rPr>
              <w:noProof/>
            </w:rPr>
            <w:t xml:space="preserve"> </w:t>
          </w:r>
          <w:r>
            <w:rPr>
              <w:i/>
              <w:iCs/>
              <w:noProof/>
            </w:rPr>
            <w:t>, 4</w:t>
          </w:r>
          <w:r>
            <w:rPr>
              <w:noProof/>
            </w:rPr>
            <w:t>, 351-394.</w:t>
          </w:r>
        </w:p>
        <w:p w:rsidR="005A50A9" w:rsidRDefault="005A50A9" w:rsidP="005A50A9">
          <w:pPr>
            <w:pStyle w:val="Bibliography"/>
            <w:rPr>
              <w:noProof/>
            </w:rPr>
          </w:pPr>
          <w:r>
            <w:rPr>
              <w:noProof/>
            </w:rPr>
            <w:t xml:space="preserve">Stock, J. H., &amp; Watson, M. W. (2003a). Forecasting Output and Inflation: The Role of Asset Prices. </w:t>
          </w:r>
          <w:r>
            <w:rPr>
              <w:i/>
              <w:iCs/>
              <w:noProof/>
            </w:rPr>
            <w:t>Journal of Economic Literature</w:t>
          </w:r>
          <w:r>
            <w:rPr>
              <w:noProof/>
            </w:rPr>
            <w:t xml:space="preserve"> </w:t>
          </w:r>
          <w:r>
            <w:rPr>
              <w:i/>
              <w:iCs/>
              <w:noProof/>
            </w:rPr>
            <w:t>, 41</w:t>
          </w:r>
          <w:r>
            <w:rPr>
              <w:noProof/>
            </w:rPr>
            <w:t xml:space="preserve"> (3), 788-829.</w:t>
          </w:r>
        </w:p>
        <w:p w:rsidR="005A50A9" w:rsidRDefault="005A50A9" w:rsidP="005A50A9">
          <w:pPr>
            <w:pStyle w:val="Bibliography"/>
            <w:rPr>
              <w:noProof/>
            </w:rPr>
          </w:pPr>
          <w:r>
            <w:rPr>
              <w:noProof/>
            </w:rPr>
            <w:t xml:space="preserve">Stock, J. H., &amp; Watson, M. W. (2003b). How did Leading Indicator Forecasts do During the 2001 Recession. </w:t>
          </w:r>
          <w:r>
            <w:rPr>
              <w:i/>
              <w:iCs/>
              <w:noProof/>
            </w:rPr>
            <w:t>NBER Working Paper</w:t>
          </w:r>
          <w:r>
            <w:rPr>
              <w:noProof/>
            </w:rPr>
            <w:t xml:space="preserve"> , 1-25.</w:t>
          </w:r>
        </w:p>
        <w:p w:rsidR="005A50A9" w:rsidRDefault="005A50A9" w:rsidP="005A50A9">
          <w:pPr>
            <w:pStyle w:val="Bibliography"/>
            <w:rPr>
              <w:noProof/>
            </w:rPr>
          </w:pPr>
          <w:r>
            <w:rPr>
              <w:noProof/>
            </w:rPr>
            <w:t xml:space="preserve">Tobin, J. (1969). A General Equilibrium Approach to Monetary Theory. </w:t>
          </w:r>
          <w:r>
            <w:rPr>
              <w:i/>
              <w:iCs/>
              <w:noProof/>
            </w:rPr>
            <w:t>Journal of Money, Credit and Banking</w:t>
          </w:r>
          <w:r>
            <w:rPr>
              <w:noProof/>
            </w:rPr>
            <w:t xml:space="preserve"> </w:t>
          </w:r>
          <w:r>
            <w:rPr>
              <w:i/>
              <w:iCs/>
              <w:noProof/>
            </w:rPr>
            <w:t>, 1</w:t>
          </w:r>
          <w:r>
            <w:rPr>
              <w:noProof/>
            </w:rPr>
            <w:t>, 15-29.</w:t>
          </w:r>
        </w:p>
        <w:p w:rsidR="005A50A9" w:rsidRDefault="005A50A9" w:rsidP="005A50A9">
          <w:pPr>
            <w:pStyle w:val="Bibliography"/>
            <w:rPr>
              <w:noProof/>
            </w:rPr>
          </w:pPr>
          <w:r>
            <w:rPr>
              <w:noProof/>
            </w:rPr>
            <w:t xml:space="preserve">Van Horne, J. C., &amp; Parker, G. G. (1967). The Random Walk Theory: An Empirical Test. </w:t>
          </w:r>
          <w:r>
            <w:rPr>
              <w:i/>
              <w:iCs/>
              <w:noProof/>
            </w:rPr>
            <w:t>Financial Analysts Journal</w:t>
          </w:r>
          <w:r>
            <w:rPr>
              <w:noProof/>
            </w:rPr>
            <w:t xml:space="preserve"> </w:t>
          </w:r>
          <w:r>
            <w:rPr>
              <w:i/>
              <w:iCs/>
              <w:noProof/>
            </w:rPr>
            <w:t>, 23</w:t>
          </w:r>
          <w:r>
            <w:rPr>
              <w:noProof/>
            </w:rPr>
            <w:t xml:space="preserve"> (6), 87-92.</w:t>
          </w:r>
        </w:p>
        <w:p w:rsidR="005A50A9" w:rsidRDefault="005A50A9" w:rsidP="005A50A9">
          <w:pPr>
            <w:pStyle w:val="Bibliography"/>
            <w:rPr>
              <w:noProof/>
            </w:rPr>
          </w:pPr>
          <w:r>
            <w:rPr>
              <w:noProof/>
            </w:rPr>
            <w:t xml:space="preserve">Wahlroos, B., &amp; Berglund, T. (1986). Stock Returns, Inflationary Expectations and Real Activity. </w:t>
          </w:r>
          <w:r>
            <w:rPr>
              <w:i/>
              <w:iCs/>
              <w:noProof/>
            </w:rPr>
            <w:t>Journal of Banking and Finance</w:t>
          </w:r>
          <w:r>
            <w:rPr>
              <w:noProof/>
            </w:rPr>
            <w:t xml:space="preserve"> </w:t>
          </w:r>
          <w:r>
            <w:rPr>
              <w:i/>
              <w:iCs/>
              <w:noProof/>
            </w:rPr>
            <w:t>, 10</w:t>
          </w:r>
          <w:r>
            <w:rPr>
              <w:noProof/>
            </w:rPr>
            <w:t>, 377-389.</w:t>
          </w:r>
        </w:p>
        <w:p w:rsidR="005A50A9" w:rsidRDefault="005A50A9" w:rsidP="005A50A9">
          <w:pPr>
            <w:pStyle w:val="Bibliography"/>
            <w:rPr>
              <w:noProof/>
            </w:rPr>
          </w:pPr>
          <w:r>
            <w:rPr>
              <w:noProof/>
            </w:rPr>
            <w:t xml:space="preserve">Wheatly, S. (1988). Some Tests of International Equity Integration. </w:t>
          </w:r>
          <w:r>
            <w:rPr>
              <w:i/>
              <w:iCs/>
              <w:noProof/>
            </w:rPr>
            <w:t>Journal of Financial Economics</w:t>
          </w:r>
          <w:r>
            <w:rPr>
              <w:noProof/>
            </w:rPr>
            <w:t xml:space="preserve"> </w:t>
          </w:r>
          <w:r>
            <w:rPr>
              <w:i/>
              <w:iCs/>
              <w:noProof/>
            </w:rPr>
            <w:t>, 21</w:t>
          </w:r>
          <w:r>
            <w:rPr>
              <w:noProof/>
            </w:rPr>
            <w:t xml:space="preserve"> (2), 177-212.</w:t>
          </w:r>
        </w:p>
        <w:p w:rsidR="000A22AE" w:rsidRPr="00762161" w:rsidRDefault="006F1E00" w:rsidP="005A50A9">
          <w:pPr>
            <w:ind w:left="360" w:hanging="720"/>
          </w:pPr>
          <w:r w:rsidRPr="00762161">
            <w:fldChar w:fldCharType="end"/>
          </w:r>
        </w:p>
      </w:sdtContent>
    </w:sdt>
    <w:p w:rsidR="000A22AE" w:rsidRPr="00762161" w:rsidRDefault="000A22AE" w:rsidP="000A22AE">
      <w:r w:rsidRPr="00762161">
        <w:br w:type="page"/>
      </w:r>
    </w:p>
    <w:p w:rsidR="000A22AE" w:rsidRPr="00762161" w:rsidRDefault="000A22AE" w:rsidP="000A22AE">
      <w:pPr>
        <w:sectPr w:rsidR="000A22AE" w:rsidRPr="00762161" w:rsidSect="000A22AE">
          <w:headerReference w:type="default" r:id="rId16"/>
          <w:footerReference w:type="default" r:id="rId17"/>
          <w:type w:val="continuous"/>
          <w:pgSz w:w="12240" w:h="15840"/>
          <w:pgMar w:top="1440" w:right="1467" w:bottom="1440" w:left="1440" w:header="708" w:footer="708" w:gutter="0"/>
          <w:cols w:space="708"/>
          <w:titlePg/>
          <w:docGrid w:linePitch="360"/>
        </w:sectPr>
      </w:pPr>
    </w:p>
    <w:p w:rsidR="000A22AE" w:rsidRPr="00762161" w:rsidRDefault="000A22AE" w:rsidP="000A22AE">
      <w:pPr>
        <w:pStyle w:val="ListParagraph"/>
        <w:keepNext/>
        <w:keepLines/>
        <w:numPr>
          <w:ilvl w:val="0"/>
          <w:numId w:val="23"/>
        </w:numPr>
        <w:spacing w:before="480"/>
        <w:contextualSpacing w:val="0"/>
        <w:outlineLvl w:val="0"/>
        <w:rPr>
          <w:rFonts w:asciiTheme="majorHAnsi" w:eastAsiaTheme="majorEastAsia" w:hAnsiTheme="majorHAnsi" w:cstheme="majorBidi"/>
          <w:b/>
          <w:bCs/>
          <w:vanish/>
          <w:color w:val="365F91" w:themeColor="accent1" w:themeShade="BF"/>
          <w:sz w:val="28"/>
          <w:szCs w:val="28"/>
        </w:rPr>
      </w:pPr>
      <w:bookmarkStart w:id="331" w:name="_Toc285274092"/>
      <w:bookmarkStart w:id="332" w:name="_Toc286584827"/>
      <w:bookmarkStart w:id="333" w:name="_Toc286603539"/>
      <w:bookmarkStart w:id="334" w:name="_Toc286616328"/>
      <w:bookmarkEnd w:id="331"/>
      <w:bookmarkEnd w:id="332"/>
      <w:bookmarkEnd w:id="333"/>
      <w:bookmarkEnd w:id="334"/>
    </w:p>
    <w:p w:rsidR="000A22AE" w:rsidRPr="00762161" w:rsidRDefault="000A22AE" w:rsidP="000A22AE">
      <w:pPr>
        <w:pStyle w:val="ListParagraph"/>
        <w:keepNext/>
        <w:keepLines/>
        <w:numPr>
          <w:ilvl w:val="0"/>
          <w:numId w:val="23"/>
        </w:numPr>
        <w:spacing w:before="480"/>
        <w:contextualSpacing w:val="0"/>
        <w:outlineLvl w:val="0"/>
        <w:rPr>
          <w:rFonts w:asciiTheme="majorHAnsi" w:eastAsiaTheme="majorEastAsia" w:hAnsiTheme="majorHAnsi" w:cstheme="majorBidi"/>
          <w:b/>
          <w:bCs/>
          <w:vanish/>
          <w:color w:val="365F91" w:themeColor="accent1" w:themeShade="BF"/>
          <w:sz w:val="28"/>
          <w:szCs w:val="28"/>
        </w:rPr>
      </w:pPr>
      <w:bookmarkStart w:id="335" w:name="_Toc285274093"/>
      <w:bookmarkStart w:id="336" w:name="_Toc286584828"/>
      <w:bookmarkStart w:id="337" w:name="_Toc286603540"/>
      <w:bookmarkStart w:id="338" w:name="_Toc286616329"/>
      <w:bookmarkEnd w:id="335"/>
      <w:bookmarkEnd w:id="336"/>
      <w:bookmarkEnd w:id="337"/>
      <w:bookmarkEnd w:id="338"/>
    </w:p>
    <w:p w:rsidR="000A22AE" w:rsidRPr="00762161" w:rsidRDefault="000A22AE" w:rsidP="000A22AE">
      <w:pPr>
        <w:pStyle w:val="ListParagraph"/>
        <w:keepNext/>
        <w:keepLines/>
        <w:numPr>
          <w:ilvl w:val="0"/>
          <w:numId w:val="23"/>
        </w:numPr>
        <w:spacing w:before="480"/>
        <w:contextualSpacing w:val="0"/>
        <w:outlineLvl w:val="0"/>
        <w:rPr>
          <w:rFonts w:asciiTheme="majorHAnsi" w:eastAsiaTheme="majorEastAsia" w:hAnsiTheme="majorHAnsi" w:cstheme="majorBidi"/>
          <w:b/>
          <w:bCs/>
          <w:vanish/>
          <w:color w:val="365F91" w:themeColor="accent1" w:themeShade="BF"/>
          <w:sz w:val="28"/>
          <w:szCs w:val="28"/>
        </w:rPr>
      </w:pPr>
      <w:bookmarkStart w:id="339" w:name="_Toc285274094"/>
      <w:bookmarkStart w:id="340" w:name="_Toc286584829"/>
      <w:bookmarkStart w:id="341" w:name="_Toc286603541"/>
      <w:bookmarkStart w:id="342" w:name="_Toc286616330"/>
      <w:bookmarkEnd w:id="339"/>
      <w:bookmarkEnd w:id="340"/>
      <w:bookmarkEnd w:id="341"/>
      <w:bookmarkEnd w:id="342"/>
    </w:p>
    <w:p w:rsidR="000A22AE" w:rsidRPr="00762161" w:rsidRDefault="000A22AE" w:rsidP="000A22AE">
      <w:pPr>
        <w:pStyle w:val="ListParagraph"/>
        <w:keepNext/>
        <w:keepLines/>
        <w:numPr>
          <w:ilvl w:val="0"/>
          <w:numId w:val="23"/>
        </w:numPr>
        <w:spacing w:before="480"/>
        <w:contextualSpacing w:val="0"/>
        <w:outlineLvl w:val="0"/>
        <w:rPr>
          <w:rFonts w:asciiTheme="majorHAnsi" w:eastAsiaTheme="majorEastAsia" w:hAnsiTheme="majorHAnsi" w:cstheme="majorBidi"/>
          <w:b/>
          <w:bCs/>
          <w:vanish/>
          <w:color w:val="365F91" w:themeColor="accent1" w:themeShade="BF"/>
          <w:sz w:val="28"/>
          <w:szCs w:val="28"/>
        </w:rPr>
      </w:pPr>
      <w:bookmarkStart w:id="343" w:name="_Toc285274095"/>
      <w:bookmarkStart w:id="344" w:name="_Toc286584830"/>
      <w:bookmarkStart w:id="345" w:name="_Toc286603542"/>
      <w:bookmarkStart w:id="346" w:name="_Toc286616331"/>
      <w:bookmarkEnd w:id="343"/>
      <w:bookmarkEnd w:id="344"/>
      <w:bookmarkEnd w:id="345"/>
      <w:bookmarkEnd w:id="346"/>
    </w:p>
    <w:p w:rsidR="000A22AE" w:rsidRPr="00762161" w:rsidRDefault="000A22AE" w:rsidP="000A22AE">
      <w:pPr>
        <w:pStyle w:val="ListParagraph"/>
        <w:keepNext/>
        <w:keepLines/>
        <w:numPr>
          <w:ilvl w:val="0"/>
          <w:numId w:val="23"/>
        </w:numPr>
        <w:spacing w:before="480"/>
        <w:contextualSpacing w:val="0"/>
        <w:outlineLvl w:val="0"/>
        <w:rPr>
          <w:rFonts w:asciiTheme="majorHAnsi" w:eastAsiaTheme="majorEastAsia" w:hAnsiTheme="majorHAnsi" w:cstheme="majorBidi"/>
          <w:b/>
          <w:bCs/>
          <w:vanish/>
          <w:color w:val="365F91" w:themeColor="accent1" w:themeShade="BF"/>
          <w:sz w:val="28"/>
          <w:szCs w:val="28"/>
        </w:rPr>
      </w:pPr>
      <w:bookmarkStart w:id="347" w:name="_Toc285274096"/>
      <w:bookmarkStart w:id="348" w:name="_Toc286584831"/>
      <w:bookmarkStart w:id="349" w:name="_Toc286603543"/>
      <w:bookmarkStart w:id="350" w:name="_Toc286616332"/>
      <w:bookmarkEnd w:id="347"/>
      <w:bookmarkEnd w:id="348"/>
      <w:bookmarkEnd w:id="349"/>
      <w:bookmarkEnd w:id="350"/>
    </w:p>
    <w:p w:rsidR="000A22AE" w:rsidRPr="00762161" w:rsidRDefault="000A22AE" w:rsidP="000A22AE">
      <w:pPr>
        <w:pStyle w:val="ListParagraph"/>
        <w:keepNext/>
        <w:keepLines/>
        <w:numPr>
          <w:ilvl w:val="0"/>
          <w:numId w:val="23"/>
        </w:numPr>
        <w:spacing w:before="480"/>
        <w:contextualSpacing w:val="0"/>
        <w:outlineLvl w:val="0"/>
        <w:rPr>
          <w:rFonts w:asciiTheme="majorHAnsi" w:eastAsiaTheme="majorEastAsia" w:hAnsiTheme="majorHAnsi" w:cstheme="majorBidi"/>
          <w:b/>
          <w:bCs/>
          <w:vanish/>
          <w:color w:val="365F91" w:themeColor="accent1" w:themeShade="BF"/>
          <w:sz w:val="28"/>
          <w:szCs w:val="28"/>
        </w:rPr>
      </w:pPr>
      <w:bookmarkStart w:id="351" w:name="_Toc285274097"/>
      <w:bookmarkStart w:id="352" w:name="_Toc286584832"/>
      <w:bookmarkStart w:id="353" w:name="_Toc286603544"/>
      <w:bookmarkStart w:id="354" w:name="_Toc286616333"/>
      <w:bookmarkEnd w:id="351"/>
      <w:bookmarkEnd w:id="352"/>
      <w:bookmarkEnd w:id="353"/>
      <w:bookmarkEnd w:id="354"/>
    </w:p>
    <w:p w:rsidR="000A22AE" w:rsidRPr="00762161" w:rsidRDefault="000A22AE" w:rsidP="000A22AE">
      <w:pPr>
        <w:pStyle w:val="Heading1"/>
        <w:numPr>
          <w:ilvl w:val="0"/>
          <w:numId w:val="23"/>
        </w:numPr>
      </w:pPr>
      <w:bookmarkStart w:id="355" w:name="_Toc286616334"/>
      <w:r w:rsidRPr="00762161">
        <w:t>Appendix</w:t>
      </w:r>
      <w:bookmarkEnd w:id="355"/>
    </w:p>
    <w:p w:rsidR="000A22AE" w:rsidRPr="00762161" w:rsidRDefault="000A22AE" w:rsidP="000A22AE"/>
    <w:p w:rsidR="000A22AE" w:rsidRPr="00762161" w:rsidRDefault="000A22AE" w:rsidP="000A22AE">
      <w:pPr>
        <w:pStyle w:val="Heading2"/>
      </w:pPr>
      <w:bookmarkStart w:id="356" w:name="_Toc282531640"/>
      <w:bookmarkStart w:id="357" w:name="_Toc286616335"/>
      <w:r w:rsidRPr="00762161">
        <w:t>Table 1</w:t>
      </w:r>
      <w:bookmarkEnd w:id="356"/>
      <w:r w:rsidRPr="00762161">
        <w:t xml:space="preserve">: The Relationship between GDP and </w:t>
      </w:r>
      <w:r w:rsidR="00627488">
        <w:t>Real Stock Price</w:t>
      </w:r>
      <w:r w:rsidRPr="00762161">
        <w:t>s (Quarterly 1969-1988)</w:t>
      </w:r>
      <w:bookmarkEnd w:id="357"/>
    </w:p>
    <w:tbl>
      <w:tblPr>
        <w:tblW w:w="0" w:type="auto"/>
        <w:tblInd w:w="93" w:type="dxa"/>
        <w:tblLook w:val="04A0"/>
      </w:tblPr>
      <w:tblGrid>
        <w:gridCol w:w="756"/>
        <w:gridCol w:w="996"/>
        <w:gridCol w:w="771"/>
        <w:gridCol w:w="771"/>
        <w:gridCol w:w="711"/>
        <w:gridCol w:w="711"/>
        <w:gridCol w:w="711"/>
        <w:gridCol w:w="801"/>
        <w:gridCol w:w="801"/>
        <w:gridCol w:w="711"/>
        <w:gridCol w:w="711"/>
        <w:gridCol w:w="621"/>
        <w:gridCol w:w="801"/>
        <w:gridCol w:w="866"/>
        <w:gridCol w:w="621"/>
        <w:gridCol w:w="736"/>
      </w:tblGrid>
      <w:tr w:rsidR="000A22AE" w:rsidRPr="00DA7E4C" w:rsidTr="000A22AE">
        <w:trPr>
          <w:trHeight w:val="300"/>
        </w:trPr>
        <w:tc>
          <w:tcPr>
            <w:tcW w:w="0" w:type="auto"/>
            <w:tcBorders>
              <w:top w:val="single" w:sz="8" w:space="0" w:color="auto"/>
              <w:left w:val="single" w:sz="8" w:space="0" w:color="auto"/>
              <w:bottom w:val="single" w:sz="8" w:space="0" w:color="auto"/>
              <w:right w:val="nil"/>
            </w:tcBorders>
            <w:shd w:val="clear" w:color="auto" w:fill="auto"/>
            <w:noWrap/>
            <w:vAlign w:val="bottom"/>
            <w:hideMark/>
          </w:tcPr>
          <w:p w:rsidR="000A22AE" w:rsidRPr="00DA7E4C" w:rsidRDefault="000A22AE" w:rsidP="000A22AE">
            <w:pPr>
              <w:spacing w:before="0" w:after="0" w:line="240" w:lineRule="auto"/>
              <w:jc w:val="center"/>
              <w:rPr>
                <w:rFonts w:eastAsia="Times New Roman" w:cs="Times New Roman"/>
                <w:sz w:val="18"/>
                <w:szCs w:val="18"/>
              </w:rPr>
            </w:pPr>
            <w:r w:rsidRPr="00DA7E4C">
              <w:rPr>
                <w:rFonts w:eastAsia="Times New Roman" w:cs="Times New Roman"/>
                <w:sz w:val="18"/>
                <w:szCs w:val="18"/>
              </w:rPr>
              <w:t>Sample</w:t>
            </w:r>
          </w:p>
        </w:tc>
        <w:tc>
          <w:tcPr>
            <w:tcW w:w="0" w:type="auto"/>
            <w:tcBorders>
              <w:top w:val="single" w:sz="8" w:space="0" w:color="auto"/>
              <w:left w:val="nil"/>
              <w:bottom w:val="single" w:sz="8" w:space="0" w:color="auto"/>
              <w:right w:val="single" w:sz="8" w:space="0" w:color="auto"/>
            </w:tcBorders>
            <w:shd w:val="clear" w:color="auto" w:fill="auto"/>
            <w:noWrap/>
            <w:vAlign w:val="bottom"/>
            <w:hideMark/>
          </w:tcPr>
          <w:p w:rsidR="000A22AE" w:rsidRPr="00DA7E4C" w:rsidRDefault="000A22AE" w:rsidP="000A22AE">
            <w:pPr>
              <w:spacing w:before="0" w:after="0" w:line="240" w:lineRule="auto"/>
              <w:jc w:val="center"/>
              <w:rPr>
                <w:rFonts w:eastAsia="Times New Roman" w:cs="Times New Roman"/>
                <w:sz w:val="18"/>
                <w:szCs w:val="18"/>
              </w:rPr>
            </w:pPr>
            <w:r w:rsidRPr="00DA7E4C">
              <w:rPr>
                <w:rFonts w:eastAsia="Times New Roman" w:cs="Times New Roman"/>
                <w:sz w:val="18"/>
                <w:szCs w:val="18"/>
              </w:rPr>
              <w:t>1969-1988</w:t>
            </w:r>
          </w:p>
        </w:tc>
        <w:tc>
          <w:tcPr>
            <w:tcW w:w="0" w:type="auto"/>
            <w:gridSpan w:val="9"/>
            <w:tcBorders>
              <w:top w:val="single" w:sz="8" w:space="0" w:color="auto"/>
              <w:left w:val="nil"/>
              <w:bottom w:val="nil"/>
              <w:right w:val="single" w:sz="8" w:space="0" w:color="000000"/>
            </w:tcBorders>
            <w:shd w:val="clear" w:color="auto" w:fill="auto"/>
            <w:vAlign w:val="bottom"/>
            <w:hideMark/>
          </w:tcPr>
          <w:p w:rsidR="000A22AE" w:rsidRPr="00DA7E4C" w:rsidRDefault="000A22AE" w:rsidP="000A22AE">
            <w:pPr>
              <w:spacing w:before="0" w:after="0" w:line="240" w:lineRule="auto"/>
              <w:jc w:val="center"/>
              <w:rPr>
                <w:rFonts w:eastAsia="Times New Roman" w:cs="Times New Roman"/>
                <w:color w:val="000000"/>
                <w:sz w:val="18"/>
                <w:szCs w:val="18"/>
              </w:rPr>
            </w:pPr>
            <w:r w:rsidRPr="00DA7E4C">
              <w:rPr>
                <w:rFonts w:eastAsia="Times New Roman" w:cs="Times New Roman"/>
                <w:color w:val="000000"/>
                <w:sz w:val="18"/>
                <w:szCs w:val="18"/>
              </w:rPr>
              <w:t xml:space="preserve">Real Stock </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color w:val="000000"/>
                <w:sz w:val="18"/>
                <w:szCs w:val="18"/>
              </w:rPr>
            </w:pPr>
          </w:p>
        </w:tc>
        <w:tc>
          <w:tcPr>
            <w:tcW w:w="0" w:type="auto"/>
            <w:tcBorders>
              <w:top w:val="nil"/>
              <w:left w:val="nil"/>
              <w:bottom w:val="nil"/>
              <w:right w:val="single" w:sz="4" w:space="0" w:color="auto"/>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color w:val="000000"/>
                <w:sz w:val="18"/>
                <w:szCs w:val="18"/>
              </w:rPr>
            </w:pPr>
          </w:p>
        </w:tc>
        <w:tc>
          <w:tcPr>
            <w:tcW w:w="0" w:type="auto"/>
            <w:vMerge w:val="restart"/>
            <w:tcBorders>
              <w:top w:val="single" w:sz="4" w:space="0" w:color="auto"/>
              <w:left w:val="single" w:sz="4" w:space="0" w:color="auto"/>
              <w:bottom w:val="single" w:sz="8" w:space="0" w:color="auto"/>
              <w:right w:val="single" w:sz="4" w:space="0" w:color="auto"/>
            </w:tcBorders>
            <w:shd w:val="clear" w:color="auto" w:fill="auto"/>
            <w:noWrap/>
            <w:vAlign w:val="center"/>
            <w:hideMark/>
          </w:tcPr>
          <w:p w:rsidR="000A22AE" w:rsidRPr="00DA7E4C" w:rsidRDefault="000A22AE" w:rsidP="000A22AE">
            <w:pPr>
              <w:spacing w:before="0" w:after="0" w:line="240" w:lineRule="auto"/>
              <w:jc w:val="center"/>
              <w:rPr>
                <w:rFonts w:eastAsia="Times New Roman" w:cs="Times New Roman"/>
                <w:sz w:val="18"/>
                <w:szCs w:val="18"/>
              </w:rPr>
            </w:pPr>
            <w:r w:rsidRPr="00DA7E4C">
              <w:rPr>
                <w:rFonts w:eastAsia="Times New Roman" w:cs="Times New Roman"/>
                <w:sz w:val="18"/>
                <w:szCs w:val="18"/>
              </w:rPr>
              <w:t>Adjusted</w:t>
            </w:r>
          </w:p>
          <w:p w:rsidR="000A22AE" w:rsidRPr="00DA7E4C" w:rsidRDefault="000A22AE" w:rsidP="000A22AE">
            <w:pPr>
              <w:spacing w:before="0" w:after="0" w:line="240" w:lineRule="auto"/>
              <w:jc w:val="center"/>
              <w:rPr>
                <w:rFonts w:eastAsia="Times New Roman" w:cs="Times New Roman"/>
                <w:color w:val="000000"/>
                <w:sz w:val="18"/>
                <w:szCs w:val="18"/>
              </w:rPr>
            </w:pPr>
            <w:r w:rsidRPr="00DA7E4C">
              <w:rPr>
                <w:rFonts w:eastAsia="Times New Roman" w:cs="Times New Roman"/>
                <w:sz w:val="18"/>
                <w:szCs w:val="18"/>
              </w:rPr>
              <w:t>R-square</w:t>
            </w:r>
          </w:p>
        </w:tc>
        <w:tc>
          <w:tcPr>
            <w:tcW w:w="0" w:type="auto"/>
            <w:tcBorders>
              <w:top w:val="nil"/>
              <w:left w:val="single" w:sz="4" w:space="0" w:color="auto"/>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color w:val="000000"/>
                <w:sz w:val="18"/>
                <w:szCs w:val="18"/>
              </w:rPr>
            </w:pPr>
          </w:p>
        </w:tc>
      </w:tr>
      <w:tr w:rsidR="000A22AE" w:rsidRPr="00DA7E4C" w:rsidTr="000A22AE">
        <w:trPr>
          <w:trHeight w:val="255"/>
        </w:trPr>
        <w:tc>
          <w:tcPr>
            <w:tcW w:w="0" w:type="auto"/>
            <w:tcBorders>
              <w:top w:val="nil"/>
              <w:left w:val="single" w:sz="8" w:space="0" w:color="auto"/>
              <w:bottom w:val="single" w:sz="8" w:space="0" w:color="auto"/>
              <w:right w:val="single" w:sz="8" w:space="0" w:color="auto"/>
            </w:tcBorders>
            <w:shd w:val="clear" w:color="auto" w:fill="auto"/>
            <w:noWrap/>
            <w:vAlign w:val="center"/>
            <w:hideMark/>
          </w:tcPr>
          <w:p w:rsidR="000A22AE" w:rsidRPr="00DA7E4C" w:rsidRDefault="000A22AE" w:rsidP="000A22AE">
            <w:pPr>
              <w:spacing w:before="0" w:after="0" w:line="240" w:lineRule="auto"/>
              <w:jc w:val="center"/>
              <w:rPr>
                <w:rFonts w:eastAsia="Times New Roman" w:cs="Times New Roman"/>
                <w:sz w:val="18"/>
                <w:szCs w:val="18"/>
              </w:rPr>
            </w:pPr>
            <w:r w:rsidRPr="00DA7E4C">
              <w:rPr>
                <w:rFonts w:eastAsia="Times New Roman" w:cs="Times New Roman"/>
                <w:sz w:val="18"/>
                <w:szCs w:val="18"/>
              </w:rPr>
              <w:t>No</w:t>
            </w:r>
          </w:p>
        </w:tc>
        <w:tc>
          <w:tcPr>
            <w:tcW w:w="0" w:type="auto"/>
            <w:tcBorders>
              <w:top w:val="nil"/>
              <w:left w:val="nil"/>
              <w:bottom w:val="single" w:sz="8" w:space="0" w:color="auto"/>
              <w:right w:val="single" w:sz="8" w:space="0" w:color="auto"/>
            </w:tcBorders>
            <w:shd w:val="clear" w:color="auto" w:fill="auto"/>
            <w:noWrap/>
            <w:vAlign w:val="center"/>
            <w:hideMark/>
          </w:tcPr>
          <w:p w:rsidR="000A22AE" w:rsidRPr="00DA7E4C" w:rsidRDefault="000A22AE" w:rsidP="000A22AE">
            <w:pPr>
              <w:spacing w:before="0" w:after="0" w:line="240" w:lineRule="auto"/>
              <w:jc w:val="center"/>
              <w:rPr>
                <w:rFonts w:eastAsia="Times New Roman" w:cs="Times New Roman"/>
                <w:sz w:val="18"/>
                <w:szCs w:val="18"/>
              </w:rPr>
            </w:pPr>
            <w:r w:rsidRPr="00DA7E4C">
              <w:rPr>
                <w:rFonts w:eastAsia="Times New Roman" w:cs="Times New Roman"/>
                <w:sz w:val="18"/>
                <w:szCs w:val="18"/>
              </w:rPr>
              <w:t>Intercept</w:t>
            </w:r>
          </w:p>
        </w:tc>
        <w:tc>
          <w:tcPr>
            <w:tcW w:w="0" w:type="auto"/>
            <w:tcBorders>
              <w:top w:val="nil"/>
              <w:left w:val="nil"/>
              <w:bottom w:val="single" w:sz="8" w:space="0" w:color="auto"/>
              <w:right w:val="single" w:sz="8" w:space="0" w:color="auto"/>
            </w:tcBorders>
            <w:shd w:val="clear" w:color="auto" w:fill="auto"/>
            <w:vAlign w:val="center"/>
            <w:hideMark/>
          </w:tcPr>
          <w:p w:rsidR="000A22AE" w:rsidRPr="00DA7E4C" w:rsidRDefault="000A22AE" w:rsidP="000A22AE">
            <w:pPr>
              <w:spacing w:before="0" w:after="0" w:line="240" w:lineRule="auto"/>
              <w:jc w:val="center"/>
              <w:rPr>
                <w:rFonts w:eastAsia="Times New Roman" w:cs="Times New Roman"/>
                <w:sz w:val="18"/>
                <w:szCs w:val="18"/>
              </w:rPr>
            </w:pPr>
            <w:r w:rsidRPr="00DA7E4C">
              <w:rPr>
                <w:rFonts w:eastAsia="Times New Roman" w:cs="Times New Roman"/>
                <w:sz w:val="18"/>
                <w:szCs w:val="18"/>
              </w:rPr>
              <w:t>t</w:t>
            </w:r>
          </w:p>
        </w:tc>
        <w:tc>
          <w:tcPr>
            <w:tcW w:w="0" w:type="auto"/>
            <w:tcBorders>
              <w:top w:val="nil"/>
              <w:left w:val="nil"/>
              <w:bottom w:val="single" w:sz="8" w:space="0" w:color="auto"/>
              <w:right w:val="single" w:sz="8" w:space="0" w:color="auto"/>
            </w:tcBorders>
            <w:shd w:val="clear" w:color="auto" w:fill="auto"/>
            <w:vAlign w:val="center"/>
            <w:hideMark/>
          </w:tcPr>
          <w:p w:rsidR="000A22AE" w:rsidRPr="00DA7E4C" w:rsidRDefault="000A22AE" w:rsidP="000A22AE">
            <w:pPr>
              <w:spacing w:before="0" w:after="0" w:line="240" w:lineRule="auto"/>
              <w:jc w:val="center"/>
              <w:rPr>
                <w:rFonts w:eastAsia="Times New Roman" w:cs="Times New Roman"/>
                <w:sz w:val="18"/>
                <w:szCs w:val="18"/>
              </w:rPr>
            </w:pPr>
            <w:r w:rsidRPr="00DA7E4C">
              <w:rPr>
                <w:rFonts w:eastAsia="Times New Roman" w:cs="Times New Roman"/>
                <w:sz w:val="18"/>
                <w:szCs w:val="18"/>
              </w:rPr>
              <w:t>t-1</w:t>
            </w:r>
          </w:p>
        </w:tc>
        <w:tc>
          <w:tcPr>
            <w:tcW w:w="0" w:type="auto"/>
            <w:tcBorders>
              <w:top w:val="nil"/>
              <w:left w:val="nil"/>
              <w:bottom w:val="single" w:sz="8" w:space="0" w:color="auto"/>
              <w:right w:val="single" w:sz="8" w:space="0" w:color="auto"/>
            </w:tcBorders>
            <w:shd w:val="clear" w:color="auto" w:fill="auto"/>
            <w:vAlign w:val="center"/>
            <w:hideMark/>
          </w:tcPr>
          <w:p w:rsidR="000A22AE" w:rsidRPr="00DA7E4C" w:rsidRDefault="000A22AE" w:rsidP="000A22AE">
            <w:pPr>
              <w:spacing w:before="0" w:after="0" w:line="240" w:lineRule="auto"/>
              <w:jc w:val="center"/>
              <w:rPr>
                <w:rFonts w:eastAsia="Times New Roman" w:cs="Times New Roman"/>
                <w:sz w:val="18"/>
                <w:szCs w:val="18"/>
              </w:rPr>
            </w:pPr>
            <w:r w:rsidRPr="00DA7E4C">
              <w:rPr>
                <w:rFonts w:eastAsia="Times New Roman" w:cs="Times New Roman"/>
                <w:sz w:val="18"/>
                <w:szCs w:val="18"/>
              </w:rPr>
              <w:t>t-2</w:t>
            </w:r>
          </w:p>
        </w:tc>
        <w:tc>
          <w:tcPr>
            <w:tcW w:w="0" w:type="auto"/>
            <w:tcBorders>
              <w:top w:val="nil"/>
              <w:left w:val="nil"/>
              <w:bottom w:val="single" w:sz="8" w:space="0" w:color="auto"/>
              <w:right w:val="single" w:sz="8" w:space="0" w:color="auto"/>
            </w:tcBorders>
            <w:shd w:val="clear" w:color="auto" w:fill="auto"/>
            <w:vAlign w:val="center"/>
            <w:hideMark/>
          </w:tcPr>
          <w:p w:rsidR="000A22AE" w:rsidRPr="00DA7E4C" w:rsidRDefault="000A22AE" w:rsidP="000A22AE">
            <w:pPr>
              <w:spacing w:before="0" w:after="0" w:line="240" w:lineRule="auto"/>
              <w:jc w:val="center"/>
              <w:rPr>
                <w:rFonts w:eastAsia="Times New Roman" w:cs="Times New Roman"/>
                <w:sz w:val="18"/>
                <w:szCs w:val="18"/>
              </w:rPr>
            </w:pPr>
            <w:r w:rsidRPr="00DA7E4C">
              <w:rPr>
                <w:rFonts w:eastAsia="Times New Roman" w:cs="Times New Roman"/>
                <w:sz w:val="18"/>
                <w:szCs w:val="18"/>
              </w:rPr>
              <w:t>t-3</w:t>
            </w:r>
          </w:p>
        </w:tc>
        <w:tc>
          <w:tcPr>
            <w:tcW w:w="0" w:type="auto"/>
            <w:tcBorders>
              <w:top w:val="nil"/>
              <w:left w:val="nil"/>
              <w:bottom w:val="single" w:sz="8" w:space="0" w:color="auto"/>
              <w:right w:val="single" w:sz="8" w:space="0" w:color="auto"/>
            </w:tcBorders>
            <w:shd w:val="clear" w:color="auto" w:fill="auto"/>
            <w:vAlign w:val="center"/>
            <w:hideMark/>
          </w:tcPr>
          <w:p w:rsidR="000A22AE" w:rsidRPr="00DA7E4C" w:rsidRDefault="000A22AE" w:rsidP="000A22AE">
            <w:pPr>
              <w:spacing w:before="0" w:after="0" w:line="240" w:lineRule="auto"/>
              <w:jc w:val="center"/>
              <w:rPr>
                <w:rFonts w:eastAsia="Times New Roman" w:cs="Times New Roman"/>
                <w:sz w:val="18"/>
                <w:szCs w:val="18"/>
              </w:rPr>
            </w:pPr>
            <w:r w:rsidRPr="00DA7E4C">
              <w:rPr>
                <w:rFonts w:eastAsia="Times New Roman" w:cs="Times New Roman"/>
                <w:sz w:val="18"/>
                <w:szCs w:val="18"/>
              </w:rPr>
              <w:t>t-4</w:t>
            </w:r>
          </w:p>
        </w:tc>
        <w:tc>
          <w:tcPr>
            <w:tcW w:w="0" w:type="auto"/>
            <w:tcBorders>
              <w:top w:val="nil"/>
              <w:left w:val="nil"/>
              <w:bottom w:val="single" w:sz="8" w:space="0" w:color="auto"/>
              <w:right w:val="single" w:sz="8" w:space="0" w:color="auto"/>
            </w:tcBorders>
            <w:shd w:val="clear" w:color="auto" w:fill="auto"/>
            <w:vAlign w:val="center"/>
            <w:hideMark/>
          </w:tcPr>
          <w:p w:rsidR="000A22AE" w:rsidRPr="00DA7E4C" w:rsidRDefault="000A22AE" w:rsidP="000A22AE">
            <w:pPr>
              <w:spacing w:before="0" w:after="0" w:line="240" w:lineRule="auto"/>
              <w:jc w:val="center"/>
              <w:rPr>
                <w:rFonts w:eastAsia="Times New Roman" w:cs="Times New Roman"/>
                <w:sz w:val="18"/>
                <w:szCs w:val="18"/>
              </w:rPr>
            </w:pPr>
            <w:r w:rsidRPr="00DA7E4C">
              <w:rPr>
                <w:rFonts w:eastAsia="Times New Roman" w:cs="Times New Roman"/>
                <w:sz w:val="18"/>
                <w:szCs w:val="18"/>
              </w:rPr>
              <w:t>t-5</w:t>
            </w:r>
          </w:p>
        </w:tc>
        <w:tc>
          <w:tcPr>
            <w:tcW w:w="0" w:type="auto"/>
            <w:tcBorders>
              <w:top w:val="nil"/>
              <w:left w:val="nil"/>
              <w:bottom w:val="single" w:sz="8" w:space="0" w:color="auto"/>
              <w:right w:val="single" w:sz="8" w:space="0" w:color="auto"/>
            </w:tcBorders>
            <w:shd w:val="clear" w:color="auto" w:fill="auto"/>
            <w:vAlign w:val="center"/>
            <w:hideMark/>
          </w:tcPr>
          <w:p w:rsidR="000A22AE" w:rsidRPr="00DA7E4C" w:rsidRDefault="000A22AE" w:rsidP="000A22AE">
            <w:pPr>
              <w:spacing w:before="0" w:after="0" w:line="240" w:lineRule="auto"/>
              <w:jc w:val="center"/>
              <w:rPr>
                <w:rFonts w:eastAsia="Times New Roman" w:cs="Times New Roman"/>
                <w:sz w:val="18"/>
                <w:szCs w:val="18"/>
              </w:rPr>
            </w:pPr>
            <w:r w:rsidRPr="00DA7E4C">
              <w:rPr>
                <w:rFonts w:eastAsia="Times New Roman" w:cs="Times New Roman"/>
                <w:sz w:val="18"/>
                <w:szCs w:val="18"/>
              </w:rPr>
              <w:t>t-6</w:t>
            </w:r>
          </w:p>
        </w:tc>
        <w:tc>
          <w:tcPr>
            <w:tcW w:w="0" w:type="auto"/>
            <w:tcBorders>
              <w:top w:val="nil"/>
              <w:left w:val="nil"/>
              <w:bottom w:val="single" w:sz="8" w:space="0" w:color="auto"/>
              <w:right w:val="single" w:sz="8" w:space="0" w:color="auto"/>
            </w:tcBorders>
            <w:shd w:val="clear" w:color="auto" w:fill="auto"/>
            <w:vAlign w:val="center"/>
            <w:hideMark/>
          </w:tcPr>
          <w:p w:rsidR="000A22AE" w:rsidRPr="00DA7E4C" w:rsidRDefault="000A22AE" w:rsidP="000A22AE">
            <w:pPr>
              <w:spacing w:before="0" w:after="0" w:line="240" w:lineRule="auto"/>
              <w:jc w:val="center"/>
              <w:rPr>
                <w:rFonts w:eastAsia="Times New Roman" w:cs="Times New Roman"/>
                <w:sz w:val="18"/>
                <w:szCs w:val="18"/>
              </w:rPr>
            </w:pPr>
            <w:r w:rsidRPr="00DA7E4C">
              <w:rPr>
                <w:rFonts w:eastAsia="Times New Roman" w:cs="Times New Roman"/>
                <w:sz w:val="18"/>
                <w:szCs w:val="18"/>
              </w:rPr>
              <w:t>t-7</w:t>
            </w:r>
          </w:p>
        </w:tc>
        <w:tc>
          <w:tcPr>
            <w:tcW w:w="0" w:type="auto"/>
            <w:tcBorders>
              <w:top w:val="nil"/>
              <w:left w:val="nil"/>
              <w:bottom w:val="single" w:sz="8" w:space="0" w:color="auto"/>
              <w:right w:val="single" w:sz="8" w:space="0" w:color="auto"/>
            </w:tcBorders>
            <w:shd w:val="clear" w:color="auto" w:fill="auto"/>
            <w:vAlign w:val="center"/>
            <w:hideMark/>
          </w:tcPr>
          <w:p w:rsidR="000A22AE" w:rsidRPr="00DA7E4C" w:rsidRDefault="000A22AE" w:rsidP="000A22AE">
            <w:pPr>
              <w:spacing w:before="0" w:after="0" w:line="240" w:lineRule="auto"/>
              <w:jc w:val="center"/>
              <w:rPr>
                <w:rFonts w:eastAsia="Times New Roman" w:cs="Times New Roman"/>
                <w:sz w:val="18"/>
                <w:szCs w:val="18"/>
              </w:rPr>
            </w:pPr>
            <w:r w:rsidRPr="00DA7E4C">
              <w:rPr>
                <w:rFonts w:eastAsia="Times New Roman" w:cs="Times New Roman"/>
                <w:sz w:val="18"/>
                <w:szCs w:val="18"/>
              </w:rPr>
              <w:t>t-8</w:t>
            </w:r>
          </w:p>
        </w:tc>
        <w:tc>
          <w:tcPr>
            <w:tcW w:w="0" w:type="auto"/>
            <w:tcBorders>
              <w:top w:val="single" w:sz="8" w:space="0" w:color="auto"/>
              <w:left w:val="nil"/>
              <w:bottom w:val="single" w:sz="8" w:space="0" w:color="auto"/>
              <w:right w:val="single" w:sz="8" w:space="0" w:color="auto"/>
            </w:tcBorders>
            <w:shd w:val="clear" w:color="auto" w:fill="auto"/>
            <w:vAlign w:val="center"/>
            <w:hideMark/>
          </w:tcPr>
          <w:p w:rsidR="000A22AE" w:rsidRPr="00DA7E4C" w:rsidRDefault="000A22AE" w:rsidP="000A22AE">
            <w:pPr>
              <w:spacing w:before="0" w:after="0" w:line="240" w:lineRule="auto"/>
              <w:jc w:val="center"/>
              <w:rPr>
                <w:rFonts w:eastAsia="Times New Roman" w:cs="Times New Roman"/>
                <w:sz w:val="18"/>
                <w:szCs w:val="18"/>
              </w:rPr>
            </w:pPr>
            <w:r w:rsidRPr="00DA7E4C">
              <w:rPr>
                <w:rFonts w:eastAsia="Times New Roman" w:cs="Times New Roman"/>
                <w:sz w:val="18"/>
                <w:szCs w:val="18"/>
              </w:rPr>
              <w:t>AR</w:t>
            </w:r>
          </w:p>
        </w:tc>
        <w:tc>
          <w:tcPr>
            <w:tcW w:w="0" w:type="auto"/>
            <w:tcBorders>
              <w:top w:val="single" w:sz="8" w:space="0" w:color="auto"/>
              <w:left w:val="nil"/>
              <w:bottom w:val="single" w:sz="8" w:space="0" w:color="auto"/>
              <w:right w:val="single" w:sz="4" w:space="0" w:color="auto"/>
            </w:tcBorders>
            <w:shd w:val="clear" w:color="auto" w:fill="auto"/>
            <w:noWrap/>
            <w:vAlign w:val="center"/>
            <w:hideMark/>
          </w:tcPr>
          <w:p w:rsidR="000A22AE" w:rsidRPr="00DA7E4C" w:rsidRDefault="000A22AE" w:rsidP="000A22AE">
            <w:pPr>
              <w:spacing w:before="0" w:after="0" w:line="240" w:lineRule="auto"/>
              <w:jc w:val="center"/>
              <w:rPr>
                <w:rFonts w:eastAsia="Times New Roman" w:cs="Times New Roman"/>
                <w:sz w:val="18"/>
                <w:szCs w:val="18"/>
              </w:rPr>
            </w:pPr>
            <w:r w:rsidRPr="00DA7E4C">
              <w:rPr>
                <w:rFonts w:eastAsia="Times New Roman" w:cs="Times New Roman"/>
                <w:sz w:val="18"/>
                <w:szCs w:val="18"/>
              </w:rPr>
              <w:t>F Value</w:t>
            </w:r>
          </w:p>
        </w:tc>
        <w:tc>
          <w:tcPr>
            <w:tcW w:w="0" w:type="auto"/>
            <w:vMerge/>
            <w:tcBorders>
              <w:left w:val="single" w:sz="4" w:space="0" w:color="auto"/>
              <w:bottom w:val="single" w:sz="8" w:space="0" w:color="auto"/>
              <w:right w:val="single" w:sz="4" w:space="0" w:color="auto"/>
            </w:tcBorders>
            <w:shd w:val="clear" w:color="auto" w:fill="auto"/>
            <w:noWrap/>
            <w:vAlign w:val="center"/>
            <w:hideMark/>
          </w:tcPr>
          <w:p w:rsidR="000A22AE" w:rsidRPr="00DA7E4C" w:rsidRDefault="000A22AE" w:rsidP="000A22AE">
            <w:pPr>
              <w:spacing w:before="0" w:after="0" w:line="240" w:lineRule="auto"/>
              <w:jc w:val="center"/>
              <w:rPr>
                <w:rFonts w:eastAsia="Times New Roman" w:cs="Times New Roman"/>
                <w:sz w:val="18"/>
                <w:szCs w:val="18"/>
              </w:rPr>
            </w:pPr>
          </w:p>
        </w:tc>
        <w:tc>
          <w:tcPr>
            <w:tcW w:w="0" w:type="auto"/>
            <w:tcBorders>
              <w:top w:val="single" w:sz="8" w:space="0" w:color="auto"/>
              <w:left w:val="single" w:sz="4" w:space="0" w:color="auto"/>
              <w:bottom w:val="single" w:sz="8" w:space="0" w:color="auto"/>
              <w:right w:val="single" w:sz="8" w:space="0" w:color="auto"/>
            </w:tcBorders>
            <w:shd w:val="clear" w:color="auto" w:fill="auto"/>
            <w:noWrap/>
            <w:vAlign w:val="center"/>
            <w:hideMark/>
          </w:tcPr>
          <w:p w:rsidR="000A22AE" w:rsidRPr="00DA7E4C" w:rsidRDefault="000A22AE" w:rsidP="000A22AE">
            <w:pPr>
              <w:spacing w:before="0" w:after="0" w:line="240" w:lineRule="auto"/>
              <w:jc w:val="center"/>
              <w:rPr>
                <w:rFonts w:eastAsia="Times New Roman" w:cs="Times New Roman"/>
                <w:sz w:val="18"/>
                <w:szCs w:val="18"/>
              </w:rPr>
            </w:pPr>
            <w:r w:rsidRPr="00DA7E4C">
              <w:rPr>
                <w:rFonts w:eastAsia="Times New Roman" w:cs="Times New Roman"/>
                <w:sz w:val="18"/>
                <w:szCs w:val="18"/>
              </w:rPr>
              <w:t>DW</w:t>
            </w:r>
          </w:p>
        </w:tc>
        <w:tc>
          <w:tcPr>
            <w:tcW w:w="0" w:type="auto"/>
            <w:tcBorders>
              <w:top w:val="single" w:sz="8" w:space="0" w:color="auto"/>
              <w:left w:val="nil"/>
              <w:bottom w:val="single" w:sz="8" w:space="0" w:color="auto"/>
              <w:right w:val="single" w:sz="8" w:space="0" w:color="auto"/>
            </w:tcBorders>
            <w:shd w:val="clear" w:color="auto" w:fill="auto"/>
            <w:vAlign w:val="center"/>
            <w:hideMark/>
          </w:tcPr>
          <w:p w:rsidR="000A22AE" w:rsidRPr="00DA7E4C" w:rsidRDefault="000A22AE" w:rsidP="000A22AE">
            <w:pPr>
              <w:spacing w:before="0" w:after="0" w:line="240" w:lineRule="auto"/>
              <w:jc w:val="center"/>
              <w:rPr>
                <w:rFonts w:eastAsia="Times New Roman" w:cs="Times New Roman"/>
                <w:color w:val="000000"/>
                <w:sz w:val="18"/>
                <w:szCs w:val="18"/>
              </w:rPr>
            </w:pPr>
            <w:r w:rsidRPr="00DA7E4C">
              <w:rPr>
                <w:rFonts w:eastAsia="Times New Roman" w:cs="Times New Roman"/>
                <w:color w:val="000000"/>
                <w:sz w:val="18"/>
                <w:szCs w:val="18"/>
              </w:rPr>
              <w:t>Akaike</w:t>
            </w:r>
          </w:p>
        </w:tc>
      </w:tr>
      <w:tr w:rsidR="000A22AE" w:rsidRPr="00DA7E4C" w:rsidTr="000A22AE">
        <w:trPr>
          <w:trHeight w:val="240"/>
        </w:trPr>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center"/>
              <w:rPr>
                <w:rFonts w:eastAsia="Times New Roman" w:cs="Times New Roman"/>
                <w:sz w:val="18"/>
                <w:szCs w:val="18"/>
              </w:rPr>
            </w:pPr>
            <w:r w:rsidRPr="00DA7E4C">
              <w:rPr>
                <w:rFonts w:eastAsia="Times New Roman" w:cs="Times New Roman"/>
                <w:sz w:val="18"/>
                <w:szCs w:val="18"/>
              </w:rPr>
              <w:t>1</w:t>
            </w:r>
          </w:p>
        </w:tc>
        <w:tc>
          <w:tcPr>
            <w:tcW w:w="0" w:type="auto"/>
            <w:tcBorders>
              <w:top w:val="nil"/>
              <w:left w:val="nil"/>
              <w:bottom w:val="nil"/>
              <w:right w:val="nil"/>
            </w:tcBorders>
            <w:shd w:val="clear" w:color="auto" w:fill="auto"/>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-768.573</w:t>
            </w:r>
          </w:p>
        </w:tc>
        <w:tc>
          <w:tcPr>
            <w:tcW w:w="0" w:type="auto"/>
            <w:tcBorders>
              <w:top w:val="nil"/>
              <w:left w:val="nil"/>
              <w:bottom w:val="nil"/>
              <w:right w:val="nil"/>
            </w:tcBorders>
            <w:shd w:val="clear" w:color="auto" w:fill="auto"/>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3.521</w:t>
            </w:r>
          </w:p>
        </w:tc>
        <w:tc>
          <w:tcPr>
            <w:tcW w:w="0" w:type="auto"/>
            <w:tcBorders>
              <w:top w:val="nil"/>
              <w:left w:val="nil"/>
              <w:bottom w:val="nil"/>
              <w:right w:val="nil"/>
            </w:tcBorders>
            <w:shd w:val="clear" w:color="auto" w:fill="auto"/>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-24.610</w:t>
            </w:r>
          </w:p>
        </w:tc>
        <w:tc>
          <w:tcPr>
            <w:tcW w:w="0" w:type="auto"/>
            <w:tcBorders>
              <w:top w:val="nil"/>
              <w:left w:val="nil"/>
              <w:bottom w:val="nil"/>
              <w:right w:val="nil"/>
            </w:tcBorders>
            <w:shd w:val="clear" w:color="auto" w:fill="auto"/>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36.220</w:t>
            </w:r>
          </w:p>
        </w:tc>
        <w:tc>
          <w:tcPr>
            <w:tcW w:w="0" w:type="auto"/>
            <w:tcBorders>
              <w:top w:val="nil"/>
              <w:left w:val="nil"/>
              <w:bottom w:val="nil"/>
              <w:right w:val="nil"/>
            </w:tcBorders>
            <w:shd w:val="clear" w:color="auto" w:fill="auto"/>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80.421</w:t>
            </w:r>
          </w:p>
        </w:tc>
        <w:tc>
          <w:tcPr>
            <w:tcW w:w="0" w:type="auto"/>
            <w:tcBorders>
              <w:top w:val="nil"/>
              <w:left w:val="nil"/>
              <w:bottom w:val="nil"/>
              <w:right w:val="nil"/>
            </w:tcBorders>
            <w:shd w:val="clear" w:color="auto" w:fill="auto"/>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99.692</w:t>
            </w:r>
          </w:p>
        </w:tc>
        <w:tc>
          <w:tcPr>
            <w:tcW w:w="0" w:type="auto"/>
            <w:tcBorders>
              <w:top w:val="nil"/>
              <w:left w:val="nil"/>
              <w:bottom w:val="nil"/>
              <w:right w:val="nil"/>
            </w:tcBorders>
            <w:shd w:val="clear" w:color="auto" w:fill="auto"/>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200.804</w:t>
            </w:r>
          </w:p>
        </w:tc>
        <w:tc>
          <w:tcPr>
            <w:tcW w:w="0" w:type="auto"/>
            <w:tcBorders>
              <w:top w:val="nil"/>
              <w:left w:val="nil"/>
              <w:bottom w:val="nil"/>
              <w:right w:val="nil"/>
            </w:tcBorders>
            <w:shd w:val="clear" w:color="auto" w:fill="auto"/>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125.128</w:t>
            </w:r>
          </w:p>
        </w:tc>
        <w:tc>
          <w:tcPr>
            <w:tcW w:w="0" w:type="auto"/>
            <w:tcBorders>
              <w:top w:val="nil"/>
              <w:left w:val="nil"/>
              <w:bottom w:val="nil"/>
              <w:right w:val="nil"/>
            </w:tcBorders>
            <w:shd w:val="clear" w:color="auto" w:fill="auto"/>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67.371</w:t>
            </w:r>
          </w:p>
        </w:tc>
        <w:tc>
          <w:tcPr>
            <w:tcW w:w="0" w:type="auto"/>
            <w:tcBorders>
              <w:top w:val="nil"/>
              <w:left w:val="nil"/>
              <w:bottom w:val="nil"/>
              <w:right w:val="nil"/>
            </w:tcBorders>
            <w:shd w:val="clear" w:color="auto" w:fill="auto"/>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25.939</w:t>
            </w:r>
          </w:p>
        </w:tc>
        <w:tc>
          <w:tcPr>
            <w:tcW w:w="0" w:type="auto"/>
            <w:tcBorders>
              <w:top w:val="nil"/>
              <w:left w:val="nil"/>
              <w:bottom w:val="nil"/>
              <w:right w:val="nil"/>
            </w:tcBorders>
            <w:shd w:val="clear" w:color="auto" w:fill="auto"/>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0.684</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61.950</w:t>
            </w:r>
          </w:p>
        </w:tc>
        <w:tc>
          <w:tcPr>
            <w:tcW w:w="0" w:type="auto"/>
            <w:tcBorders>
              <w:top w:val="nil"/>
              <w:left w:val="nil"/>
              <w:bottom w:val="nil"/>
              <w:right w:val="nil"/>
            </w:tcBorders>
            <w:shd w:val="clear" w:color="auto" w:fill="auto"/>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0.812</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1.837</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20.090</w:t>
            </w:r>
          </w:p>
        </w:tc>
      </w:tr>
      <w:tr w:rsidR="000A22AE" w:rsidRPr="00DA7E4C" w:rsidTr="000A22AE">
        <w:trPr>
          <w:trHeight w:val="240"/>
        </w:trPr>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center"/>
              <w:rPr>
                <w:rFonts w:eastAsia="Times New Roman" w:cs="Times New Roman"/>
                <w:b/>
                <w:sz w:val="18"/>
                <w:szCs w:val="18"/>
              </w:rPr>
            </w:pPr>
          </w:p>
        </w:tc>
        <w:tc>
          <w:tcPr>
            <w:tcW w:w="0" w:type="auto"/>
            <w:tcBorders>
              <w:top w:val="nil"/>
              <w:left w:val="nil"/>
              <w:bottom w:val="nil"/>
              <w:right w:val="nil"/>
            </w:tcBorders>
            <w:shd w:val="clear" w:color="auto" w:fill="auto"/>
            <w:vAlign w:val="bottom"/>
            <w:hideMark/>
          </w:tcPr>
          <w:p w:rsidR="000A22AE" w:rsidRPr="00DA7E4C" w:rsidRDefault="000A22AE" w:rsidP="000A22AE">
            <w:pPr>
              <w:spacing w:before="0" w:after="0" w:line="240" w:lineRule="auto"/>
              <w:jc w:val="right"/>
              <w:rPr>
                <w:rFonts w:eastAsia="Times New Roman" w:cs="Times New Roman"/>
                <w:b/>
                <w:color w:val="000000"/>
                <w:sz w:val="18"/>
                <w:szCs w:val="18"/>
              </w:rPr>
            </w:pPr>
            <w:r w:rsidRPr="00DA7E4C">
              <w:rPr>
                <w:rFonts w:eastAsia="Times New Roman" w:cs="Times New Roman"/>
                <w:b/>
                <w:color w:val="000000"/>
                <w:sz w:val="18"/>
                <w:szCs w:val="18"/>
              </w:rPr>
              <w:t>0.577</w:t>
            </w:r>
          </w:p>
        </w:tc>
        <w:tc>
          <w:tcPr>
            <w:tcW w:w="0" w:type="auto"/>
            <w:tcBorders>
              <w:top w:val="nil"/>
              <w:left w:val="nil"/>
              <w:bottom w:val="nil"/>
              <w:right w:val="nil"/>
            </w:tcBorders>
            <w:shd w:val="clear" w:color="auto" w:fill="auto"/>
            <w:vAlign w:val="bottom"/>
            <w:hideMark/>
          </w:tcPr>
          <w:p w:rsidR="000A22AE" w:rsidRPr="00DA7E4C" w:rsidRDefault="000A22AE" w:rsidP="000A22AE">
            <w:pPr>
              <w:spacing w:before="0" w:after="0" w:line="240" w:lineRule="auto"/>
              <w:jc w:val="right"/>
              <w:rPr>
                <w:rFonts w:eastAsia="Times New Roman" w:cs="Times New Roman"/>
                <w:b/>
                <w:color w:val="000000"/>
                <w:sz w:val="18"/>
                <w:szCs w:val="18"/>
              </w:rPr>
            </w:pPr>
            <w:r w:rsidRPr="00DA7E4C">
              <w:rPr>
                <w:rFonts w:eastAsia="Times New Roman" w:cs="Times New Roman"/>
                <w:b/>
                <w:color w:val="000000"/>
                <w:sz w:val="18"/>
                <w:szCs w:val="18"/>
              </w:rPr>
              <w:t>0.907</w:t>
            </w:r>
          </w:p>
        </w:tc>
        <w:tc>
          <w:tcPr>
            <w:tcW w:w="0" w:type="auto"/>
            <w:tcBorders>
              <w:top w:val="nil"/>
              <w:left w:val="nil"/>
              <w:bottom w:val="nil"/>
              <w:right w:val="nil"/>
            </w:tcBorders>
            <w:shd w:val="clear" w:color="auto" w:fill="auto"/>
            <w:vAlign w:val="bottom"/>
            <w:hideMark/>
          </w:tcPr>
          <w:p w:rsidR="000A22AE" w:rsidRPr="00DA7E4C" w:rsidRDefault="000A22AE" w:rsidP="000A22AE">
            <w:pPr>
              <w:spacing w:before="0" w:after="0" w:line="240" w:lineRule="auto"/>
              <w:jc w:val="right"/>
              <w:rPr>
                <w:rFonts w:eastAsia="Times New Roman" w:cs="Times New Roman"/>
                <w:b/>
                <w:color w:val="000000"/>
                <w:sz w:val="18"/>
                <w:szCs w:val="18"/>
              </w:rPr>
            </w:pPr>
            <w:r w:rsidRPr="00DA7E4C">
              <w:rPr>
                <w:rFonts w:eastAsia="Times New Roman" w:cs="Times New Roman"/>
                <w:b/>
                <w:color w:val="000000"/>
                <w:sz w:val="18"/>
                <w:szCs w:val="18"/>
              </w:rPr>
              <w:t>0.414</w:t>
            </w:r>
          </w:p>
        </w:tc>
        <w:tc>
          <w:tcPr>
            <w:tcW w:w="0" w:type="auto"/>
            <w:tcBorders>
              <w:top w:val="nil"/>
              <w:left w:val="nil"/>
              <w:bottom w:val="nil"/>
              <w:right w:val="nil"/>
            </w:tcBorders>
            <w:shd w:val="clear" w:color="auto" w:fill="auto"/>
            <w:vAlign w:val="bottom"/>
            <w:hideMark/>
          </w:tcPr>
          <w:p w:rsidR="000A22AE" w:rsidRPr="00DA7E4C" w:rsidRDefault="000A22AE" w:rsidP="000A22AE">
            <w:pPr>
              <w:spacing w:before="0" w:after="0" w:line="240" w:lineRule="auto"/>
              <w:jc w:val="right"/>
              <w:rPr>
                <w:rFonts w:eastAsia="Times New Roman" w:cs="Times New Roman"/>
                <w:b/>
                <w:color w:val="000000"/>
                <w:sz w:val="18"/>
                <w:szCs w:val="18"/>
              </w:rPr>
            </w:pPr>
            <w:r w:rsidRPr="00DA7E4C">
              <w:rPr>
                <w:rFonts w:eastAsia="Times New Roman" w:cs="Times New Roman"/>
                <w:b/>
                <w:color w:val="000000"/>
                <w:sz w:val="18"/>
                <w:szCs w:val="18"/>
              </w:rPr>
              <w:t>0.217</w:t>
            </w:r>
          </w:p>
        </w:tc>
        <w:tc>
          <w:tcPr>
            <w:tcW w:w="0" w:type="auto"/>
            <w:tcBorders>
              <w:top w:val="nil"/>
              <w:left w:val="nil"/>
              <w:bottom w:val="nil"/>
              <w:right w:val="nil"/>
            </w:tcBorders>
            <w:shd w:val="clear" w:color="auto" w:fill="auto"/>
            <w:vAlign w:val="bottom"/>
            <w:hideMark/>
          </w:tcPr>
          <w:p w:rsidR="000A22AE" w:rsidRPr="00DA7E4C" w:rsidRDefault="000A22AE" w:rsidP="000A22AE">
            <w:pPr>
              <w:spacing w:before="0" w:after="0" w:line="240" w:lineRule="auto"/>
              <w:jc w:val="right"/>
              <w:rPr>
                <w:rFonts w:eastAsia="Times New Roman" w:cs="Times New Roman"/>
                <w:b/>
                <w:color w:val="000000"/>
                <w:sz w:val="18"/>
                <w:szCs w:val="18"/>
              </w:rPr>
            </w:pPr>
            <w:r w:rsidRPr="00DA7E4C">
              <w:rPr>
                <w:rFonts w:eastAsia="Times New Roman" w:cs="Times New Roman"/>
                <w:b/>
                <w:color w:val="000000"/>
                <w:sz w:val="18"/>
                <w:szCs w:val="18"/>
              </w:rPr>
              <w:t>0.006</w:t>
            </w:r>
          </w:p>
        </w:tc>
        <w:tc>
          <w:tcPr>
            <w:tcW w:w="0" w:type="auto"/>
            <w:tcBorders>
              <w:top w:val="nil"/>
              <w:left w:val="nil"/>
              <w:bottom w:val="nil"/>
              <w:right w:val="nil"/>
            </w:tcBorders>
            <w:shd w:val="clear" w:color="auto" w:fill="auto"/>
            <w:vAlign w:val="bottom"/>
            <w:hideMark/>
          </w:tcPr>
          <w:p w:rsidR="000A22AE" w:rsidRPr="00DA7E4C" w:rsidRDefault="000A22AE" w:rsidP="000A22AE">
            <w:pPr>
              <w:spacing w:before="0" w:after="0" w:line="240" w:lineRule="auto"/>
              <w:jc w:val="right"/>
              <w:rPr>
                <w:rFonts w:eastAsia="Times New Roman" w:cs="Times New Roman"/>
                <w:b/>
                <w:color w:val="000000"/>
                <w:sz w:val="18"/>
                <w:szCs w:val="18"/>
              </w:rPr>
            </w:pPr>
            <w:r w:rsidRPr="00DA7E4C">
              <w:rPr>
                <w:rFonts w:eastAsia="Times New Roman" w:cs="Times New Roman"/>
                <w:b/>
                <w:color w:val="000000"/>
                <w:sz w:val="18"/>
                <w:szCs w:val="18"/>
              </w:rPr>
              <w:t>0.001</w:t>
            </w:r>
          </w:p>
        </w:tc>
        <w:tc>
          <w:tcPr>
            <w:tcW w:w="0" w:type="auto"/>
            <w:tcBorders>
              <w:top w:val="nil"/>
              <w:left w:val="nil"/>
              <w:bottom w:val="nil"/>
              <w:right w:val="nil"/>
            </w:tcBorders>
            <w:shd w:val="clear" w:color="auto" w:fill="auto"/>
            <w:vAlign w:val="bottom"/>
            <w:hideMark/>
          </w:tcPr>
          <w:p w:rsidR="000A22AE" w:rsidRPr="00DA7E4C" w:rsidRDefault="000A22AE" w:rsidP="000A22AE">
            <w:pPr>
              <w:spacing w:before="0" w:after="0" w:line="240" w:lineRule="auto"/>
              <w:jc w:val="right"/>
              <w:rPr>
                <w:rFonts w:eastAsia="Times New Roman" w:cs="Times New Roman"/>
                <w:b/>
                <w:color w:val="000000"/>
                <w:sz w:val="18"/>
                <w:szCs w:val="18"/>
              </w:rPr>
            </w:pPr>
            <w:r w:rsidRPr="00DA7E4C">
              <w:rPr>
                <w:rFonts w:eastAsia="Times New Roman" w:cs="Times New Roman"/>
                <w:b/>
                <w:color w:val="000000"/>
                <w:sz w:val="18"/>
                <w:szCs w:val="18"/>
              </w:rPr>
              <w:t>0.000</w:t>
            </w:r>
          </w:p>
        </w:tc>
        <w:tc>
          <w:tcPr>
            <w:tcW w:w="0" w:type="auto"/>
            <w:tcBorders>
              <w:top w:val="nil"/>
              <w:left w:val="nil"/>
              <w:bottom w:val="nil"/>
              <w:right w:val="nil"/>
            </w:tcBorders>
            <w:shd w:val="clear" w:color="auto" w:fill="auto"/>
            <w:vAlign w:val="bottom"/>
            <w:hideMark/>
          </w:tcPr>
          <w:p w:rsidR="000A22AE" w:rsidRPr="00DA7E4C" w:rsidRDefault="000A22AE" w:rsidP="000A22AE">
            <w:pPr>
              <w:spacing w:before="0" w:after="0" w:line="240" w:lineRule="auto"/>
              <w:jc w:val="right"/>
              <w:rPr>
                <w:rFonts w:eastAsia="Times New Roman" w:cs="Times New Roman"/>
                <w:b/>
                <w:color w:val="000000"/>
                <w:sz w:val="18"/>
                <w:szCs w:val="18"/>
              </w:rPr>
            </w:pPr>
            <w:r w:rsidRPr="00DA7E4C">
              <w:rPr>
                <w:rFonts w:eastAsia="Times New Roman" w:cs="Times New Roman"/>
                <w:b/>
                <w:color w:val="000000"/>
                <w:sz w:val="18"/>
                <w:szCs w:val="18"/>
              </w:rPr>
              <w:t>0.000</w:t>
            </w:r>
          </w:p>
        </w:tc>
        <w:tc>
          <w:tcPr>
            <w:tcW w:w="0" w:type="auto"/>
            <w:tcBorders>
              <w:top w:val="nil"/>
              <w:left w:val="nil"/>
              <w:bottom w:val="nil"/>
              <w:right w:val="nil"/>
            </w:tcBorders>
            <w:shd w:val="clear" w:color="auto" w:fill="auto"/>
            <w:vAlign w:val="bottom"/>
            <w:hideMark/>
          </w:tcPr>
          <w:p w:rsidR="000A22AE" w:rsidRPr="00DA7E4C" w:rsidRDefault="000A22AE" w:rsidP="000A22AE">
            <w:pPr>
              <w:spacing w:before="0" w:after="0" w:line="240" w:lineRule="auto"/>
              <w:jc w:val="right"/>
              <w:rPr>
                <w:rFonts w:eastAsia="Times New Roman" w:cs="Times New Roman"/>
                <w:b/>
                <w:color w:val="000000"/>
                <w:sz w:val="18"/>
                <w:szCs w:val="18"/>
              </w:rPr>
            </w:pPr>
            <w:r w:rsidRPr="00DA7E4C">
              <w:rPr>
                <w:rFonts w:eastAsia="Times New Roman" w:cs="Times New Roman"/>
                <w:b/>
                <w:color w:val="000000"/>
                <w:sz w:val="18"/>
                <w:szCs w:val="18"/>
              </w:rPr>
              <w:t>0.044</w:t>
            </w:r>
          </w:p>
        </w:tc>
        <w:tc>
          <w:tcPr>
            <w:tcW w:w="0" w:type="auto"/>
            <w:tcBorders>
              <w:top w:val="nil"/>
              <w:left w:val="nil"/>
              <w:bottom w:val="nil"/>
              <w:right w:val="nil"/>
            </w:tcBorders>
            <w:shd w:val="clear" w:color="auto" w:fill="auto"/>
            <w:vAlign w:val="bottom"/>
            <w:hideMark/>
          </w:tcPr>
          <w:p w:rsidR="000A22AE" w:rsidRPr="00DA7E4C" w:rsidRDefault="000A22AE" w:rsidP="000A22AE">
            <w:pPr>
              <w:spacing w:before="0" w:after="0" w:line="240" w:lineRule="auto"/>
              <w:jc w:val="right"/>
              <w:rPr>
                <w:rFonts w:eastAsia="Times New Roman" w:cs="Times New Roman"/>
                <w:b/>
                <w:color w:val="000000"/>
                <w:sz w:val="18"/>
                <w:szCs w:val="18"/>
              </w:rPr>
            </w:pPr>
            <w:r w:rsidRPr="00DA7E4C">
              <w:rPr>
                <w:rFonts w:eastAsia="Times New Roman" w:cs="Times New Roman"/>
                <w:b/>
                <w:color w:val="000000"/>
                <w:sz w:val="18"/>
                <w:szCs w:val="18"/>
              </w:rPr>
              <w:t>0.447</w:t>
            </w:r>
          </w:p>
        </w:tc>
        <w:tc>
          <w:tcPr>
            <w:tcW w:w="0" w:type="auto"/>
            <w:tcBorders>
              <w:top w:val="nil"/>
              <w:left w:val="nil"/>
              <w:bottom w:val="nil"/>
              <w:right w:val="nil"/>
            </w:tcBorders>
            <w:shd w:val="clear" w:color="auto" w:fill="auto"/>
            <w:vAlign w:val="bottom"/>
            <w:hideMark/>
          </w:tcPr>
          <w:p w:rsidR="000A22AE" w:rsidRPr="00DA7E4C" w:rsidRDefault="000A22AE" w:rsidP="000A22AE">
            <w:pPr>
              <w:spacing w:before="0" w:after="0" w:line="240" w:lineRule="auto"/>
              <w:jc w:val="right"/>
              <w:rPr>
                <w:rFonts w:eastAsia="Times New Roman" w:cs="Times New Roman"/>
                <w:b/>
                <w:color w:val="000000"/>
                <w:sz w:val="18"/>
                <w:szCs w:val="18"/>
              </w:rPr>
            </w:pPr>
            <w:r w:rsidRPr="00DA7E4C">
              <w:rPr>
                <w:rFonts w:eastAsia="Times New Roman" w:cs="Times New Roman"/>
                <w:b/>
                <w:color w:val="000000"/>
                <w:sz w:val="18"/>
                <w:szCs w:val="18"/>
              </w:rPr>
              <w:t>0.000</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b/>
                <w:color w:val="000000"/>
                <w:sz w:val="18"/>
                <w:szCs w:val="18"/>
              </w:rPr>
            </w:pPr>
            <w:r w:rsidRPr="00DA7E4C">
              <w:rPr>
                <w:rFonts w:eastAsia="Times New Roman" w:cs="Times New Roman"/>
                <w:b/>
                <w:color w:val="000000"/>
                <w:sz w:val="18"/>
                <w:szCs w:val="18"/>
              </w:rPr>
              <w:t>0.000</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b/>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b/>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b/>
                <w:color w:val="000000"/>
                <w:sz w:val="18"/>
                <w:szCs w:val="18"/>
              </w:rPr>
            </w:pPr>
          </w:p>
        </w:tc>
      </w:tr>
      <w:tr w:rsidR="000A22AE" w:rsidRPr="00DA7E4C" w:rsidTr="000A22AE">
        <w:trPr>
          <w:trHeight w:val="240"/>
        </w:trPr>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center"/>
              <w:rPr>
                <w:rFonts w:eastAsia="Times New Roman" w:cs="Times New Roman"/>
                <w:sz w:val="18"/>
                <w:szCs w:val="18"/>
              </w:rPr>
            </w:pPr>
            <w:r w:rsidRPr="00DA7E4C">
              <w:rPr>
                <w:rFonts w:eastAsia="Times New Roman" w:cs="Times New Roman"/>
                <w:sz w:val="18"/>
                <w:szCs w:val="18"/>
              </w:rPr>
              <w:t>2</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-302.604</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-57.948</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0.823</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166.106</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0.676</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1.662</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20.499</w:t>
            </w:r>
          </w:p>
        </w:tc>
      </w:tr>
      <w:tr w:rsidR="000A22AE" w:rsidRPr="00DA7E4C" w:rsidTr="000A22AE">
        <w:trPr>
          <w:trHeight w:val="240"/>
        </w:trPr>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center"/>
              <w:rPr>
                <w:rFonts w:eastAsia="Times New Roman" w:cs="Times New Roman"/>
                <w:b/>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b/>
                <w:color w:val="000000"/>
                <w:sz w:val="18"/>
                <w:szCs w:val="18"/>
              </w:rPr>
            </w:pPr>
            <w:r w:rsidRPr="00DA7E4C">
              <w:rPr>
                <w:rFonts w:eastAsia="Times New Roman" w:cs="Times New Roman"/>
                <w:b/>
                <w:color w:val="000000"/>
                <w:sz w:val="18"/>
                <w:szCs w:val="18"/>
              </w:rPr>
              <w:t>0.920</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b/>
                <w:color w:val="000000"/>
                <w:sz w:val="18"/>
                <w:szCs w:val="18"/>
              </w:rPr>
            </w:pPr>
            <w:r w:rsidRPr="00DA7E4C">
              <w:rPr>
                <w:rFonts w:eastAsia="Times New Roman" w:cs="Times New Roman"/>
                <w:b/>
                <w:color w:val="000000"/>
                <w:sz w:val="18"/>
                <w:szCs w:val="18"/>
              </w:rPr>
              <w:t>0.090</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b/>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b/>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b/>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b/>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b/>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b/>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b/>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b/>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b/>
                <w:color w:val="000000"/>
                <w:sz w:val="18"/>
                <w:szCs w:val="18"/>
              </w:rPr>
            </w:pPr>
            <w:r w:rsidRPr="00DA7E4C">
              <w:rPr>
                <w:rFonts w:eastAsia="Times New Roman" w:cs="Times New Roman"/>
                <w:b/>
                <w:color w:val="000000"/>
                <w:sz w:val="18"/>
                <w:szCs w:val="18"/>
              </w:rPr>
              <w:t>0.000</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b/>
                <w:color w:val="000000"/>
                <w:sz w:val="18"/>
                <w:szCs w:val="18"/>
              </w:rPr>
            </w:pPr>
            <w:r w:rsidRPr="00DA7E4C">
              <w:rPr>
                <w:rFonts w:eastAsia="Times New Roman" w:cs="Times New Roman"/>
                <w:b/>
                <w:color w:val="000000"/>
                <w:sz w:val="18"/>
                <w:szCs w:val="18"/>
              </w:rPr>
              <w:t>0.000</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b/>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b/>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b/>
                <w:color w:val="000000"/>
                <w:sz w:val="18"/>
                <w:szCs w:val="18"/>
              </w:rPr>
            </w:pPr>
          </w:p>
        </w:tc>
      </w:tr>
      <w:tr w:rsidR="000A22AE" w:rsidRPr="00DA7E4C" w:rsidTr="000A22AE">
        <w:trPr>
          <w:trHeight w:val="240"/>
        </w:trPr>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center"/>
              <w:rPr>
                <w:rFonts w:eastAsia="Times New Roman" w:cs="Times New Roman"/>
                <w:sz w:val="18"/>
                <w:szCs w:val="18"/>
              </w:rPr>
            </w:pPr>
            <w:r w:rsidRPr="00DA7E4C">
              <w:rPr>
                <w:rFonts w:eastAsia="Times New Roman" w:cs="Times New Roman"/>
                <w:sz w:val="18"/>
                <w:szCs w:val="18"/>
              </w:rPr>
              <w:t>3</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-519.668</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-38.824</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0.825</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163.656</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0.674</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1.611</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20.509</w:t>
            </w:r>
          </w:p>
        </w:tc>
      </w:tr>
      <w:tr w:rsidR="000A22AE" w:rsidRPr="00DA7E4C" w:rsidTr="000A22AE">
        <w:trPr>
          <w:trHeight w:val="240"/>
        </w:trPr>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center"/>
              <w:rPr>
                <w:rFonts w:eastAsia="Times New Roman" w:cs="Times New Roman"/>
                <w:b/>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b/>
                <w:color w:val="000000"/>
                <w:sz w:val="18"/>
                <w:szCs w:val="18"/>
              </w:rPr>
            </w:pPr>
            <w:r w:rsidRPr="00DA7E4C">
              <w:rPr>
                <w:rFonts w:eastAsia="Times New Roman" w:cs="Times New Roman"/>
                <w:b/>
                <w:color w:val="000000"/>
                <w:sz w:val="18"/>
                <w:szCs w:val="18"/>
              </w:rPr>
              <w:t>0.866</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b/>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b/>
                <w:color w:val="000000"/>
                <w:sz w:val="18"/>
                <w:szCs w:val="18"/>
              </w:rPr>
            </w:pPr>
            <w:r w:rsidRPr="00DA7E4C">
              <w:rPr>
                <w:rFonts w:eastAsia="Times New Roman" w:cs="Times New Roman"/>
                <w:b/>
                <w:color w:val="000000"/>
                <w:sz w:val="18"/>
                <w:szCs w:val="18"/>
              </w:rPr>
              <w:t>0.257</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b/>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b/>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b/>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b/>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b/>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b/>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b/>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b/>
                <w:color w:val="000000"/>
                <w:sz w:val="18"/>
                <w:szCs w:val="18"/>
              </w:rPr>
            </w:pPr>
            <w:r w:rsidRPr="00DA7E4C">
              <w:rPr>
                <w:rFonts w:eastAsia="Times New Roman" w:cs="Times New Roman"/>
                <w:b/>
                <w:color w:val="000000"/>
                <w:sz w:val="18"/>
                <w:szCs w:val="18"/>
              </w:rPr>
              <w:t>0.000</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b/>
                <w:color w:val="000000"/>
                <w:sz w:val="18"/>
                <w:szCs w:val="18"/>
              </w:rPr>
            </w:pPr>
            <w:r w:rsidRPr="00DA7E4C">
              <w:rPr>
                <w:rFonts w:eastAsia="Times New Roman" w:cs="Times New Roman"/>
                <w:b/>
                <w:color w:val="000000"/>
                <w:sz w:val="18"/>
                <w:szCs w:val="18"/>
              </w:rPr>
              <w:t>0.000</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b/>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b/>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b/>
                <w:color w:val="000000"/>
                <w:sz w:val="18"/>
                <w:szCs w:val="18"/>
              </w:rPr>
            </w:pPr>
          </w:p>
        </w:tc>
      </w:tr>
      <w:tr w:rsidR="000A22AE" w:rsidRPr="00DA7E4C" w:rsidTr="000A22AE">
        <w:trPr>
          <w:trHeight w:val="240"/>
        </w:trPr>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center"/>
              <w:rPr>
                <w:rFonts w:eastAsia="Times New Roman" w:cs="Times New Roman"/>
                <w:sz w:val="18"/>
                <w:szCs w:val="18"/>
              </w:rPr>
            </w:pPr>
            <w:r w:rsidRPr="00DA7E4C">
              <w:rPr>
                <w:rFonts w:eastAsia="Times New Roman" w:cs="Times New Roman"/>
                <w:sz w:val="18"/>
                <w:szCs w:val="18"/>
              </w:rPr>
              <w:t>4</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-21.907</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15.764</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0.819</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166.019</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0.679</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1.536</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20.499</w:t>
            </w:r>
          </w:p>
        </w:tc>
      </w:tr>
      <w:tr w:rsidR="000A22AE" w:rsidRPr="00DA7E4C" w:rsidTr="000A22AE">
        <w:trPr>
          <w:trHeight w:val="240"/>
        </w:trPr>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center"/>
              <w:rPr>
                <w:rFonts w:eastAsia="Times New Roman" w:cs="Times New Roman"/>
                <w:b/>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b/>
                <w:color w:val="000000"/>
                <w:sz w:val="18"/>
                <w:szCs w:val="18"/>
              </w:rPr>
            </w:pPr>
            <w:r w:rsidRPr="00DA7E4C">
              <w:rPr>
                <w:rFonts w:eastAsia="Times New Roman" w:cs="Times New Roman"/>
                <w:b/>
                <w:color w:val="000000"/>
                <w:sz w:val="18"/>
                <w:szCs w:val="18"/>
              </w:rPr>
              <w:t>0.994</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b/>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b/>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b/>
                <w:color w:val="000000"/>
                <w:sz w:val="18"/>
                <w:szCs w:val="18"/>
              </w:rPr>
            </w:pPr>
            <w:r w:rsidRPr="00DA7E4C">
              <w:rPr>
                <w:rFonts w:eastAsia="Times New Roman" w:cs="Times New Roman"/>
                <w:b/>
                <w:color w:val="000000"/>
                <w:sz w:val="18"/>
                <w:szCs w:val="18"/>
              </w:rPr>
              <w:t>0.642</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b/>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b/>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b/>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b/>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b/>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b/>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b/>
                <w:color w:val="000000"/>
                <w:sz w:val="18"/>
                <w:szCs w:val="18"/>
              </w:rPr>
            </w:pPr>
            <w:r w:rsidRPr="00DA7E4C">
              <w:rPr>
                <w:rFonts w:eastAsia="Times New Roman" w:cs="Times New Roman"/>
                <w:b/>
                <w:color w:val="000000"/>
                <w:sz w:val="18"/>
                <w:szCs w:val="18"/>
              </w:rPr>
              <w:t>0.000</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b/>
                <w:color w:val="000000"/>
                <w:sz w:val="18"/>
                <w:szCs w:val="18"/>
              </w:rPr>
            </w:pPr>
            <w:r w:rsidRPr="00DA7E4C">
              <w:rPr>
                <w:rFonts w:eastAsia="Times New Roman" w:cs="Times New Roman"/>
                <w:b/>
                <w:color w:val="000000"/>
                <w:sz w:val="18"/>
                <w:szCs w:val="18"/>
              </w:rPr>
              <w:t>0.000</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b/>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b/>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b/>
                <w:color w:val="000000"/>
                <w:sz w:val="18"/>
                <w:szCs w:val="18"/>
              </w:rPr>
            </w:pPr>
          </w:p>
        </w:tc>
      </w:tr>
      <w:tr w:rsidR="000A22AE" w:rsidRPr="00DA7E4C" w:rsidTr="000A22AE">
        <w:trPr>
          <w:trHeight w:val="240"/>
        </w:trPr>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center"/>
              <w:rPr>
                <w:rFonts w:eastAsia="Times New Roman" w:cs="Times New Roman"/>
                <w:sz w:val="18"/>
                <w:szCs w:val="18"/>
              </w:rPr>
            </w:pPr>
            <w:r w:rsidRPr="00DA7E4C">
              <w:rPr>
                <w:rFonts w:eastAsia="Times New Roman" w:cs="Times New Roman"/>
                <w:sz w:val="18"/>
                <w:szCs w:val="18"/>
              </w:rPr>
              <w:t>5</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-551.100</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color w:val="000000"/>
                <w:sz w:val="18"/>
                <w:szCs w:val="18"/>
              </w:rPr>
            </w:pPr>
          </w:p>
        </w:tc>
        <w:tc>
          <w:tcPr>
            <w:tcW w:w="0" w:type="auto"/>
            <w:tcBorders>
              <w:top w:val="nil"/>
              <w:left w:val="nil"/>
              <w:bottom w:val="nil"/>
              <w:right w:val="nil"/>
            </w:tcBorders>
            <w:shd w:val="clear" w:color="auto" w:fill="auto"/>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35.289</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0.817</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173.836</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0.690</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1.619</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20.466</w:t>
            </w:r>
          </w:p>
        </w:tc>
      </w:tr>
      <w:tr w:rsidR="000A22AE" w:rsidRPr="00DA7E4C" w:rsidTr="000A22AE">
        <w:trPr>
          <w:trHeight w:val="240"/>
        </w:trPr>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center"/>
              <w:rPr>
                <w:rFonts w:eastAsia="Times New Roman" w:cs="Times New Roman"/>
                <w:b/>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b/>
                <w:color w:val="000000"/>
                <w:sz w:val="18"/>
                <w:szCs w:val="18"/>
              </w:rPr>
            </w:pPr>
            <w:r w:rsidRPr="00DA7E4C">
              <w:rPr>
                <w:rFonts w:eastAsia="Times New Roman" w:cs="Times New Roman"/>
                <w:b/>
                <w:color w:val="000000"/>
                <w:sz w:val="18"/>
                <w:szCs w:val="18"/>
              </w:rPr>
              <w:t>0.849</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b/>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b/>
                <w:color w:val="000000"/>
                <w:sz w:val="18"/>
                <w:szCs w:val="18"/>
              </w:rPr>
            </w:pPr>
          </w:p>
        </w:tc>
        <w:tc>
          <w:tcPr>
            <w:tcW w:w="0" w:type="auto"/>
            <w:tcBorders>
              <w:top w:val="nil"/>
              <w:left w:val="nil"/>
              <w:bottom w:val="nil"/>
              <w:right w:val="nil"/>
            </w:tcBorders>
            <w:shd w:val="clear" w:color="auto" w:fill="auto"/>
            <w:vAlign w:val="bottom"/>
            <w:hideMark/>
          </w:tcPr>
          <w:p w:rsidR="000A22AE" w:rsidRPr="00DA7E4C" w:rsidRDefault="000A22AE" w:rsidP="000A22AE">
            <w:pPr>
              <w:spacing w:before="0" w:after="0" w:line="240" w:lineRule="auto"/>
              <w:jc w:val="right"/>
              <w:rPr>
                <w:rFonts w:eastAsia="Times New Roman" w:cs="Times New Roman"/>
                <w:b/>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b/>
                <w:color w:val="000000"/>
                <w:sz w:val="18"/>
                <w:szCs w:val="18"/>
              </w:rPr>
            </w:pPr>
            <w:r w:rsidRPr="00DA7E4C">
              <w:rPr>
                <w:rFonts w:eastAsia="Times New Roman" w:cs="Times New Roman"/>
                <w:b/>
                <w:color w:val="000000"/>
                <w:sz w:val="18"/>
                <w:szCs w:val="18"/>
              </w:rPr>
              <w:t>0.284</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b/>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b/>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b/>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b/>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b/>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b/>
                <w:color w:val="000000"/>
                <w:sz w:val="18"/>
                <w:szCs w:val="18"/>
              </w:rPr>
            </w:pPr>
            <w:r w:rsidRPr="00DA7E4C">
              <w:rPr>
                <w:rFonts w:eastAsia="Times New Roman" w:cs="Times New Roman"/>
                <w:b/>
                <w:color w:val="000000"/>
                <w:sz w:val="18"/>
                <w:szCs w:val="18"/>
              </w:rPr>
              <w:t>0.000</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b/>
                <w:color w:val="000000"/>
                <w:sz w:val="18"/>
                <w:szCs w:val="18"/>
              </w:rPr>
            </w:pPr>
            <w:r w:rsidRPr="00DA7E4C">
              <w:rPr>
                <w:rFonts w:eastAsia="Times New Roman" w:cs="Times New Roman"/>
                <w:b/>
                <w:color w:val="000000"/>
                <w:sz w:val="18"/>
                <w:szCs w:val="18"/>
              </w:rPr>
              <w:t>0.000</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b/>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b/>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b/>
                <w:color w:val="000000"/>
                <w:sz w:val="18"/>
                <w:szCs w:val="18"/>
              </w:rPr>
            </w:pPr>
          </w:p>
        </w:tc>
      </w:tr>
      <w:tr w:rsidR="000A22AE" w:rsidRPr="00DA7E4C" w:rsidTr="000A22AE">
        <w:trPr>
          <w:trHeight w:val="240"/>
        </w:trPr>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center"/>
              <w:rPr>
                <w:rFonts w:eastAsia="Times New Roman" w:cs="Times New Roman"/>
                <w:sz w:val="18"/>
                <w:szCs w:val="18"/>
              </w:rPr>
            </w:pPr>
            <w:r w:rsidRPr="00DA7E4C">
              <w:rPr>
                <w:rFonts w:eastAsia="Times New Roman" w:cs="Times New Roman"/>
                <w:sz w:val="18"/>
                <w:szCs w:val="18"/>
              </w:rPr>
              <w:t>6</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-713.308</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color w:val="000000"/>
                <w:sz w:val="18"/>
                <w:szCs w:val="18"/>
              </w:rPr>
            </w:pPr>
          </w:p>
        </w:tc>
        <w:tc>
          <w:tcPr>
            <w:tcW w:w="0" w:type="auto"/>
            <w:tcBorders>
              <w:top w:val="nil"/>
              <w:left w:val="nil"/>
              <w:bottom w:val="nil"/>
              <w:right w:val="nil"/>
            </w:tcBorders>
            <w:shd w:val="clear" w:color="auto" w:fill="auto"/>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62.737</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0.800</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175.342</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0.693</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1.693</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20.455</w:t>
            </w:r>
          </w:p>
        </w:tc>
      </w:tr>
      <w:tr w:rsidR="000A22AE" w:rsidRPr="00DA7E4C" w:rsidTr="000A22AE">
        <w:trPr>
          <w:trHeight w:val="240"/>
        </w:trPr>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center"/>
              <w:rPr>
                <w:rFonts w:eastAsia="Times New Roman" w:cs="Times New Roman"/>
                <w:b/>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b/>
                <w:color w:val="000000"/>
                <w:sz w:val="18"/>
                <w:szCs w:val="18"/>
              </w:rPr>
            </w:pPr>
            <w:r w:rsidRPr="00DA7E4C">
              <w:rPr>
                <w:rFonts w:eastAsia="Times New Roman" w:cs="Times New Roman"/>
                <w:b/>
                <w:color w:val="000000"/>
                <w:sz w:val="18"/>
                <w:szCs w:val="18"/>
              </w:rPr>
              <w:t>0.788</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b/>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b/>
                <w:color w:val="000000"/>
                <w:sz w:val="18"/>
                <w:szCs w:val="18"/>
              </w:rPr>
            </w:pPr>
          </w:p>
        </w:tc>
        <w:tc>
          <w:tcPr>
            <w:tcW w:w="0" w:type="auto"/>
            <w:tcBorders>
              <w:top w:val="nil"/>
              <w:left w:val="nil"/>
              <w:bottom w:val="nil"/>
              <w:right w:val="nil"/>
            </w:tcBorders>
            <w:shd w:val="clear" w:color="auto" w:fill="auto"/>
            <w:vAlign w:val="bottom"/>
            <w:hideMark/>
          </w:tcPr>
          <w:p w:rsidR="000A22AE" w:rsidRPr="00DA7E4C" w:rsidRDefault="000A22AE" w:rsidP="000A22AE">
            <w:pPr>
              <w:spacing w:before="0" w:after="0" w:line="240" w:lineRule="auto"/>
              <w:jc w:val="right"/>
              <w:rPr>
                <w:rFonts w:eastAsia="Times New Roman" w:cs="Times New Roman"/>
                <w:b/>
                <w:color w:val="000000"/>
                <w:sz w:val="18"/>
                <w:szCs w:val="18"/>
              </w:rPr>
            </w:pPr>
          </w:p>
        </w:tc>
        <w:tc>
          <w:tcPr>
            <w:tcW w:w="0" w:type="auto"/>
            <w:tcBorders>
              <w:top w:val="nil"/>
              <w:left w:val="nil"/>
              <w:bottom w:val="nil"/>
              <w:right w:val="nil"/>
            </w:tcBorders>
            <w:shd w:val="clear" w:color="auto" w:fill="auto"/>
            <w:vAlign w:val="bottom"/>
            <w:hideMark/>
          </w:tcPr>
          <w:p w:rsidR="000A22AE" w:rsidRPr="00DA7E4C" w:rsidRDefault="000A22AE" w:rsidP="000A22AE">
            <w:pPr>
              <w:spacing w:before="0" w:after="0" w:line="240" w:lineRule="auto"/>
              <w:jc w:val="right"/>
              <w:rPr>
                <w:rFonts w:eastAsia="Times New Roman" w:cs="Times New Roman"/>
                <w:b/>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b/>
                <w:color w:val="000000"/>
                <w:sz w:val="18"/>
                <w:szCs w:val="18"/>
              </w:rPr>
            </w:pPr>
            <w:r w:rsidRPr="00DA7E4C">
              <w:rPr>
                <w:rFonts w:eastAsia="Times New Roman" w:cs="Times New Roman"/>
                <w:b/>
                <w:color w:val="000000"/>
                <w:sz w:val="18"/>
                <w:szCs w:val="18"/>
              </w:rPr>
              <w:t>0.062</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b/>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b/>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b/>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b/>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b/>
                <w:color w:val="000000"/>
                <w:sz w:val="18"/>
                <w:szCs w:val="18"/>
              </w:rPr>
            </w:pPr>
            <w:r w:rsidRPr="00DA7E4C">
              <w:rPr>
                <w:rFonts w:eastAsia="Times New Roman" w:cs="Times New Roman"/>
                <w:b/>
                <w:color w:val="000000"/>
                <w:sz w:val="18"/>
                <w:szCs w:val="18"/>
              </w:rPr>
              <w:t>0.000</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b/>
                <w:color w:val="000000"/>
                <w:sz w:val="18"/>
                <w:szCs w:val="18"/>
              </w:rPr>
            </w:pPr>
            <w:r w:rsidRPr="00DA7E4C">
              <w:rPr>
                <w:rFonts w:eastAsia="Times New Roman" w:cs="Times New Roman"/>
                <w:b/>
                <w:color w:val="000000"/>
                <w:sz w:val="18"/>
                <w:szCs w:val="18"/>
              </w:rPr>
              <w:t>0.000</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b/>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b/>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b/>
                <w:color w:val="000000"/>
                <w:sz w:val="18"/>
                <w:szCs w:val="18"/>
              </w:rPr>
            </w:pPr>
          </w:p>
        </w:tc>
      </w:tr>
      <w:tr w:rsidR="000A22AE" w:rsidRPr="00DA7E4C" w:rsidTr="000A22AE">
        <w:trPr>
          <w:trHeight w:val="240"/>
        </w:trPr>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center"/>
              <w:rPr>
                <w:rFonts w:eastAsia="Times New Roman" w:cs="Times New Roman"/>
                <w:sz w:val="18"/>
                <w:szCs w:val="18"/>
              </w:rPr>
            </w:pPr>
            <w:r w:rsidRPr="00DA7E4C">
              <w:rPr>
                <w:rFonts w:eastAsia="Times New Roman" w:cs="Times New Roman"/>
                <w:sz w:val="18"/>
                <w:szCs w:val="18"/>
              </w:rPr>
              <w:t>7</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-453.574</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color w:val="000000"/>
                <w:sz w:val="18"/>
                <w:szCs w:val="18"/>
              </w:rPr>
            </w:pPr>
          </w:p>
        </w:tc>
        <w:tc>
          <w:tcPr>
            <w:tcW w:w="0" w:type="auto"/>
            <w:tcBorders>
              <w:top w:val="nil"/>
              <w:left w:val="nil"/>
              <w:bottom w:val="nil"/>
              <w:right w:val="nil"/>
            </w:tcBorders>
            <w:shd w:val="clear" w:color="auto" w:fill="auto"/>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p>
        </w:tc>
        <w:tc>
          <w:tcPr>
            <w:tcW w:w="0" w:type="auto"/>
            <w:tcBorders>
              <w:top w:val="nil"/>
              <w:left w:val="nil"/>
              <w:bottom w:val="nil"/>
              <w:right w:val="nil"/>
            </w:tcBorders>
            <w:shd w:val="clear" w:color="auto" w:fill="auto"/>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p>
        </w:tc>
        <w:tc>
          <w:tcPr>
            <w:tcW w:w="0" w:type="auto"/>
            <w:tcBorders>
              <w:top w:val="nil"/>
              <w:left w:val="nil"/>
              <w:bottom w:val="nil"/>
              <w:right w:val="nil"/>
            </w:tcBorders>
            <w:shd w:val="clear" w:color="auto" w:fill="auto"/>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182.815</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0.765</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220.844</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0.741</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1.724</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20.291</w:t>
            </w:r>
          </w:p>
        </w:tc>
      </w:tr>
      <w:tr w:rsidR="000A22AE" w:rsidRPr="00DA7E4C" w:rsidTr="000A22AE">
        <w:trPr>
          <w:trHeight w:val="240"/>
        </w:trPr>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center"/>
              <w:rPr>
                <w:rFonts w:eastAsia="Times New Roman" w:cs="Times New Roman"/>
                <w:b/>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b/>
                <w:color w:val="000000"/>
                <w:sz w:val="18"/>
                <w:szCs w:val="18"/>
              </w:rPr>
            </w:pPr>
            <w:r w:rsidRPr="00DA7E4C">
              <w:rPr>
                <w:rFonts w:eastAsia="Times New Roman" w:cs="Times New Roman"/>
                <w:b/>
                <w:color w:val="000000"/>
                <w:sz w:val="18"/>
                <w:szCs w:val="18"/>
              </w:rPr>
              <w:t>0.827</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b/>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b/>
                <w:color w:val="000000"/>
                <w:sz w:val="18"/>
                <w:szCs w:val="18"/>
              </w:rPr>
            </w:pPr>
          </w:p>
        </w:tc>
        <w:tc>
          <w:tcPr>
            <w:tcW w:w="0" w:type="auto"/>
            <w:tcBorders>
              <w:top w:val="nil"/>
              <w:left w:val="nil"/>
              <w:bottom w:val="nil"/>
              <w:right w:val="nil"/>
            </w:tcBorders>
            <w:shd w:val="clear" w:color="auto" w:fill="auto"/>
            <w:vAlign w:val="bottom"/>
            <w:hideMark/>
          </w:tcPr>
          <w:p w:rsidR="000A22AE" w:rsidRPr="00DA7E4C" w:rsidRDefault="000A22AE" w:rsidP="000A22AE">
            <w:pPr>
              <w:spacing w:before="0" w:after="0" w:line="240" w:lineRule="auto"/>
              <w:jc w:val="right"/>
              <w:rPr>
                <w:rFonts w:eastAsia="Times New Roman" w:cs="Times New Roman"/>
                <w:b/>
                <w:color w:val="000000"/>
                <w:sz w:val="18"/>
                <w:szCs w:val="18"/>
              </w:rPr>
            </w:pPr>
          </w:p>
        </w:tc>
        <w:tc>
          <w:tcPr>
            <w:tcW w:w="0" w:type="auto"/>
            <w:tcBorders>
              <w:top w:val="nil"/>
              <w:left w:val="nil"/>
              <w:bottom w:val="nil"/>
              <w:right w:val="nil"/>
            </w:tcBorders>
            <w:shd w:val="clear" w:color="auto" w:fill="auto"/>
            <w:vAlign w:val="bottom"/>
            <w:hideMark/>
          </w:tcPr>
          <w:p w:rsidR="000A22AE" w:rsidRPr="00DA7E4C" w:rsidRDefault="000A22AE" w:rsidP="000A22AE">
            <w:pPr>
              <w:spacing w:before="0" w:after="0" w:line="240" w:lineRule="auto"/>
              <w:jc w:val="right"/>
              <w:rPr>
                <w:rFonts w:eastAsia="Times New Roman" w:cs="Times New Roman"/>
                <w:b/>
                <w:color w:val="000000"/>
                <w:sz w:val="18"/>
                <w:szCs w:val="18"/>
              </w:rPr>
            </w:pPr>
          </w:p>
        </w:tc>
        <w:tc>
          <w:tcPr>
            <w:tcW w:w="0" w:type="auto"/>
            <w:tcBorders>
              <w:top w:val="nil"/>
              <w:left w:val="nil"/>
              <w:bottom w:val="nil"/>
              <w:right w:val="nil"/>
            </w:tcBorders>
            <w:shd w:val="clear" w:color="auto" w:fill="auto"/>
            <w:vAlign w:val="bottom"/>
            <w:hideMark/>
          </w:tcPr>
          <w:p w:rsidR="000A22AE" w:rsidRPr="00DA7E4C" w:rsidRDefault="000A22AE" w:rsidP="000A22AE">
            <w:pPr>
              <w:spacing w:before="0" w:after="0" w:line="240" w:lineRule="auto"/>
              <w:jc w:val="right"/>
              <w:rPr>
                <w:rFonts w:eastAsia="Times New Roman" w:cs="Times New Roman"/>
                <w:b/>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b/>
                <w:color w:val="000000"/>
                <w:sz w:val="18"/>
                <w:szCs w:val="18"/>
              </w:rPr>
            </w:pPr>
            <w:r w:rsidRPr="00DA7E4C">
              <w:rPr>
                <w:rFonts w:eastAsia="Times New Roman" w:cs="Times New Roman"/>
                <w:b/>
                <w:color w:val="000000"/>
                <w:sz w:val="18"/>
                <w:szCs w:val="18"/>
              </w:rPr>
              <w:t>0.000</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b/>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b/>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b/>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b/>
                <w:color w:val="000000"/>
                <w:sz w:val="18"/>
                <w:szCs w:val="18"/>
              </w:rPr>
            </w:pPr>
            <w:r w:rsidRPr="00DA7E4C">
              <w:rPr>
                <w:rFonts w:eastAsia="Times New Roman" w:cs="Times New Roman"/>
                <w:b/>
                <w:color w:val="000000"/>
                <w:sz w:val="18"/>
                <w:szCs w:val="18"/>
              </w:rPr>
              <w:t>0.000</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b/>
                <w:color w:val="000000"/>
                <w:sz w:val="18"/>
                <w:szCs w:val="18"/>
              </w:rPr>
            </w:pPr>
            <w:r w:rsidRPr="00DA7E4C">
              <w:rPr>
                <w:rFonts w:eastAsia="Times New Roman" w:cs="Times New Roman"/>
                <w:b/>
                <w:color w:val="000000"/>
                <w:sz w:val="18"/>
                <w:szCs w:val="18"/>
              </w:rPr>
              <w:t>0.000</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b/>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b/>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b/>
                <w:color w:val="000000"/>
                <w:sz w:val="18"/>
                <w:szCs w:val="18"/>
              </w:rPr>
            </w:pPr>
          </w:p>
        </w:tc>
      </w:tr>
      <w:tr w:rsidR="000A22AE" w:rsidRPr="00DA7E4C" w:rsidTr="000A22AE">
        <w:trPr>
          <w:trHeight w:val="240"/>
        </w:trPr>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center"/>
              <w:rPr>
                <w:rFonts w:eastAsia="Times New Roman" w:cs="Times New Roman"/>
                <w:sz w:val="18"/>
                <w:szCs w:val="18"/>
              </w:rPr>
            </w:pPr>
            <w:r w:rsidRPr="00DA7E4C">
              <w:rPr>
                <w:rFonts w:eastAsia="Times New Roman" w:cs="Times New Roman"/>
                <w:sz w:val="18"/>
                <w:szCs w:val="18"/>
              </w:rPr>
              <w:t>8</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-448.933</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126.222</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0.791</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190.815</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0.714</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1.716</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20.399</w:t>
            </w:r>
          </w:p>
        </w:tc>
      </w:tr>
      <w:tr w:rsidR="000A22AE" w:rsidRPr="00DA7E4C" w:rsidTr="000A22AE">
        <w:trPr>
          <w:trHeight w:val="240"/>
        </w:trPr>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center"/>
              <w:rPr>
                <w:rFonts w:eastAsia="Times New Roman" w:cs="Times New Roman"/>
                <w:b/>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b/>
                <w:color w:val="000000"/>
                <w:sz w:val="18"/>
                <w:szCs w:val="18"/>
              </w:rPr>
            </w:pPr>
            <w:r w:rsidRPr="00DA7E4C">
              <w:rPr>
                <w:rFonts w:eastAsia="Times New Roman" w:cs="Times New Roman"/>
                <w:b/>
                <w:color w:val="000000"/>
                <w:sz w:val="18"/>
                <w:szCs w:val="18"/>
              </w:rPr>
              <w:t>0.856</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b/>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b/>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b/>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b/>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b/>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b/>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b/>
                <w:color w:val="000000"/>
                <w:sz w:val="18"/>
                <w:szCs w:val="18"/>
              </w:rPr>
            </w:pPr>
            <w:r w:rsidRPr="00DA7E4C">
              <w:rPr>
                <w:rFonts w:eastAsia="Times New Roman" w:cs="Times New Roman"/>
                <w:b/>
                <w:color w:val="000000"/>
                <w:sz w:val="18"/>
                <w:szCs w:val="18"/>
              </w:rPr>
              <w:t>0.001</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b/>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b/>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b/>
                <w:color w:val="000000"/>
                <w:sz w:val="18"/>
                <w:szCs w:val="18"/>
              </w:rPr>
            </w:pPr>
            <w:r w:rsidRPr="00DA7E4C">
              <w:rPr>
                <w:rFonts w:eastAsia="Times New Roman" w:cs="Times New Roman"/>
                <w:b/>
                <w:color w:val="000000"/>
                <w:sz w:val="18"/>
                <w:szCs w:val="18"/>
              </w:rPr>
              <w:t>0.000</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b/>
                <w:color w:val="000000"/>
                <w:sz w:val="18"/>
                <w:szCs w:val="18"/>
              </w:rPr>
            </w:pPr>
            <w:r w:rsidRPr="00DA7E4C">
              <w:rPr>
                <w:rFonts w:eastAsia="Times New Roman" w:cs="Times New Roman"/>
                <w:b/>
                <w:color w:val="000000"/>
                <w:sz w:val="18"/>
                <w:szCs w:val="18"/>
              </w:rPr>
              <w:t>0.000</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b/>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b/>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b/>
                <w:color w:val="000000"/>
                <w:sz w:val="18"/>
                <w:szCs w:val="18"/>
              </w:rPr>
            </w:pPr>
          </w:p>
        </w:tc>
      </w:tr>
      <w:tr w:rsidR="000A22AE" w:rsidRPr="00DA7E4C" w:rsidTr="000A22AE">
        <w:trPr>
          <w:trHeight w:val="240"/>
        </w:trPr>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center"/>
              <w:rPr>
                <w:rFonts w:eastAsia="Times New Roman" w:cs="Times New Roman"/>
                <w:sz w:val="18"/>
                <w:szCs w:val="18"/>
              </w:rPr>
            </w:pPr>
            <w:r w:rsidRPr="00DA7E4C">
              <w:rPr>
                <w:rFonts w:eastAsia="Times New Roman" w:cs="Times New Roman"/>
                <w:sz w:val="18"/>
                <w:szCs w:val="18"/>
              </w:rPr>
              <w:t>9</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-407.650</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84.001</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0.814</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178.805</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0.702</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1.622</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20.447</w:t>
            </w:r>
          </w:p>
        </w:tc>
      </w:tr>
      <w:tr w:rsidR="000A22AE" w:rsidRPr="00DA7E4C" w:rsidTr="000A22AE">
        <w:trPr>
          <w:trHeight w:val="240"/>
        </w:trPr>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center"/>
              <w:rPr>
                <w:rFonts w:eastAsia="Times New Roman" w:cs="Times New Roman"/>
                <w:b/>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b/>
                <w:color w:val="000000"/>
                <w:sz w:val="18"/>
                <w:szCs w:val="18"/>
              </w:rPr>
            </w:pPr>
            <w:r w:rsidRPr="00DA7E4C">
              <w:rPr>
                <w:rFonts w:eastAsia="Times New Roman" w:cs="Times New Roman"/>
                <w:b/>
                <w:color w:val="000000"/>
                <w:sz w:val="18"/>
                <w:szCs w:val="18"/>
              </w:rPr>
              <w:t>0.886</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b/>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b/>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b/>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b/>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b/>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b/>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b/>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b/>
                <w:color w:val="000000"/>
                <w:sz w:val="18"/>
                <w:szCs w:val="18"/>
              </w:rPr>
            </w:pPr>
            <w:r w:rsidRPr="00DA7E4C">
              <w:rPr>
                <w:rFonts w:eastAsia="Times New Roman" w:cs="Times New Roman"/>
                <w:b/>
                <w:color w:val="000000"/>
                <w:sz w:val="18"/>
                <w:szCs w:val="18"/>
              </w:rPr>
              <w:t>0.035</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b/>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b/>
                <w:color w:val="000000"/>
                <w:sz w:val="18"/>
                <w:szCs w:val="18"/>
              </w:rPr>
            </w:pPr>
            <w:r w:rsidRPr="00DA7E4C">
              <w:rPr>
                <w:rFonts w:eastAsia="Times New Roman" w:cs="Times New Roman"/>
                <w:b/>
                <w:color w:val="000000"/>
                <w:sz w:val="18"/>
                <w:szCs w:val="18"/>
              </w:rPr>
              <w:t>0.000</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b/>
                <w:color w:val="000000"/>
                <w:sz w:val="18"/>
                <w:szCs w:val="18"/>
              </w:rPr>
            </w:pPr>
            <w:r w:rsidRPr="00DA7E4C">
              <w:rPr>
                <w:rFonts w:eastAsia="Times New Roman" w:cs="Times New Roman"/>
                <w:b/>
                <w:color w:val="000000"/>
                <w:sz w:val="18"/>
                <w:szCs w:val="18"/>
              </w:rPr>
              <w:t>0.000</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b/>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b/>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b/>
                <w:color w:val="000000"/>
                <w:sz w:val="18"/>
                <w:szCs w:val="18"/>
              </w:rPr>
            </w:pPr>
          </w:p>
        </w:tc>
      </w:tr>
      <w:tr w:rsidR="000A22AE" w:rsidRPr="00DA7E4C" w:rsidTr="000A22AE">
        <w:trPr>
          <w:trHeight w:val="240"/>
        </w:trPr>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center"/>
              <w:rPr>
                <w:rFonts w:eastAsia="Times New Roman" w:cs="Times New Roman"/>
                <w:sz w:val="18"/>
                <w:szCs w:val="18"/>
              </w:rPr>
            </w:pPr>
            <w:r w:rsidRPr="00DA7E4C">
              <w:rPr>
                <w:rFonts w:eastAsia="Times New Roman" w:cs="Times New Roman"/>
                <w:sz w:val="18"/>
                <w:szCs w:val="18"/>
              </w:rPr>
              <w:t>10</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-13.428</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68.990</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0.826</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178.138</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0.702</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1.523</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20.448</w:t>
            </w:r>
          </w:p>
        </w:tc>
      </w:tr>
      <w:tr w:rsidR="000A22AE" w:rsidRPr="00DA7E4C" w:rsidTr="000A22AE">
        <w:trPr>
          <w:trHeight w:val="240"/>
        </w:trPr>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center"/>
              <w:rPr>
                <w:rFonts w:eastAsia="Times New Roman" w:cs="Times New Roman"/>
                <w:b/>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b/>
                <w:color w:val="000000"/>
                <w:sz w:val="18"/>
                <w:szCs w:val="18"/>
              </w:rPr>
            </w:pPr>
            <w:r w:rsidRPr="00DA7E4C">
              <w:rPr>
                <w:rFonts w:eastAsia="Times New Roman" w:cs="Times New Roman"/>
                <w:b/>
                <w:color w:val="000000"/>
                <w:sz w:val="18"/>
                <w:szCs w:val="18"/>
              </w:rPr>
              <w:t>0.997</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b/>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b/>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b/>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b/>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b/>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b/>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b/>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b/>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b/>
                <w:color w:val="000000"/>
                <w:sz w:val="18"/>
                <w:szCs w:val="18"/>
              </w:rPr>
            </w:pPr>
            <w:r w:rsidRPr="00DA7E4C">
              <w:rPr>
                <w:rFonts w:eastAsia="Times New Roman" w:cs="Times New Roman"/>
                <w:b/>
                <w:color w:val="000000"/>
                <w:sz w:val="18"/>
                <w:szCs w:val="18"/>
              </w:rPr>
              <w:t>0.083</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b/>
                <w:color w:val="000000"/>
                <w:sz w:val="18"/>
                <w:szCs w:val="18"/>
              </w:rPr>
            </w:pPr>
            <w:r w:rsidRPr="00DA7E4C">
              <w:rPr>
                <w:rFonts w:eastAsia="Times New Roman" w:cs="Times New Roman"/>
                <w:b/>
                <w:color w:val="000000"/>
                <w:sz w:val="18"/>
                <w:szCs w:val="18"/>
              </w:rPr>
              <w:t>0.000</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b/>
                <w:color w:val="000000"/>
                <w:sz w:val="18"/>
                <w:szCs w:val="18"/>
              </w:rPr>
            </w:pPr>
            <w:r w:rsidRPr="00DA7E4C">
              <w:rPr>
                <w:rFonts w:eastAsia="Times New Roman" w:cs="Times New Roman"/>
                <w:b/>
                <w:color w:val="000000"/>
                <w:sz w:val="18"/>
                <w:szCs w:val="18"/>
              </w:rPr>
              <w:t>0.000</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b/>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b/>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b/>
                <w:color w:val="000000"/>
                <w:sz w:val="18"/>
                <w:szCs w:val="18"/>
              </w:rPr>
            </w:pPr>
          </w:p>
        </w:tc>
      </w:tr>
    </w:tbl>
    <w:p w:rsidR="000A22AE" w:rsidRPr="00762161" w:rsidRDefault="000A22AE" w:rsidP="000A22AE"/>
    <w:p w:rsidR="000A22AE" w:rsidRPr="00762161" w:rsidRDefault="000A22AE" w:rsidP="000A22AE"/>
    <w:p w:rsidR="000A22AE" w:rsidRPr="00762161" w:rsidRDefault="000A22AE" w:rsidP="000A22AE">
      <w:pPr>
        <w:pStyle w:val="Heading2"/>
      </w:pPr>
      <w:bookmarkStart w:id="358" w:name="_Toc286616336"/>
      <w:r w:rsidRPr="00762161">
        <w:t xml:space="preserve">Table 2: The Relationship between GDP and </w:t>
      </w:r>
      <w:r w:rsidR="00627488">
        <w:t>Real Stock Price</w:t>
      </w:r>
      <w:r w:rsidRPr="00762161">
        <w:t>s (Quarterly 1988-1997)</w:t>
      </w:r>
      <w:bookmarkEnd w:id="358"/>
    </w:p>
    <w:tbl>
      <w:tblPr>
        <w:tblW w:w="0" w:type="auto"/>
        <w:tblInd w:w="93" w:type="dxa"/>
        <w:tblLook w:val="04A0"/>
      </w:tblPr>
      <w:tblGrid>
        <w:gridCol w:w="756"/>
        <w:gridCol w:w="996"/>
        <w:gridCol w:w="801"/>
        <w:gridCol w:w="801"/>
        <w:gridCol w:w="801"/>
        <w:gridCol w:w="801"/>
        <w:gridCol w:w="771"/>
        <w:gridCol w:w="861"/>
        <w:gridCol w:w="801"/>
        <w:gridCol w:w="801"/>
        <w:gridCol w:w="801"/>
        <w:gridCol w:w="621"/>
        <w:gridCol w:w="801"/>
        <w:gridCol w:w="866"/>
        <w:gridCol w:w="621"/>
        <w:gridCol w:w="736"/>
      </w:tblGrid>
      <w:tr w:rsidR="000A22AE" w:rsidRPr="00DA7E4C" w:rsidTr="000A22AE">
        <w:trPr>
          <w:trHeight w:val="300"/>
        </w:trPr>
        <w:tc>
          <w:tcPr>
            <w:tcW w:w="0" w:type="auto"/>
            <w:tcBorders>
              <w:top w:val="single" w:sz="8" w:space="0" w:color="auto"/>
              <w:left w:val="single" w:sz="8" w:space="0" w:color="auto"/>
              <w:bottom w:val="single" w:sz="8" w:space="0" w:color="auto"/>
              <w:right w:val="nil"/>
            </w:tcBorders>
            <w:shd w:val="clear" w:color="auto" w:fill="auto"/>
            <w:noWrap/>
            <w:vAlign w:val="bottom"/>
            <w:hideMark/>
          </w:tcPr>
          <w:p w:rsidR="000A22AE" w:rsidRPr="00DA7E4C" w:rsidRDefault="000A22AE" w:rsidP="000A22AE">
            <w:pPr>
              <w:spacing w:before="0" w:after="0" w:line="240" w:lineRule="auto"/>
              <w:jc w:val="center"/>
              <w:rPr>
                <w:rFonts w:eastAsia="Times New Roman" w:cs="Times New Roman"/>
                <w:sz w:val="18"/>
                <w:szCs w:val="18"/>
              </w:rPr>
            </w:pPr>
            <w:r w:rsidRPr="00DA7E4C">
              <w:rPr>
                <w:rFonts w:eastAsia="Times New Roman" w:cs="Times New Roman"/>
                <w:sz w:val="18"/>
                <w:szCs w:val="18"/>
              </w:rPr>
              <w:t>Sample</w:t>
            </w:r>
          </w:p>
        </w:tc>
        <w:tc>
          <w:tcPr>
            <w:tcW w:w="0" w:type="auto"/>
            <w:tcBorders>
              <w:top w:val="single" w:sz="4" w:space="0" w:color="auto"/>
              <w:left w:val="nil"/>
              <w:bottom w:val="single" w:sz="8" w:space="0" w:color="auto"/>
              <w:right w:val="nil"/>
            </w:tcBorders>
            <w:shd w:val="clear" w:color="auto" w:fill="auto"/>
            <w:noWrap/>
            <w:vAlign w:val="bottom"/>
            <w:hideMark/>
          </w:tcPr>
          <w:p w:rsidR="000A22AE" w:rsidRPr="00DA7E4C" w:rsidRDefault="000A22AE" w:rsidP="000A22AE">
            <w:pPr>
              <w:spacing w:before="0" w:after="0" w:line="240" w:lineRule="auto"/>
              <w:jc w:val="center"/>
              <w:rPr>
                <w:rFonts w:eastAsia="Times New Roman" w:cs="Times New Roman"/>
                <w:sz w:val="18"/>
                <w:szCs w:val="18"/>
              </w:rPr>
            </w:pPr>
            <w:r w:rsidRPr="00DA7E4C">
              <w:rPr>
                <w:rFonts w:eastAsia="Times New Roman" w:cs="Times New Roman"/>
                <w:sz w:val="18"/>
                <w:szCs w:val="18"/>
              </w:rPr>
              <w:t>1988-1997</w:t>
            </w:r>
          </w:p>
        </w:tc>
        <w:tc>
          <w:tcPr>
            <w:tcW w:w="0" w:type="auto"/>
            <w:gridSpan w:val="9"/>
            <w:tcBorders>
              <w:top w:val="single" w:sz="8" w:space="0" w:color="auto"/>
              <w:left w:val="single" w:sz="8" w:space="0" w:color="auto"/>
              <w:bottom w:val="nil"/>
              <w:right w:val="single" w:sz="8" w:space="0" w:color="000000"/>
            </w:tcBorders>
            <w:shd w:val="clear" w:color="auto" w:fill="auto"/>
            <w:vAlign w:val="bottom"/>
            <w:hideMark/>
          </w:tcPr>
          <w:p w:rsidR="000A22AE" w:rsidRPr="00DA7E4C" w:rsidRDefault="000A22AE" w:rsidP="000A22AE">
            <w:pPr>
              <w:spacing w:before="0" w:after="0" w:line="240" w:lineRule="auto"/>
              <w:jc w:val="center"/>
              <w:rPr>
                <w:rFonts w:eastAsia="Times New Roman" w:cs="Times New Roman"/>
                <w:color w:val="000000"/>
                <w:sz w:val="18"/>
                <w:szCs w:val="18"/>
              </w:rPr>
            </w:pPr>
            <w:r w:rsidRPr="00DA7E4C">
              <w:rPr>
                <w:rFonts w:eastAsia="Times New Roman" w:cs="Times New Roman"/>
                <w:color w:val="000000"/>
                <w:sz w:val="18"/>
                <w:szCs w:val="18"/>
              </w:rPr>
              <w:t xml:space="preserve">Real Stock </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color w:val="000000"/>
                <w:sz w:val="18"/>
                <w:szCs w:val="18"/>
              </w:rPr>
            </w:pPr>
          </w:p>
        </w:tc>
        <w:tc>
          <w:tcPr>
            <w:tcW w:w="0" w:type="auto"/>
            <w:tcBorders>
              <w:top w:val="nil"/>
              <w:left w:val="nil"/>
              <w:bottom w:val="nil"/>
              <w:right w:val="single" w:sz="8" w:space="0" w:color="auto"/>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color w:val="000000"/>
                <w:sz w:val="18"/>
                <w:szCs w:val="18"/>
              </w:rPr>
            </w:pPr>
          </w:p>
        </w:tc>
        <w:tc>
          <w:tcPr>
            <w:tcW w:w="0" w:type="auto"/>
            <w:vMerge w:val="restart"/>
            <w:tcBorders>
              <w:top w:val="single" w:sz="8" w:space="0" w:color="auto"/>
              <w:left w:val="single" w:sz="8" w:space="0" w:color="auto"/>
              <w:bottom w:val="single" w:sz="8" w:space="0" w:color="auto"/>
              <w:right w:val="single" w:sz="8" w:space="0" w:color="auto"/>
            </w:tcBorders>
            <w:shd w:val="clear" w:color="auto" w:fill="auto"/>
            <w:noWrap/>
            <w:vAlign w:val="center"/>
            <w:hideMark/>
          </w:tcPr>
          <w:p w:rsidR="000A22AE" w:rsidRPr="00DA7E4C" w:rsidRDefault="000A22AE" w:rsidP="000A22AE">
            <w:pPr>
              <w:spacing w:before="0" w:after="0" w:line="240" w:lineRule="auto"/>
              <w:jc w:val="center"/>
              <w:rPr>
                <w:rFonts w:eastAsia="Times New Roman" w:cs="Times New Roman"/>
                <w:sz w:val="18"/>
                <w:szCs w:val="18"/>
              </w:rPr>
            </w:pPr>
            <w:r w:rsidRPr="00DA7E4C">
              <w:rPr>
                <w:rFonts w:eastAsia="Times New Roman" w:cs="Times New Roman"/>
                <w:sz w:val="18"/>
                <w:szCs w:val="18"/>
              </w:rPr>
              <w:t>Adjusted</w:t>
            </w:r>
          </w:p>
          <w:p w:rsidR="000A22AE" w:rsidRPr="00DA7E4C" w:rsidRDefault="000A22AE" w:rsidP="000A22AE">
            <w:pPr>
              <w:spacing w:before="0" w:after="0" w:line="240" w:lineRule="auto"/>
              <w:jc w:val="center"/>
              <w:rPr>
                <w:rFonts w:eastAsia="Times New Roman" w:cs="Times New Roman"/>
                <w:color w:val="000000"/>
                <w:sz w:val="18"/>
                <w:szCs w:val="18"/>
              </w:rPr>
            </w:pPr>
            <w:r w:rsidRPr="00DA7E4C">
              <w:rPr>
                <w:rFonts w:eastAsia="Times New Roman" w:cs="Times New Roman"/>
                <w:sz w:val="18"/>
                <w:szCs w:val="18"/>
              </w:rPr>
              <w:t>R-square</w:t>
            </w:r>
          </w:p>
        </w:tc>
        <w:tc>
          <w:tcPr>
            <w:tcW w:w="0" w:type="auto"/>
            <w:tcBorders>
              <w:top w:val="nil"/>
              <w:left w:val="single" w:sz="8" w:space="0" w:color="auto"/>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color w:val="000000"/>
                <w:sz w:val="18"/>
                <w:szCs w:val="18"/>
              </w:rPr>
            </w:pPr>
          </w:p>
        </w:tc>
      </w:tr>
      <w:tr w:rsidR="000A22AE" w:rsidRPr="00DA7E4C" w:rsidTr="000A22AE">
        <w:trPr>
          <w:trHeight w:val="255"/>
        </w:trPr>
        <w:tc>
          <w:tcPr>
            <w:tcW w:w="0" w:type="auto"/>
            <w:tcBorders>
              <w:top w:val="nil"/>
              <w:left w:val="single" w:sz="8" w:space="0" w:color="auto"/>
              <w:bottom w:val="single" w:sz="8" w:space="0" w:color="auto"/>
              <w:right w:val="single" w:sz="8" w:space="0" w:color="auto"/>
            </w:tcBorders>
            <w:shd w:val="clear" w:color="auto" w:fill="auto"/>
            <w:noWrap/>
            <w:vAlign w:val="center"/>
            <w:hideMark/>
          </w:tcPr>
          <w:p w:rsidR="000A22AE" w:rsidRPr="00DA7E4C" w:rsidRDefault="000A22AE" w:rsidP="000A22AE">
            <w:pPr>
              <w:spacing w:before="0" w:after="0" w:line="240" w:lineRule="auto"/>
              <w:jc w:val="center"/>
              <w:rPr>
                <w:rFonts w:eastAsia="Times New Roman" w:cs="Times New Roman"/>
                <w:sz w:val="18"/>
                <w:szCs w:val="18"/>
              </w:rPr>
            </w:pPr>
            <w:r w:rsidRPr="00DA7E4C">
              <w:rPr>
                <w:rFonts w:eastAsia="Times New Roman" w:cs="Times New Roman"/>
                <w:sz w:val="18"/>
                <w:szCs w:val="18"/>
              </w:rPr>
              <w:t>No</w:t>
            </w:r>
          </w:p>
        </w:tc>
        <w:tc>
          <w:tcPr>
            <w:tcW w:w="0" w:type="auto"/>
            <w:tcBorders>
              <w:top w:val="single" w:sz="8" w:space="0" w:color="auto"/>
              <w:left w:val="nil"/>
              <w:bottom w:val="single" w:sz="8" w:space="0" w:color="auto"/>
              <w:right w:val="single" w:sz="8" w:space="0" w:color="auto"/>
            </w:tcBorders>
            <w:shd w:val="clear" w:color="auto" w:fill="auto"/>
            <w:noWrap/>
            <w:vAlign w:val="center"/>
            <w:hideMark/>
          </w:tcPr>
          <w:p w:rsidR="000A22AE" w:rsidRPr="00DA7E4C" w:rsidRDefault="000A22AE" w:rsidP="000A22AE">
            <w:pPr>
              <w:spacing w:before="0" w:after="0" w:line="240" w:lineRule="auto"/>
              <w:jc w:val="center"/>
              <w:rPr>
                <w:rFonts w:eastAsia="Times New Roman" w:cs="Times New Roman"/>
                <w:sz w:val="18"/>
                <w:szCs w:val="18"/>
              </w:rPr>
            </w:pPr>
            <w:r w:rsidRPr="00DA7E4C">
              <w:rPr>
                <w:rFonts w:eastAsia="Times New Roman" w:cs="Times New Roman"/>
                <w:sz w:val="18"/>
                <w:szCs w:val="18"/>
              </w:rPr>
              <w:t>Intercept</w:t>
            </w:r>
          </w:p>
        </w:tc>
        <w:tc>
          <w:tcPr>
            <w:tcW w:w="0" w:type="auto"/>
            <w:tcBorders>
              <w:top w:val="nil"/>
              <w:left w:val="nil"/>
              <w:bottom w:val="single" w:sz="8" w:space="0" w:color="auto"/>
              <w:right w:val="single" w:sz="8" w:space="0" w:color="auto"/>
            </w:tcBorders>
            <w:shd w:val="clear" w:color="auto" w:fill="auto"/>
            <w:vAlign w:val="center"/>
            <w:hideMark/>
          </w:tcPr>
          <w:p w:rsidR="000A22AE" w:rsidRPr="00DA7E4C" w:rsidRDefault="000A22AE" w:rsidP="000A22AE">
            <w:pPr>
              <w:spacing w:before="0" w:after="0" w:line="240" w:lineRule="auto"/>
              <w:jc w:val="center"/>
              <w:rPr>
                <w:rFonts w:eastAsia="Times New Roman" w:cs="Times New Roman"/>
                <w:sz w:val="18"/>
                <w:szCs w:val="18"/>
              </w:rPr>
            </w:pPr>
            <w:r w:rsidRPr="00DA7E4C">
              <w:rPr>
                <w:rFonts w:eastAsia="Times New Roman" w:cs="Times New Roman"/>
                <w:sz w:val="18"/>
                <w:szCs w:val="18"/>
              </w:rPr>
              <w:t>t</w:t>
            </w:r>
          </w:p>
        </w:tc>
        <w:tc>
          <w:tcPr>
            <w:tcW w:w="0" w:type="auto"/>
            <w:tcBorders>
              <w:top w:val="nil"/>
              <w:left w:val="nil"/>
              <w:bottom w:val="single" w:sz="8" w:space="0" w:color="auto"/>
              <w:right w:val="single" w:sz="8" w:space="0" w:color="auto"/>
            </w:tcBorders>
            <w:shd w:val="clear" w:color="auto" w:fill="auto"/>
            <w:vAlign w:val="center"/>
            <w:hideMark/>
          </w:tcPr>
          <w:p w:rsidR="000A22AE" w:rsidRPr="00DA7E4C" w:rsidRDefault="000A22AE" w:rsidP="000A22AE">
            <w:pPr>
              <w:spacing w:before="0" w:after="0" w:line="240" w:lineRule="auto"/>
              <w:jc w:val="center"/>
              <w:rPr>
                <w:rFonts w:eastAsia="Times New Roman" w:cs="Times New Roman"/>
                <w:sz w:val="18"/>
                <w:szCs w:val="18"/>
              </w:rPr>
            </w:pPr>
            <w:r w:rsidRPr="00DA7E4C">
              <w:rPr>
                <w:rFonts w:eastAsia="Times New Roman" w:cs="Times New Roman"/>
                <w:sz w:val="18"/>
                <w:szCs w:val="18"/>
              </w:rPr>
              <w:t>t-1</w:t>
            </w:r>
          </w:p>
        </w:tc>
        <w:tc>
          <w:tcPr>
            <w:tcW w:w="0" w:type="auto"/>
            <w:tcBorders>
              <w:top w:val="nil"/>
              <w:left w:val="nil"/>
              <w:bottom w:val="single" w:sz="8" w:space="0" w:color="auto"/>
              <w:right w:val="single" w:sz="8" w:space="0" w:color="auto"/>
            </w:tcBorders>
            <w:shd w:val="clear" w:color="auto" w:fill="auto"/>
            <w:vAlign w:val="center"/>
            <w:hideMark/>
          </w:tcPr>
          <w:p w:rsidR="000A22AE" w:rsidRPr="00DA7E4C" w:rsidRDefault="000A22AE" w:rsidP="000A22AE">
            <w:pPr>
              <w:spacing w:before="0" w:after="0" w:line="240" w:lineRule="auto"/>
              <w:jc w:val="center"/>
              <w:rPr>
                <w:rFonts w:eastAsia="Times New Roman" w:cs="Times New Roman"/>
                <w:sz w:val="18"/>
                <w:szCs w:val="18"/>
              </w:rPr>
            </w:pPr>
            <w:r w:rsidRPr="00DA7E4C">
              <w:rPr>
                <w:rFonts w:eastAsia="Times New Roman" w:cs="Times New Roman"/>
                <w:sz w:val="18"/>
                <w:szCs w:val="18"/>
              </w:rPr>
              <w:t>t-2</w:t>
            </w:r>
          </w:p>
        </w:tc>
        <w:tc>
          <w:tcPr>
            <w:tcW w:w="0" w:type="auto"/>
            <w:tcBorders>
              <w:top w:val="nil"/>
              <w:left w:val="nil"/>
              <w:bottom w:val="single" w:sz="8" w:space="0" w:color="auto"/>
              <w:right w:val="single" w:sz="8" w:space="0" w:color="auto"/>
            </w:tcBorders>
            <w:shd w:val="clear" w:color="auto" w:fill="auto"/>
            <w:vAlign w:val="center"/>
            <w:hideMark/>
          </w:tcPr>
          <w:p w:rsidR="000A22AE" w:rsidRPr="00DA7E4C" w:rsidRDefault="000A22AE" w:rsidP="000A22AE">
            <w:pPr>
              <w:spacing w:before="0" w:after="0" w:line="240" w:lineRule="auto"/>
              <w:jc w:val="center"/>
              <w:rPr>
                <w:rFonts w:eastAsia="Times New Roman" w:cs="Times New Roman"/>
                <w:sz w:val="18"/>
                <w:szCs w:val="18"/>
              </w:rPr>
            </w:pPr>
            <w:r w:rsidRPr="00DA7E4C">
              <w:rPr>
                <w:rFonts w:eastAsia="Times New Roman" w:cs="Times New Roman"/>
                <w:sz w:val="18"/>
                <w:szCs w:val="18"/>
              </w:rPr>
              <w:t>t-3</w:t>
            </w:r>
          </w:p>
        </w:tc>
        <w:tc>
          <w:tcPr>
            <w:tcW w:w="0" w:type="auto"/>
            <w:tcBorders>
              <w:top w:val="nil"/>
              <w:left w:val="nil"/>
              <w:bottom w:val="single" w:sz="8" w:space="0" w:color="auto"/>
              <w:right w:val="single" w:sz="8" w:space="0" w:color="auto"/>
            </w:tcBorders>
            <w:shd w:val="clear" w:color="auto" w:fill="auto"/>
            <w:vAlign w:val="center"/>
            <w:hideMark/>
          </w:tcPr>
          <w:p w:rsidR="000A22AE" w:rsidRPr="00DA7E4C" w:rsidRDefault="000A22AE" w:rsidP="000A22AE">
            <w:pPr>
              <w:spacing w:before="0" w:after="0" w:line="240" w:lineRule="auto"/>
              <w:jc w:val="center"/>
              <w:rPr>
                <w:rFonts w:eastAsia="Times New Roman" w:cs="Times New Roman"/>
                <w:sz w:val="18"/>
                <w:szCs w:val="18"/>
              </w:rPr>
            </w:pPr>
            <w:r w:rsidRPr="00DA7E4C">
              <w:rPr>
                <w:rFonts w:eastAsia="Times New Roman" w:cs="Times New Roman"/>
                <w:sz w:val="18"/>
                <w:szCs w:val="18"/>
              </w:rPr>
              <w:t>t-4</w:t>
            </w:r>
          </w:p>
        </w:tc>
        <w:tc>
          <w:tcPr>
            <w:tcW w:w="0" w:type="auto"/>
            <w:tcBorders>
              <w:top w:val="nil"/>
              <w:left w:val="nil"/>
              <w:bottom w:val="single" w:sz="8" w:space="0" w:color="auto"/>
              <w:right w:val="single" w:sz="8" w:space="0" w:color="auto"/>
            </w:tcBorders>
            <w:shd w:val="clear" w:color="auto" w:fill="auto"/>
            <w:vAlign w:val="center"/>
            <w:hideMark/>
          </w:tcPr>
          <w:p w:rsidR="000A22AE" w:rsidRPr="00DA7E4C" w:rsidRDefault="000A22AE" w:rsidP="000A22AE">
            <w:pPr>
              <w:spacing w:before="0" w:after="0" w:line="240" w:lineRule="auto"/>
              <w:jc w:val="center"/>
              <w:rPr>
                <w:rFonts w:eastAsia="Times New Roman" w:cs="Times New Roman"/>
                <w:sz w:val="18"/>
                <w:szCs w:val="18"/>
              </w:rPr>
            </w:pPr>
            <w:r w:rsidRPr="00DA7E4C">
              <w:rPr>
                <w:rFonts w:eastAsia="Times New Roman" w:cs="Times New Roman"/>
                <w:sz w:val="18"/>
                <w:szCs w:val="18"/>
              </w:rPr>
              <w:t>t-5</w:t>
            </w:r>
          </w:p>
        </w:tc>
        <w:tc>
          <w:tcPr>
            <w:tcW w:w="0" w:type="auto"/>
            <w:tcBorders>
              <w:top w:val="nil"/>
              <w:left w:val="nil"/>
              <w:bottom w:val="single" w:sz="8" w:space="0" w:color="auto"/>
              <w:right w:val="single" w:sz="8" w:space="0" w:color="auto"/>
            </w:tcBorders>
            <w:shd w:val="clear" w:color="auto" w:fill="auto"/>
            <w:vAlign w:val="center"/>
            <w:hideMark/>
          </w:tcPr>
          <w:p w:rsidR="000A22AE" w:rsidRPr="00DA7E4C" w:rsidRDefault="000A22AE" w:rsidP="000A22AE">
            <w:pPr>
              <w:spacing w:before="0" w:after="0" w:line="240" w:lineRule="auto"/>
              <w:jc w:val="center"/>
              <w:rPr>
                <w:rFonts w:eastAsia="Times New Roman" w:cs="Times New Roman"/>
                <w:sz w:val="18"/>
                <w:szCs w:val="18"/>
              </w:rPr>
            </w:pPr>
            <w:r w:rsidRPr="00DA7E4C">
              <w:rPr>
                <w:rFonts w:eastAsia="Times New Roman" w:cs="Times New Roman"/>
                <w:sz w:val="18"/>
                <w:szCs w:val="18"/>
              </w:rPr>
              <w:t>t-6</w:t>
            </w:r>
          </w:p>
        </w:tc>
        <w:tc>
          <w:tcPr>
            <w:tcW w:w="0" w:type="auto"/>
            <w:tcBorders>
              <w:top w:val="nil"/>
              <w:left w:val="nil"/>
              <w:bottom w:val="single" w:sz="8" w:space="0" w:color="auto"/>
              <w:right w:val="single" w:sz="8" w:space="0" w:color="auto"/>
            </w:tcBorders>
            <w:shd w:val="clear" w:color="auto" w:fill="auto"/>
            <w:vAlign w:val="center"/>
            <w:hideMark/>
          </w:tcPr>
          <w:p w:rsidR="000A22AE" w:rsidRPr="00DA7E4C" w:rsidRDefault="000A22AE" w:rsidP="000A22AE">
            <w:pPr>
              <w:spacing w:before="0" w:after="0" w:line="240" w:lineRule="auto"/>
              <w:jc w:val="center"/>
              <w:rPr>
                <w:rFonts w:eastAsia="Times New Roman" w:cs="Times New Roman"/>
                <w:sz w:val="18"/>
                <w:szCs w:val="18"/>
              </w:rPr>
            </w:pPr>
            <w:r w:rsidRPr="00DA7E4C">
              <w:rPr>
                <w:rFonts w:eastAsia="Times New Roman" w:cs="Times New Roman"/>
                <w:sz w:val="18"/>
                <w:szCs w:val="18"/>
              </w:rPr>
              <w:t>t-7</w:t>
            </w:r>
          </w:p>
        </w:tc>
        <w:tc>
          <w:tcPr>
            <w:tcW w:w="0" w:type="auto"/>
            <w:tcBorders>
              <w:top w:val="nil"/>
              <w:left w:val="nil"/>
              <w:bottom w:val="single" w:sz="8" w:space="0" w:color="auto"/>
              <w:right w:val="single" w:sz="8" w:space="0" w:color="auto"/>
            </w:tcBorders>
            <w:shd w:val="clear" w:color="auto" w:fill="auto"/>
            <w:vAlign w:val="center"/>
            <w:hideMark/>
          </w:tcPr>
          <w:p w:rsidR="000A22AE" w:rsidRPr="00DA7E4C" w:rsidRDefault="000A22AE" w:rsidP="000A22AE">
            <w:pPr>
              <w:spacing w:before="0" w:after="0" w:line="240" w:lineRule="auto"/>
              <w:jc w:val="center"/>
              <w:rPr>
                <w:rFonts w:eastAsia="Times New Roman" w:cs="Times New Roman"/>
                <w:sz w:val="18"/>
                <w:szCs w:val="18"/>
              </w:rPr>
            </w:pPr>
            <w:r w:rsidRPr="00DA7E4C">
              <w:rPr>
                <w:rFonts w:eastAsia="Times New Roman" w:cs="Times New Roman"/>
                <w:sz w:val="18"/>
                <w:szCs w:val="18"/>
              </w:rPr>
              <w:t>t-8</w:t>
            </w:r>
          </w:p>
        </w:tc>
        <w:tc>
          <w:tcPr>
            <w:tcW w:w="0" w:type="auto"/>
            <w:tcBorders>
              <w:top w:val="single" w:sz="8" w:space="0" w:color="auto"/>
              <w:left w:val="nil"/>
              <w:bottom w:val="single" w:sz="8" w:space="0" w:color="auto"/>
              <w:right w:val="single" w:sz="8" w:space="0" w:color="auto"/>
            </w:tcBorders>
            <w:shd w:val="clear" w:color="auto" w:fill="auto"/>
            <w:vAlign w:val="center"/>
            <w:hideMark/>
          </w:tcPr>
          <w:p w:rsidR="000A22AE" w:rsidRPr="00DA7E4C" w:rsidRDefault="000A22AE" w:rsidP="000A22AE">
            <w:pPr>
              <w:spacing w:before="0" w:after="0" w:line="240" w:lineRule="auto"/>
              <w:jc w:val="center"/>
              <w:rPr>
                <w:rFonts w:eastAsia="Times New Roman" w:cs="Times New Roman"/>
                <w:sz w:val="18"/>
                <w:szCs w:val="18"/>
              </w:rPr>
            </w:pPr>
            <w:r w:rsidRPr="00DA7E4C">
              <w:rPr>
                <w:rFonts w:eastAsia="Times New Roman" w:cs="Times New Roman"/>
                <w:sz w:val="18"/>
                <w:szCs w:val="18"/>
              </w:rPr>
              <w:t>AR</w:t>
            </w:r>
          </w:p>
        </w:tc>
        <w:tc>
          <w:tcPr>
            <w:tcW w:w="0" w:type="auto"/>
            <w:tcBorders>
              <w:top w:val="single" w:sz="8" w:space="0" w:color="auto"/>
              <w:left w:val="nil"/>
              <w:bottom w:val="single" w:sz="8" w:space="0" w:color="auto"/>
              <w:right w:val="single" w:sz="8" w:space="0" w:color="auto"/>
            </w:tcBorders>
            <w:shd w:val="clear" w:color="auto" w:fill="auto"/>
            <w:noWrap/>
            <w:vAlign w:val="center"/>
            <w:hideMark/>
          </w:tcPr>
          <w:p w:rsidR="000A22AE" w:rsidRPr="00DA7E4C" w:rsidRDefault="000A22AE" w:rsidP="000A22AE">
            <w:pPr>
              <w:spacing w:before="0" w:after="0" w:line="240" w:lineRule="auto"/>
              <w:jc w:val="center"/>
              <w:rPr>
                <w:rFonts w:eastAsia="Times New Roman" w:cs="Times New Roman"/>
                <w:sz w:val="18"/>
                <w:szCs w:val="18"/>
              </w:rPr>
            </w:pPr>
            <w:r w:rsidRPr="00DA7E4C">
              <w:rPr>
                <w:rFonts w:eastAsia="Times New Roman" w:cs="Times New Roman"/>
                <w:sz w:val="18"/>
                <w:szCs w:val="18"/>
              </w:rPr>
              <w:t>F Value</w:t>
            </w:r>
          </w:p>
        </w:tc>
        <w:tc>
          <w:tcPr>
            <w:tcW w:w="0" w:type="auto"/>
            <w:vMerge/>
            <w:tcBorders>
              <w:left w:val="nil"/>
              <w:bottom w:val="single" w:sz="8" w:space="0" w:color="auto"/>
              <w:right w:val="single" w:sz="8" w:space="0" w:color="auto"/>
            </w:tcBorders>
            <w:shd w:val="clear" w:color="auto" w:fill="auto"/>
            <w:noWrap/>
            <w:vAlign w:val="center"/>
            <w:hideMark/>
          </w:tcPr>
          <w:p w:rsidR="000A22AE" w:rsidRPr="00DA7E4C" w:rsidRDefault="000A22AE" w:rsidP="000A22AE">
            <w:pPr>
              <w:spacing w:before="0" w:after="0" w:line="240" w:lineRule="auto"/>
              <w:jc w:val="center"/>
              <w:rPr>
                <w:rFonts w:eastAsia="Times New Roman" w:cs="Times New Roman"/>
                <w:sz w:val="18"/>
                <w:szCs w:val="18"/>
              </w:rPr>
            </w:pPr>
          </w:p>
        </w:tc>
        <w:tc>
          <w:tcPr>
            <w:tcW w:w="0" w:type="auto"/>
            <w:tcBorders>
              <w:top w:val="single" w:sz="8" w:space="0" w:color="auto"/>
              <w:left w:val="nil"/>
              <w:bottom w:val="single" w:sz="8" w:space="0" w:color="auto"/>
              <w:right w:val="single" w:sz="8" w:space="0" w:color="auto"/>
            </w:tcBorders>
            <w:shd w:val="clear" w:color="auto" w:fill="auto"/>
            <w:noWrap/>
            <w:vAlign w:val="center"/>
            <w:hideMark/>
          </w:tcPr>
          <w:p w:rsidR="000A22AE" w:rsidRPr="00DA7E4C" w:rsidRDefault="000A22AE" w:rsidP="000A22AE">
            <w:pPr>
              <w:spacing w:before="0" w:after="0" w:line="240" w:lineRule="auto"/>
              <w:jc w:val="center"/>
              <w:rPr>
                <w:rFonts w:eastAsia="Times New Roman" w:cs="Times New Roman"/>
                <w:sz w:val="18"/>
                <w:szCs w:val="18"/>
              </w:rPr>
            </w:pPr>
            <w:r w:rsidRPr="00DA7E4C">
              <w:rPr>
                <w:rFonts w:eastAsia="Times New Roman" w:cs="Times New Roman"/>
                <w:sz w:val="18"/>
                <w:szCs w:val="18"/>
              </w:rPr>
              <w:t>DW</w:t>
            </w:r>
          </w:p>
        </w:tc>
        <w:tc>
          <w:tcPr>
            <w:tcW w:w="0" w:type="auto"/>
            <w:tcBorders>
              <w:top w:val="single" w:sz="8" w:space="0" w:color="auto"/>
              <w:left w:val="nil"/>
              <w:bottom w:val="single" w:sz="8" w:space="0" w:color="auto"/>
              <w:right w:val="single" w:sz="8" w:space="0" w:color="auto"/>
            </w:tcBorders>
            <w:shd w:val="clear" w:color="auto" w:fill="auto"/>
            <w:vAlign w:val="center"/>
            <w:hideMark/>
          </w:tcPr>
          <w:p w:rsidR="000A22AE" w:rsidRPr="00DA7E4C" w:rsidRDefault="000A22AE" w:rsidP="000A22AE">
            <w:pPr>
              <w:spacing w:before="0" w:after="0" w:line="240" w:lineRule="auto"/>
              <w:jc w:val="center"/>
              <w:rPr>
                <w:rFonts w:eastAsia="Times New Roman" w:cs="Times New Roman"/>
                <w:color w:val="000000"/>
                <w:sz w:val="18"/>
                <w:szCs w:val="18"/>
              </w:rPr>
            </w:pPr>
            <w:r w:rsidRPr="00DA7E4C">
              <w:rPr>
                <w:rFonts w:eastAsia="Times New Roman" w:cs="Times New Roman"/>
                <w:color w:val="000000"/>
                <w:sz w:val="18"/>
                <w:szCs w:val="18"/>
              </w:rPr>
              <w:t>Akaike</w:t>
            </w:r>
          </w:p>
        </w:tc>
      </w:tr>
      <w:tr w:rsidR="000A22AE" w:rsidRPr="00DA7E4C" w:rsidTr="000A22AE">
        <w:trPr>
          <w:trHeight w:val="240"/>
        </w:trPr>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center"/>
              <w:rPr>
                <w:rFonts w:eastAsia="Times New Roman" w:cs="Times New Roman"/>
                <w:sz w:val="18"/>
                <w:szCs w:val="18"/>
              </w:rPr>
            </w:pPr>
            <w:r w:rsidRPr="00DA7E4C">
              <w:rPr>
                <w:rFonts w:eastAsia="Times New Roman" w:cs="Times New Roman"/>
                <w:sz w:val="18"/>
                <w:szCs w:val="18"/>
              </w:rPr>
              <w:t>1</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308.614</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161.879</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195.517</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202.774</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169.846</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-21.790</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-34.135</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175.701</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160.394</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167.106</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0.844</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127.485</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0.899</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1.555</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18.882</w:t>
            </w:r>
          </w:p>
        </w:tc>
      </w:tr>
      <w:tr w:rsidR="000A22AE" w:rsidRPr="00DA7E4C" w:rsidTr="000A22AE">
        <w:trPr>
          <w:trHeight w:val="240"/>
        </w:trPr>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center"/>
              <w:rPr>
                <w:rFonts w:eastAsia="Times New Roman" w:cs="Times New Roman"/>
                <w:b/>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b/>
                <w:color w:val="000000"/>
                <w:sz w:val="18"/>
                <w:szCs w:val="18"/>
              </w:rPr>
            </w:pPr>
            <w:r w:rsidRPr="00DA7E4C">
              <w:rPr>
                <w:rFonts w:eastAsia="Times New Roman" w:cs="Times New Roman"/>
                <w:b/>
                <w:color w:val="000000"/>
                <w:sz w:val="18"/>
                <w:szCs w:val="18"/>
              </w:rPr>
              <w:t>0.840</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b/>
                <w:color w:val="000000"/>
                <w:sz w:val="18"/>
                <w:szCs w:val="18"/>
              </w:rPr>
            </w:pPr>
            <w:r w:rsidRPr="00DA7E4C">
              <w:rPr>
                <w:rFonts w:eastAsia="Times New Roman" w:cs="Times New Roman"/>
                <w:b/>
                <w:color w:val="000000"/>
                <w:sz w:val="18"/>
                <w:szCs w:val="18"/>
              </w:rPr>
              <w:t>0.000</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b/>
                <w:color w:val="000000"/>
                <w:sz w:val="18"/>
                <w:szCs w:val="18"/>
              </w:rPr>
            </w:pPr>
            <w:r w:rsidRPr="00DA7E4C">
              <w:rPr>
                <w:rFonts w:eastAsia="Times New Roman" w:cs="Times New Roman"/>
                <w:b/>
                <w:color w:val="000000"/>
                <w:sz w:val="18"/>
                <w:szCs w:val="18"/>
              </w:rPr>
              <w:t>0.000</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b/>
                <w:color w:val="000000"/>
                <w:sz w:val="18"/>
                <w:szCs w:val="18"/>
              </w:rPr>
            </w:pPr>
            <w:r w:rsidRPr="00DA7E4C">
              <w:rPr>
                <w:rFonts w:eastAsia="Times New Roman" w:cs="Times New Roman"/>
                <w:b/>
                <w:color w:val="000000"/>
                <w:sz w:val="18"/>
                <w:szCs w:val="18"/>
              </w:rPr>
              <w:t>0.000</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b/>
                <w:color w:val="000000"/>
                <w:sz w:val="18"/>
                <w:szCs w:val="18"/>
              </w:rPr>
            </w:pPr>
            <w:r w:rsidRPr="00DA7E4C">
              <w:rPr>
                <w:rFonts w:eastAsia="Times New Roman" w:cs="Times New Roman"/>
                <w:b/>
                <w:color w:val="000000"/>
                <w:sz w:val="18"/>
                <w:szCs w:val="18"/>
              </w:rPr>
              <w:t>0.000</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b/>
                <w:color w:val="000000"/>
                <w:sz w:val="18"/>
                <w:szCs w:val="18"/>
              </w:rPr>
            </w:pPr>
            <w:r w:rsidRPr="00DA7E4C">
              <w:rPr>
                <w:rFonts w:eastAsia="Times New Roman" w:cs="Times New Roman"/>
                <w:b/>
                <w:color w:val="000000"/>
                <w:sz w:val="18"/>
                <w:szCs w:val="18"/>
              </w:rPr>
              <w:t>0.480</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b/>
                <w:color w:val="000000"/>
                <w:sz w:val="18"/>
                <w:szCs w:val="18"/>
              </w:rPr>
            </w:pPr>
            <w:r w:rsidRPr="00DA7E4C">
              <w:rPr>
                <w:rFonts w:eastAsia="Times New Roman" w:cs="Times New Roman"/>
                <w:b/>
                <w:color w:val="000000"/>
                <w:sz w:val="18"/>
                <w:szCs w:val="18"/>
              </w:rPr>
              <w:t>0.336</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b/>
                <w:color w:val="000000"/>
                <w:sz w:val="18"/>
                <w:szCs w:val="18"/>
              </w:rPr>
            </w:pPr>
            <w:r w:rsidRPr="00DA7E4C">
              <w:rPr>
                <w:rFonts w:eastAsia="Times New Roman" w:cs="Times New Roman"/>
                <w:b/>
                <w:color w:val="000000"/>
                <w:sz w:val="18"/>
                <w:szCs w:val="18"/>
              </w:rPr>
              <w:t>0.000</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b/>
                <w:color w:val="000000"/>
                <w:sz w:val="18"/>
                <w:szCs w:val="18"/>
              </w:rPr>
            </w:pPr>
            <w:r w:rsidRPr="00DA7E4C">
              <w:rPr>
                <w:rFonts w:eastAsia="Times New Roman" w:cs="Times New Roman"/>
                <w:b/>
                <w:color w:val="000000"/>
                <w:sz w:val="18"/>
                <w:szCs w:val="18"/>
              </w:rPr>
              <w:t>0.000</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b/>
                <w:color w:val="000000"/>
                <w:sz w:val="18"/>
                <w:szCs w:val="18"/>
              </w:rPr>
            </w:pPr>
            <w:r w:rsidRPr="00DA7E4C">
              <w:rPr>
                <w:rFonts w:eastAsia="Times New Roman" w:cs="Times New Roman"/>
                <w:b/>
                <w:color w:val="000000"/>
                <w:sz w:val="18"/>
                <w:szCs w:val="18"/>
              </w:rPr>
              <w:t>0.000</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b/>
                <w:color w:val="000000"/>
                <w:sz w:val="18"/>
                <w:szCs w:val="18"/>
              </w:rPr>
            </w:pPr>
            <w:r w:rsidRPr="00DA7E4C">
              <w:rPr>
                <w:rFonts w:eastAsia="Times New Roman" w:cs="Times New Roman"/>
                <w:b/>
                <w:color w:val="000000"/>
                <w:sz w:val="18"/>
                <w:szCs w:val="18"/>
              </w:rPr>
              <w:t>0.000</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b/>
                <w:color w:val="000000"/>
                <w:sz w:val="18"/>
                <w:szCs w:val="18"/>
              </w:rPr>
            </w:pPr>
            <w:r w:rsidRPr="00DA7E4C">
              <w:rPr>
                <w:rFonts w:eastAsia="Times New Roman" w:cs="Times New Roman"/>
                <w:b/>
                <w:color w:val="000000"/>
                <w:sz w:val="18"/>
                <w:szCs w:val="18"/>
              </w:rPr>
              <w:t>0.000</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b/>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b/>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b/>
                <w:color w:val="000000"/>
                <w:sz w:val="18"/>
                <w:szCs w:val="18"/>
              </w:rPr>
            </w:pPr>
          </w:p>
        </w:tc>
      </w:tr>
      <w:tr w:rsidR="000A22AE" w:rsidRPr="00DA7E4C" w:rsidTr="000A22AE">
        <w:trPr>
          <w:trHeight w:val="240"/>
        </w:trPr>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center"/>
              <w:rPr>
                <w:rFonts w:eastAsia="Times New Roman" w:cs="Times New Roman"/>
                <w:sz w:val="18"/>
                <w:szCs w:val="18"/>
              </w:rPr>
            </w:pPr>
            <w:r w:rsidRPr="00DA7E4C">
              <w:rPr>
                <w:rFonts w:eastAsia="Times New Roman" w:cs="Times New Roman"/>
                <w:sz w:val="18"/>
                <w:szCs w:val="18"/>
              </w:rPr>
              <w:t>2</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177.913</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164.304</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0.854</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282.899</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0.781</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1.497</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19.503</w:t>
            </w:r>
          </w:p>
        </w:tc>
      </w:tr>
      <w:tr w:rsidR="000A22AE" w:rsidRPr="00DA7E4C" w:rsidTr="000A22AE">
        <w:trPr>
          <w:trHeight w:val="240"/>
        </w:trPr>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center"/>
              <w:rPr>
                <w:rFonts w:eastAsia="Times New Roman" w:cs="Times New Roman"/>
                <w:b/>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b/>
                <w:color w:val="000000"/>
                <w:sz w:val="18"/>
                <w:szCs w:val="18"/>
              </w:rPr>
            </w:pPr>
            <w:r w:rsidRPr="00DA7E4C">
              <w:rPr>
                <w:rFonts w:eastAsia="Times New Roman" w:cs="Times New Roman"/>
                <w:b/>
                <w:color w:val="000000"/>
                <w:sz w:val="18"/>
                <w:szCs w:val="18"/>
              </w:rPr>
              <w:t>0.936</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b/>
                <w:color w:val="000000"/>
                <w:sz w:val="18"/>
                <w:szCs w:val="18"/>
              </w:rPr>
            </w:pPr>
            <w:r w:rsidRPr="00DA7E4C">
              <w:rPr>
                <w:rFonts w:eastAsia="Times New Roman" w:cs="Times New Roman"/>
                <w:b/>
                <w:color w:val="000000"/>
                <w:sz w:val="18"/>
                <w:szCs w:val="18"/>
              </w:rPr>
              <w:t>0.000</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b/>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b/>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b/>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b/>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b/>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b/>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b/>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b/>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b/>
                <w:color w:val="000000"/>
                <w:sz w:val="18"/>
                <w:szCs w:val="18"/>
              </w:rPr>
            </w:pPr>
            <w:r w:rsidRPr="00DA7E4C">
              <w:rPr>
                <w:rFonts w:eastAsia="Times New Roman" w:cs="Times New Roman"/>
                <w:b/>
                <w:color w:val="000000"/>
                <w:sz w:val="18"/>
                <w:szCs w:val="18"/>
              </w:rPr>
              <w:t>0.000</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b/>
                <w:color w:val="000000"/>
                <w:sz w:val="18"/>
                <w:szCs w:val="18"/>
              </w:rPr>
            </w:pPr>
            <w:r w:rsidRPr="00DA7E4C">
              <w:rPr>
                <w:rFonts w:eastAsia="Times New Roman" w:cs="Times New Roman"/>
                <w:b/>
                <w:color w:val="000000"/>
                <w:sz w:val="18"/>
                <w:szCs w:val="18"/>
              </w:rPr>
              <w:t>0.000</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b/>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b/>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b/>
                <w:color w:val="000000"/>
                <w:sz w:val="18"/>
                <w:szCs w:val="18"/>
              </w:rPr>
            </w:pPr>
          </w:p>
        </w:tc>
      </w:tr>
      <w:tr w:rsidR="000A22AE" w:rsidRPr="00DA7E4C" w:rsidTr="000A22AE">
        <w:trPr>
          <w:trHeight w:val="240"/>
        </w:trPr>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center"/>
              <w:rPr>
                <w:rFonts w:eastAsia="Times New Roman" w:cs="Times New Roman"/>
                <w:sz w:val="18"/>
                <w:szCs w:val="18"/>
              </w:rPr>
            </w:pPr>
            <w:r w:rsidRPr="00DA7E4C">
              <w:rPr>
                <w:rFonts w:eastAsia="Times New Roman" w:cs="Times New Roman"/>
                <w:sz w:val="18"/>
                <w:szCs w:val="18"/>
              </w:rPr>
              <w:t>3</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252.704</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74.793</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0.862</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260.000</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0.767</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1.590</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19.570</w:t>
            </w:r>
          </w:p>
        </w:tc>
      </w:tr>
      <w:tr w:rsidR="000A22AE" w:rsidRPr="00DA7E4C" w:rsidTr="000A22AE">
        <w:trPr>
          <w:trHeight w:val="240"/>
        </w:trPr>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center"/>
              <w:rPr>
                <w:rFonts w:eastAsia="Times New Roman" w:cs="Times New Roman"/>
                <w:b/>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b/>
                <w:color w:val="000000"/>
                <w:sz w:val="18"/>
                <w:szCs w:val="18"/>
              </w:rPr>
            </w:pPr>
            <w:r w:rsidRPr="00DA7E4C">
              <w:rPr>
                <w:rFonts w:eastAsia="Times New Roman" w:cs="Times New Roman"/>
                <w:b/>
                <w:color w:val="000000"/>
                <w:sz w:val="18"/>
                <w:szCs w:val="18"/>
              </w:rPr>
              <w:t>0.917</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b/>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b/>
                <w:color w:val="000000"/>
                <w:sz w:val="18"/>
                <w:szCs w:val="18"/>
              </w:rPr>
            </w:pPr>
            <w:r w:rsidRPr="00DA7E4C">
              <w:rPr>
                <w:rFonts w:eastAsia="Times New Roman" w:cs="Times New Roman"/>
                <w:b/>
                <w:color w:val="000000"/>
                <w:sz w:val="18"/>
                <w:szCs w:val="18"/>
              </w:rPr>
              <w:t>0.071</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b/>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b/>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b/>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b/>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b/>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b/>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b/>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b/>
                <w:color w:val="000000"/>
                <w:sz w:val="18"/>
                <w:szCs w:val="18"/>
              </w:rPr>
            </w:pPr>
            <w:r w:rsidRPr="00DA7E4C">
              <w:rPr>
                <w:rFonts w:eastAsia="Times New Roman" w:cs="Times New Roman"/>
                <w:b/>
                <w:color w:val="000000"/>
                <w:sz w:val="18"/>
                <w:szCs w:val="18"/>
              </w:rPr>
              <w:t>0.000</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b/>
                <w:color w:val="000000"/>
                <w:sz w:val="18"/>
                <w:szCs w:val="18"/>
              </w:rPr>
            </w:pPr>
            <w:r w:rsidRPr="00DA7E4C">
              <w:rPr>
                <w:rFonts w:eastAsia="Times New Roman" w:cs="Times New Roman"/>
                <w:b/>
                <w:color w:val="000000"/>
                <w:sz w:val="18"/>
                <w:szCs w:val="18"/>
              </w:rPr>
              <w:t>0.000</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b/>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b/>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b/>
                <w:color w:val="000000"/>
                <w:sz w:val="18"/>
                <w:szCs w:val="18"/>
              </w:rPr>
            </w:pPr>
          </w:p>
        </w:tc>
      </w:tr>
      <w:tr w:rsidR="000A22AE" w:rsidRPr="00DA7E4C" w:rsidTr="000A22AE">
        <w:trPr>
          <w:trHeight w:val="240"/>
        </w:trPr>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center"/>
              <w:rPr>
                <w:rFonts w:eastAsia="Times New Roman" w:cs="Times New Roman"/>
                <w:sz w:val="18"/>
                <w:szCs w:val="18"/>
              </w:rPr>
            </w:pPr>
            <w:r w:rsidRPr="00DA7E4C">
              <w:rPr>
                <w:rFonts w:eastAsia="Times New Roman" w:cs="Times New Roman"/>
                <w:sz w:val="18"/>
                <w:szCs w:val="18"/>
              </w:rPr>
              <w:t>4</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283.262</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103.972</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0.863</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266.218</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0.772</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1.483</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19.553</w:t>
            </w:r>
          </w:p>
        </w:tc>
      </w:tr>
      <w:tr w:rsidR="000A22AE" w:rsidRPr="00DA7E4C" w:rsidTr="000A22AE">
        <w:trPr>
          <w:trHeight w:val="240"/>
        </w:trPr>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center"/>
              <w:rPr>
                <w:rFonts w:eastAsia="Times New Roman" w:cs="Times New Roman"/>
                <w:b/>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b/>
                <w:color w:val="000000"/>
                <w:sz w:val="18"/>
                <w:szCs w:val="18"/>
              </w:rPr>
            </w:pPr>
            <w:r w:rsidRPr="00DA7E4C">
              <w:rPr>
                <w:rFonts w:eastAsia="Times New Roman" w:cs="Times New Roman"/>
                <w:b/>
                <w:color w:val="000000"/>
                <w:sz w:val="18"/>
                <w:szCs w:val="18"/>
              </w:rPr>
              <w:t>0.908</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b/>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b/>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b/>
                <w:color w:val="000000"/>
                <w:sz w:val="18"/>
                <w:szCs w:val="18"/>
              </w:rPr>
            </w:pPr>
            <w:r w:rsidRPr="00DA7E4C">
              <w:rPr>
                <w:rFonts w:eastAsia="Times New Roman" w:cs="Times New Roman"/>
                <w:b/>
                <w:color w:val="000000"/>
                <w:sz w:val="18"/>
                <w:szCs w:val="18"/>
              </w:rPr>
              <w:t>0.010</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b/>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b/>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b/>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b/>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b/>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b/>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b/>
                <w:color w:val="000000"/>
                <w:sz w:val="18"/>
                <w:szCs w:val="18"/>
              </w:rPr>
            </w:pPr>
            <w:r w:rsidRPr="00DA7E4C">
              <w:rPr>
                <w:rFonts w:eastAsia="Times New Roman" w:cs="Times New Roman"/>
                <w:b/>
                <w:color w:val="000000"/>
                <w:sz w:val="18"/>
                <w:szCs w:val="18"/>
              </w:rPr>
              <w:t>0.000</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b/>
                <w:color w:val="000000"/>
                <w:sz w:val="18"/>
                <w:szCs w:val="18"/>
              </w:rPr>
            </w:pPr>
            <w:r w:rsidRPr="00DA7E4C">
              <w:rPr>
                <w:rFonts w:eastAsia="Times New Roman" w:cs="Times New Roman"/>
                <w:b/>
                <w:color w:val="000000"/>
                <w:sz w:val="18"/>
                <w:szCs w:val="18"/>
              </w:rPr>
              <w:t>0.000</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b/>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b/>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b/>
                <w:color w:val="000000"/>
                <w:sz w:val="18"/>
                <w:szCs w:val="18"/>
              </w:rPr>
            </w:pPr>
          </w:p>
        </w:tc>
      </w:tr>
      <w:tr w:rsidR="000A22AE" w:rsidRPr="00DA7E4C" w:rsidTr="000A22AE">
        <w:trPr>
          <w:trHeight w:val="240"/>
        </w:trPr>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center"/>
              <w:rPr>
                <w:rFonts w:eastAsia="Times New Roman" w:cs="Times New Roman"/>
                <w:sz w:val="18"/>
                <w:szCs w:val="18"/>
              </w:rPr>
            </w:pPr>
            <w:r w:rsidRPr="00DA7E4C">
              <w:rPr>
                <w:rFonts w:eastAsia="Times New Roman" w:cs="Times New Roman"/>
                <w:sz w:val="18"/>
                <w:szCs w:val="18"/>
              </w:rPr>
              <w:t>5</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280.058</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-9.318</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0.874</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250.077</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0.762</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1.446</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19.602</w:t>
            </w:r>
          </w:p>
        </w:tc>
      </w:tr>
      <w:tr w:rsidR="000A22AE" w:rsidRPr="00DA7E4C" w:rsidTr="000A22AE">
        <w:trPr>
          <w:trHeight w:val="240"/>
        </w:trPr>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center"/>
              <w:rPr>
                <w:rFonts w:eastAsia="Times New Roman" w:cs="Times New Roman"/>
                <w:b/>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b/>
                <w:color w:val="000000"/>
                <w:sz w:val="18"/>
                <w:szCs w:val="18"/>
              </w:rPr>
            </w:pPr>
            <w:r w:rsidRPr="00DA7E4C">
              <w:rPr>
                <w:rFonts w:eastAsia="Times New Roman" w:cs="Times New Roman"/>
                <w:b/>
                <w:color w:val="000000"/>
                <w:sz w:val="18"/>
                <w:szCs w:val="18"/>
              </w:rPr>
              <w:t>0.918</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b/>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b/>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b/>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b/>
                <w:color w:val="000000"/>
                <w:sz w:val="18"/>
                <w:szCs w:val="18"/>
              </w:rPr>
            </w:pPr>
            <w:r w:rsidRPr="00DA7E4C">
              <w:rPr>
                <w:rFonts w:eastAsia="Times New Roman" w:cs="Times New Roman"/>
                <w:b/>
                <w:color w:val="000000"/>
                <w:sz w:val="18"/>
                <w:szCs w:val="18"/>
              </w:rPr>
              <w:t>0.819</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b/>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b/>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b/>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b/>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b/>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b/>
                <w:color w:val="000000"/>
                <w:sz w:val="18"/>
                <w:szCs w:val="18"/>
              </w:rPr>
            </w:pPr>
            <w:r w:rsidRPr="00DA7E4C">
              <w:rPr>
                <w:rFonts w:eastAsia="Times New Roman" w:cs="Times New Roman"/>
                <w:b/>
                <w:color w:val="000000"/>
                <w:sz w:val="18"/>
                <w:szCs w:val="18"/>
              </w:rPr>
              <w:t>0.000</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b/>
                <w:color w:val="000000"/>
                <w:sz w:val="18"/>
                <w:szCs w:val="18"/>
              </w:rPr>
            </w:pPr>
            <w:r w:rsidRPr="00DA7E4C">
              <w:rPr>
                <w:rFonts w:eastAsia="Times New Roman" w:cs="Times New Roman"/>
                <w:b/>
                <w:color w:val="000000"/>
                <w:sz w:val="18"/>
                <w:szCs w:val="18"/>
              </w:rPr>
              <w:t>0.000</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b/>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b/>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b/>
                <w:color w:val="000000"/>
                <w:sz w:val="18"/>
                <w:szCs w:val="18"/>
              </w:rPr>
            </w:pPr>
          </w:p>
        </w:tc>
      </w:tr>
      <w:tr w:rsidR="000A22AE" w:rsidRPr="00DA7E4C" w:rsidTr="000A22AE">
        <w:trPr>
          <w:trHeight w:val="240"/>
        </w:trPr>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center"/>
              <w:rPr>
                <w:rFonts w:eastAsia="Times New Roman" w:cs="Times New Roman"/>
                <w:sz w:val="18"/>
                <w:szCs w:val="18"/>
              </w:rPr>
            </w:pPr>
            <w:r w:rsidRPr="00DA7E4C">
              <w:rPr>
                <w:rFonts w:eastAsia="Times New Roman" w:cs="Times New Roman"/>
                <w:sz w:val="18"/>
                <w:szCs w:val="18"/>
              </w:rPr>
              <w:t>6</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227.902</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-62.843</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0.878</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253.373</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0.766</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1.518</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19.594</w:t>
            </w:r>
          </w:p>
        </w:tc>
      </w:tr>
      <w:tr w:rsidR="000A22AE" w:rsidRPr="00DA7E4C" w:rsidTr="000A22AE">
        <w:trPr>
          <w:trHeight w:val="240"/>
        </w:trPr>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center"/>
              <w:rPr>
                <w:rFonts w:eastAsia="Times New Roman" w:cs="Times New Roman"/>
                <w:b/>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b/>
                <w:color w:val="000000"/>
                <w:sz w:val="18"/>
                <w:szCs w:val="18"/>
              </w:rPr>
            </w:pPr>
            <w:r w:rsidRPr="00DA7E4C">
              <w:rPr>
                <w:rFonts w:eastAsia="Times New Roman" w:cs="Times New Roman"/>
                <w:b/>
                <w:color w:val="000000"/>
                <w:sz w:val="18"/>
                <w:szCs w:val="18"/>
              </w:rPr>
              <w:t>0.935</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b/>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b/>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b/>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b/>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b/>
                <w:color w:val="000000"/>
                <w:sz w:val="18"/>
                <w:szCs w:val="18"/>
              </w:rPr>
            </w:pPr>
            <w:r w:rsidRPr="00DA7E4C">
              <w:rPr>
                <w:rFonts w:eastAsia="Times New Roman" w:cs="Times New Roman"/>
                <w:b/>
                <w:color w:val="000000"/>
                <w:sz w:val="18"/>
                <w:szCs w:val="18"/>
              </w:rPr>
              <w:t>0.128</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b/>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b/>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b/>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b/>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b/>
                <w:color w:val="000000"/>
                <w:sz w:val="18"/>
                <w:szCs w:val="18"/>
              </w:rPr>
            </w:pPr>
            <w:r w:rsidRPr="00DA7E4C">
              <w:rPr>
                <w:rFonts w:eastAsia="Times New Roman" w:cs="Times New Roman"/>
                <w:b/>
                <w:color w:val="000000"/>
                <w:sz w:val="18"/>
                <w:szCs w:val="18"/>
              </w:rPr>
              <w:t>0.000</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b/>
                <w:color w:val="000000"/>
                <w:sz w:val="18"/>
                <w:szCs w:val="18"/>
              </w:rPr>
            </w:pPr>
            <w:r w:rsidRPr="00DA7E4C">
              <w:rPr>
                <w:rFonts w:eastAsia="Times New Roman" w:cs="Times New Roman"/>
                <w:b/>
                <w:color w:val="000000"/>
                <w:sz w:val="18"/>
                <w:szCs w:val="18"/>
              </w:rPr>
              <w:t>0.000</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b/>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b/>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b/>
                <w:color w:val="000000"/>
                <w:sz w:val="18"/>
                <w:szCs w:val="18"/>
              </w:rPr>
            </w:pPr>
          </w:p>
        </w:tc>
      </w:tr>
      <w:tr w:rsidR="000A22AE" w:rsidRPr="00DA7E4C" w:rsidTr="000A22AE">
        <w:trPr>
          <w:trHeight w:val="240"/>
        </w:trPr>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center"/>
              <w:rPr>
                <w:rFonts w:eastAsia="Times New Roman" w:cs="Times New Roman"/>
                <w:sz w:val="18"/>
                <w:szCs w:val="18"/>
              </w:rPr>
            </w:pPr>
            <w:r w:rsidRPr="00DA7E4C">
              <w:rPr>
                <w:rFonts w:eastAsia="Times New Roman" w:cs="Times New Roman"/>
                <w:sz w:val="18"/>
                <w:szCs w:val="18"/>
              </w:rPr>
              <w:t>7</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104.514</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-154.974</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0.887</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275.269</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0.781</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1.523</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19.532</w:t>
            </w:r>
          </w:p>
        </w:tc>
      </w:tr>
      <w:tr w:rsidR="000A22AE" w:rsidRPr="00DA7E4C" w:rsidTr="000A22AE">
        <w:trPr>
          <w:trHeight w:val="240"/>
        </w:trPr>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center"/>
              <w:rPr>
                <w:rFonts w:eastAsia="Times New Roman" w:cs="Times New Roman"/>
                <w:b/>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b/>
                <w:color w:val="000000"/>
                <w:sz w:val="18"/>
                <w:szCs w:val="18"/>
              </w:rPr>
            </w:pPr>
            <w:r w:rsidRPr="00DA7E4C">
              <w:rPr>
                <w:rFonts w:eastAsia="Times New Roman" w:cs="Times New Roman"/>
                <w:b/>
                <w:color w:val="000000"/>
                <w:sz w:val="18"/>
                <w:szCs w:val="18"/>
              </w:rPr>
              <w:t>0.972</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b/>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b/>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b/>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b/>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b/>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b/>
                <w:color w:val="000000"/>
                <w:sz w:val="18"/>
                <w:szCs w:val="18"/>
              </w:rPr>
            </w:pPr>
            <w:r w:rsidRPr="00DA7E4C">
              <w:rPr>
                <w:rFonts w:eastAsia="Times New Roman" w:cs="Times New Roman"/>
                <w:b/>
                <w:color w:val="000000"/>
                <w:sz w:val="18"/>
                <w:szCs w:val="18"/>
              </w:rPr>
              <w:t>0.000</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b/>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b/>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b/>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b/>
                <w:color w:val="000000"/>
                <w:sz w:val="18"/>
                <w:szCs w:val="18"/>
              </w:rPr>
            </w:pPr>
            <w:r w:rsidRPr="00DA7E4C">
              <w:rPr>
                <w:rFonts w:eastAsia="Times New Roman" w:cs="Times New Roman"/>
                <w:b/>
                <w:color w:val="000000"/>
                <w:sz w:val="18"/>
                <w:szCs w:val="18"/>
              </w:rPr>
              <w:t>0.000</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b/>
                <w:color w:val="000000"/>
                <w:sz w:val="18"/>
                <w:szCs w:val="18"/>
              </w:rPr>
            </w:pPr>
            <w:r w:rsidRPr="00DA7E4C">
              <w:rPr>
                <w:rFonts w:eastAsia="Times New Roman" w:cs="Times New Roman"/>
                <w:b/>
                <w:color w:val="000000"/>
                <w:sz w:val="18"/>
                <w:szCs w:val="18"/>
              </w:rPr>
              <w:t>0.000</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b/>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b/>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b/>
                <w:color w:val="000000"/>
                <w:sz w:val="18"/>
                <w:szCs w:val="18"/>
              </w:rPr>
            </w:pPr>
          </w:p>
        </w:tc>
      </w:tr>
      <w:tr w:rsidR="000A22AE" w:rsidRPr="00DA7E4C" w:rsidTr="000A22AE">
        <w:trPr>
          <w:trHeight w:val="240"/>
        </w:trPr>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center"/>
              <w:rPr>
                <w:rFonts w:eastAsia="Times New Roman" w:cs="Times New Roman"/>
                <w:sz w:val="18"/>
                <w:szCs w:val="18"/>
              </w:rPr>
            </w:pPr>
            <w:r w:rsidRPr="00DA7E4C">
              <w:rPr>
                <w:rFonts w:eastAsia="Times New Roman" w:cs="Times New Roman"/>
                <w:sz w:val="18"/>
                <w:szCs w:val="18"/>
              </w:rPr>
              <w:t>8</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341.388</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74.520</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0.877</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259.895</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0.773</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1.304</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19.578</w:t>
            </w:r>
          </w:p>
        </w:tc>
      </w:tr>
      <w:tr w:rsidR="000A22AE" w:rsidRPr="00DA7E4C" w:rsidTr="000A22AE">
        <w:trPr>
          <w:trHeight w:val="240"/>
        </w:trPr>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center"/>
              <w:rPr>
                <w:rFonts w:eastAsia="Times New Roman" w:cs="Times New Roman"/>
                <w:b/>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b/>
                <w:color w:val="000000"/>
                <w:sz w:val="18"/>
                <w:szCs w:val="18"/>
              </w:rPr>
            </w:pPr>
            <w:r w:rsidRPr="00DA7E4C">
              <w:rPr>
                <w:rFonts w:eastAsia="Times New Roman" w:cs="Times New Roman"/>
                <w:b/>
                <w:color w:val="000000"/>
                <w:sz w:val="18"/>
                <w:szCs w:val="18"/>
              </w:rPr>
              <w:t>0.902</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b/>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b/>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b/>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b/>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b/>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b/>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b/>
                <w:color w:val="000000"/>
                <w:sz w:val="18"/>
                <w:szCs w:val="18"/>
              </w:rPr>
            </w:pPr>
            <w:r w:rsidRPr="00DA7E4C">
              <w:rPr>
                <w:rFonts w:eastAsia="Times New Roman" w:cs="Times New Roman"/>
                <w:b/>
                <w:color w:val="000000"/>
                <w:sz w:val="18"/>
                <w:szCs w:val="18"/>
              </w:rPr>
              <w:t>0.009</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b/>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b/>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b/>
                <w:color w:val="000000"/>
                <w:sz w:val="18"/>
                <w:szCs w:val="18"/>
              </w:rPr>
            </w:pPr>
            <w:r w:rsidRPr="00DA7E4C">
              <w:rPr>
                <w:rFonts w:eastAsia="Times New Roman" w:cs="Times New Roman"/>
                <w:b/>
                <w:color w:val="000000"/>
                <w:sz w:val="18"/>
                <w:szCs w:val="18"/>
              </w:rPr>
              <w:t>0.000</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b/>
                <w:color w:val="000000"/>
                <w:sz w:val="18"/>
                <w:szCs w:val="18"/>
              </w:rPr>
            </w:pPr>
            <w:r w:rsidRPr="00DA7E4C">
              <w:rPr>
                <w:rFonts w:eastAsia="Times New Roman" w:cs="Times New Roman"/>
                <w:b/>
                <w:color w:val="000000"/>
                <w:sz w:val="18"/>
                <w:szCs w:val="18"/>
              </w:rPr>
              <w:t>0.000</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b/>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b/>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b/>
                <w:color w:val="000000"/>
                <w:sz w:val="18"/>
                <w:szCs w:val="18"/>
              </w:rPr>
            </w:pPr>
          </w:p>
        </w:tc>
      </w:tr>
      <w:tr w:rsidR="000A22AE" w:rsidRPr="00DA7E4C" w:rsidTr="000A22AE">
        <w:trPr>
          <w:trHeight w:val="240"/>
        </w:trPr>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center"/>
              <w:rPr>
                <w:rFonts w:eastAsia="Times New Roman" w:cs="Times New Roman"/>
                <w:sz w:val="18"/>
                <w:szCs w:val="18"/>
              </w:rPr>
            </w:pPr>
            <w:r w:rsidRPr="00DA7E4C">
              <w:rPr>
                <w:rFonts w:eastAsia="Times New Roman" w:cs="Times New Roman"/>
                <w:sz w:val="18"/>
                <w:szCs w:val="18"/>
              </w:rPr>
              <w:t>9</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318.827</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84.069</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0.874</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260.440</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0.774</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1.570</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19.578</w:t>
            </w:r>
          </w:p>
        </w:tc>
      </w:tr>
      <w:tr w:rsidR="000A22AE" w:rsidRPr="00DA7E4C" w:rsidTr="000A22AE">
        <w:trPr>
          <w:trHeight w:val="240"/>
        </w:trPr>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center"/>
              <w:rPr>
                <w:rFonts w:eastAsia="Times New Roman" w:cs="Times New Roman"/>
                <w:b/>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b/>
                <w:color w:val="000000"/>
                <w:sz w:val="18"/>
                <w:szCs w:val="18"/>
              </w:rPr>
            </w:pPr>
            <w:r w:rsidRPr="00DA7E4C">
              <w:rPr>
                <w:rFonts w:eastAsia="Times New Roman" w:cs="Times New Roman"/>
                <w:b/>
                <w:color w:val="000000"/>
                <w:sz w:val="18"/>
                <w:szCs w:val="18"/>
              </w:rPr>
              <w:t>0.907</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b/>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b/>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b/>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b/>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b/>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b/>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b/>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b/>
                <w:color w:val="000000"/>
                <w:sz w:val="18"/>
                <w:szCs w:val="18"/>
              </w:rPr>
            </w:pPr>
            <w:r w:rsidRPr="00DA7E4C">
              <w:rPr>
                <w:rFonts w:eastAsia="Times New Roman" w:cs="Times New Roman"/>
                <w:b/>
                <w:color w:val="000000"/>
                <w:sz w:val="18"/>
                <w:szCs w:val="18"/>
              </w:rPr>
              <w:t>0.005</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b/>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b/>
                <w:color w:val="000000"/>
                <w:sz w:val="18"/>
                <w:szCs w:val="18"/>
              </w:rPr>
            </w:pPr>
            <w:r w:rsidRPr="00DA7E4C">
              <w:rPr>
                <w:rFonts w:eastAsia="Times New Roman" w:cs="Times New Roman"/>
                <w:b/>
                <w:color w:val="000000"/>
                <w:sz w:val="18"/>
                <w:szCs w:val="18"/>
              </w:rPr>
              <w:t>0.000</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b/>
                <w:color w:val="000000"/>
                <w:sz w:val="18"/>
                <w:szCs w:val="18"/>
              </w:rPr>
            </w:pPr>
            <w:r w:rsidRPr="00DA7E4C">
              <w:rPr>
                <w:rFonts w:eastAsia="Times New Roman" w:cs="Times New Roman"/>
                <w:b/>
                <w:color w:val="000000"/>
                <w:sz w:val="18"/>
                <w:szCs w:val="18"/>
              </w:rPr>
              <w:t>0.000</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b/>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b/>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b/>
                <w:color w:val="000000"/>
                <w:sz w:val="18"/>
                <w:szCs w:val="18"/>
              </w:rPr>
            </w:pPr>
          </w:p>
        </w:tc>
      </w:tr>
      <w:tr w:rsidR="000A22AE" w:rsidRPr="00DA7E4C" w:rsidTr="000A22AE">
        <w:trPr>
          <w:trHeight w:val="240"/>
        </w:trPr>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center"/>
              <w:rPr>
                <w:rFonts w:eastAsia="Times New Roman" w:cs="Times New Roman"/>
                <w:sz w:val="18"/>
                <w:szCs w:val="18"/>
              </w:rPr>
            </w:pPr>
            <w:r w:rsidRPr="00DA7E4C">
              <w:rPr>
                <w:rFonts w:eastAsia="Times New Roman" w:cs="Times New Roman"/>
                <w:sz w:val="18"/>
                <w:szCs w:val="18"/>
              </w:rPr>
              <w:t>10</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295.308</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132.417</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0.878</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284.315</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0.790</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1.520</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19.511</w:t>
            </w:r>
          </w:p>
        </w:tc>
      </w:tr>
      <w:tr w:rsidR="000A22AE" w:rsidRPr="00DA7E4C" w:rsidTr="000A22AE">
        <w:trPr>
          <w:trHeight w:val="240"/>
        </w:trPr>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center"/>
              <w:rPr>
                <w:rFonts w:eastAsia="Times New Roman" w:cs="Times New Roman"/>
                <w:b/>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b/>
                <w:color w:val="000000"/>
                <w:sz w:val="18"/>
                <w:szCs w:val="18"/>
              </w:rPr>
            </w:pPr>
            <w:r w:rsidRPr="00DA7E4C">
              <w:rPr>
                <w:rFonts w:eastAsia="Times New Roman" w:cs="Times New Roman"/>
                <w:b/>
                <w:color w:val="000000"/>
                <w:sz w:val="18"/>
                <w:szCs w:val="18"/>
              </w:rPr>
              <w:t>0.914</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b/>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b/>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b/>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b/>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b/>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b/>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b/>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b/>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b/>
                <w:color w:val="000000"/>
                <w:sz w:val="18"/>
                <w:szCs w:val="18"/>
              </w:rPr>
            </w:pPr>
            <w:r w:rsidRPr="00DA7E4C">
              <w:rPr>
                <w:rFonts w:eastAsia="Times New Roman" w:cs="Times New Roman"/>
                <w:b/>
                <w:color w:val="000000"/>
                <w:sz w:val="18"/>
                <w:szCs w:val="18"/>
              </w:rPr>
              <w:t>0.000</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b/>
                <w:color w:val="000000"/>
                <w:sz w:val="18"/>
                <w:szCs w:val="18"/>
              </w:rPr>
            </w:pPr>
            <w:r w:rsidRPr="00DA7E4C">
              <w:rPr>
                <w:rFonts w:eastAsia="Times New Roman" w:cs="Times New Roman"/>
                <w:b/>
                <w:color w:val="000000"/>
                <w:sz w:val="18"/>
                <w:szCs w:val="18"/>
              </w:rPr>
              <w:t>0.000</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b/>
                <w:color w:val="000000"/>
                <w:sz w:val="18"/>
                <w:szCs w:val="18"/>
              </w:rPr>
            </w:pPr>
            <w:r w:rsidRPr="00DA7E4C">
              <w:rPr>
                <w:rFonts w:eastAsia="Times New Roman" w:cs="Times New Roman"/>
                <w:b/>
                <w:color w:val="000000"/>
                <w:sz w:val="18"/>
                <w:szCs w:val="18"/>
              </w:rPr>
              <w:t>0.000</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b/>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b/>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b/>
                <w:color w:val="000000"/>
                <w:sz w:val="18"/>
                <w:szCs w:val="18"/>
              </w:rPr>
            </w:pPr>
          </w:p>
        </w:tc>
      </w:tr>
    </w:tbl>
    <w:p w:rsidR="000A22AE" w:rsidRPr="00762161" w:rsidRDefault="000A22AE" w:rsidP="000A22AE">
      <w:pPr>
        <w:pStyle w:val="Heading2"/>
      </w:pPr>
      <w:bookmarkStart w:id="359" w:name="_Toc286616337"/>
      <w:r w:rsidRPr="00762161">
        <w:t xml:space="preserve">Table 3: The Relationship between GDP and </w:t>
      </w:r>
      <w:r w:rsidR="00627488">
        <w:t>Real Stock Price</w:t>
      </w:r>
      <w:r w:rsidRPr="00762161">
        <w:t>s (Quarterly 1997-2010)</w:t>
      </w:r>
      <w:bookmarkEnd w:id="359"/>
    </w:p>
    <w:tbl>
      <w:tblPr>
        <w:tblW w:w="0" w:type="auto"/>
        <w:tblInd w:w="93" w:type="dxa"/>
        <w:tblLook w:val="04A0"/>
      </w:tblPr>
      <w:tblGrid>
        <w:gridCol w:w="756"/>
        <w:gridCol w:w="996"/>
        <w:gridCol w:w="711"/>
        <w:gridCol w:w="801"/>
        <w:gridCol w:w="801"/>
        <w:gridCol w:w="801"/>
        <w:gridCol w:w="711"/>
        <w:gridCol w:w="711"/>
        <w:gridCol w:w="771"/>
        <w:gridCol w:w="771"/>
        <w:gridCol w:w="771"/>
        <w:gridCol w:w="621"/>
        <w:gridCol w:w="801"/>
        <w:gridCol w:w="866"/>
        <w:gridCol w:w="621"/>
        <w:gridCol w:w="736"/>
      </w:tblGrid>
      <w:tr w:rsidR="000A22AE" w:rsidRPr="00DA7E4C" w:rsidTr="000A22AE">
        <w:trPr>
          <w:trHeight w:val="255"/>
        </w:trPr>
        <w:tc>
          <w:tcPr>
            <w:tcW w:w="0" w:type="auto"/>
            <w:tcBorders>
              <w:top w:val="single" w:sz="8" w:space="0" w:color="auto"/>
              <w:left w:val="single" w:sz="8" w:space="0" w:color="auto"/>
              <w:bottom w:val="single" w:sz="8" w:space="0" w:color="auto"/>
              <w:right w:val="nil"/>
            </w:tcBorders>
            <w:shd w:val="clear" w:color="auto" w:fill="auto"/>
            <w:noWrap/>
            <w:vAlign w:val="bottom"/>
            <w:hideMark/>
          </w:tcPr>
          <w:p w:rsidR="000A22AE" w:rsidRPr="00DA7E4C" w:rsidRDefault="000A22AE" w:rsidP="000A22AE">
            <w:pPr>
              <w:spacing w:before="0" w:after="0" w:line="240" w:lineRule="auto"/>
              <w:jc w:val="center"/>
              <w:rPr>
                <w:rFonts w:eastAsia="Times New Roman" w:cs="Times New Roman"/>
                <w:sz w:val="18"/>
                <w:szCs w:val="18"/>
              </w:rPr>
            </w:pPr>
            <w:r w:rsidRPr="00DA7E4C">
              <w:rPr>
                <w:rFonts w:eastAsia="Times New Roman" w:cs="Times New Roman"/>
                <w:sz w:val="18"/>
                <w:szCs w:val="18"/>
              </w:rPr>
              <w:t>Sample</w:t>
            </w:r>
          </w:p>
        </w:tc>
        <w:tc>
          <w:tcPr>
            <w:tcW w:w="0" w:type="auto"/>
            <w:tcBorders>
              <w:top w:val="single" w:sz="8" w:space="0" w:color="auto"/>
              <w:left w:val="nil"/>
              <w:bottom w:val="single" w:sz="8" w:space="0" w:color="auto"/>
              <w:right w:val="single" w:sz="8" w:space="0" w:color="auto"/>
            </w:tcBorders>
            <w:shd w:val="clear" w:color="auto" w:fill="auto"/>
            <w:noWrap/>
            <w:vAlign w:val="bottom"/>
            <w:hideMark/>
          </w:tcPr>
          <w:p w:rsidR="000A22AE" w:rsidRPr="00DA7E4C" w:rsidRDefault="000A22AE" w:rsidP="000A22AE">
            <w:pPr>
              <w:spacing w:before="0" w:after="0" w:line="240" w:lineRule="auto"/>
              <w:jc w:val="center"/>
              <w:rPr>
                <w:rFonts w:eastAsia="Times New Roman" w:cs="Times New Roman"/>
                <w:sz w:val="18"/>
                <w:szCs w:val="18"/>
              </w:rPr>
            </w:pPr>
            <w:r w:rsidRPr="00DA7E4C">
              <w:rPr>
                <w:rFonts w:eastAsia="Times New Roman" w:cs="Times New Roman"/>
                <w:sz w:val="18"/>
                <w:szCs w:val="18"/>
              </w:rPr>
              <w:t>1997-2010</w:t>
            </w:r>
          </w:p>
        </w:tc>
        <w:tc>
          <w:tcPr>
            <w:tcW w:w="0" w:type="auto"/>
            <w:gridSpan w:val="9"/>
            <w:tcBorders>
              <w:top w:val="single" w:sz="8" w:space="0" w:color="auto"/>
              <w:left w:val="nil"/>
              <w:bottom w:val="nil"/>
              <w:right w:val="single" w:sz="8" w:space="0" w:color="000000"/>
            </w:tcBorders>
            <w:shd w:val="clear" w:color="auto" w:fill="auto"/>
            <w:vAlign w:val="bottom"/>
            <w:hideMark/>
          </w:tcPr>
          <w:p w:rsidR="000A22AE" w:rsidRPr="00DA7E4C" w:rsidRDefault="000A22AE" w:rsidP="000A22AE">
            <w:pPr>
              <w:spacing w:before="0" w:after="0" w:line="240" w:lineRule="auto"/>
              <w:jc w:val="center"/>
              <w:rPr>
                <w:rFonts w:eastAsia="Times New Roman" w:cs="Times New Roman"/>
                <w:color w:val="000000"/>
                <w:sz w:val="18"/>
                <w:szCs w:val="18"/>
              </w:rPr>
            </w:pPr>
            <w:r w:rsidRPr="00DA7E4C">
              <w:rPr>
                <w:rFonts w:eastAsia="Times New Roman" w:cs="Times New Roman"/>
                <w:color w:val="000000"/>
                <w:sz w:val="18"/>
                <w:szCs w:val="18"/>
              </w:rPr>
              <w:t xml:space="preserve">Real Stock </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color w:val="000000"/>
                <w:sz w:val="18"/>
                <w:szCs w:val="18"/>
              </w:rPr>
            </w:pPr>
          </w:p>
        </w:tc>
        <w:tc>
          <w:tcPr>
            <w:tcW w:w="0" w:type="auto"/>
            <w:tcBorders>
              <w:top w:val="nil"/>
              <w:left w:val="nil"/>
              <w:bottom w:val="nil"/>
              <w:right w:val="single" w:sz="4" w:space="0" w:color="auto"/>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color w:val="000000"/>
                <w:sz w:val="18"/>
                <w:szCs w:val="18"/>
              </w:rPr>
            </w:pPr>
          </w:p>
        </w:tc>
        <w:tc>
          <w:tcPr>
            <w:tcW w:w="0" w:type="auto"/>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A22AE" w:rsidRPr="00DA7E4C" w:rsidRDefault="000A22AE" w:rsidP="000A22AE">
            <w:pPr>
              <w:spacing w:before="0" w:after="0" w:line="240" w:lineRule="auto"/>
              <w:jc w:val="center"/>
              <w:rPr>
                <w:rFonts w:eastAsia="Times New Roman" w:cs="Times New Roman"/>
                <w:sz w:val="18"/>
                <w:szCs w:val="18"/>
              </w:rPr>
            </w:pPr>
            <w:r w:rsidRPr="00DA7E4C">
              <w:rPr>
                <w:rFonts w:eastAsia="Times New Roman" w:cs="Times New Roman"/>
                <w:sz w:val="18"/>
                <w:szCs w:val="18"/>
              </w:rPr>
              <w:t>Adjusted</w:t>
            </w:r>
          </w:p>
          <w:p w:rsidR="000A22AE" w:rsidRPr="00DA7E4C" w:rsidRDefault="000A22AE" w:rsidP="000A22AE">
            <w:pPr>
              <w:spacing w:before="0" w:after="0" w:line="240" w:lineRule="auto"/>
              <w:jc w:val="center"/>
              <w:rPr>
                <w:rFonts w:eastAsia="Times New Roman" w:cs="Times New Roman"/>
                <w:color w:val="000000"/>
                <w:sz w:val="18"/>
                <w:szCs w:val="18"/>
              </w:rPr>
            </w:pPr>
            <w:r w:rsidRPr="00DA7E4C">
              <w:rPr>
                <w:rFonts w:eastAsia="Times New Roman" w:cs="Times New Roman"/>
                <w:sz w:val="18"/>
                <w:szCs w:val="18"/>
              </w:rPr>
              <w:t>R-square</w:t>
            </w:r>
          </w:p>
        </w:tc>
        <w:tc>
          <w:tcPr>
            <w:tcW w:w="0" w:type="auto"/>
            <w:tcBorders>
              <w:top w:val="nil"/>
              <w:left w:val="single" w:sz="4" w:space="0" w:color="auto"/>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color w:val="000000"/>
                <w:sz w:val="18"/>
                <w:szCs w:val="18"/>
              </w:rPr>
            </w:pPr>
          </w:p>
        </w:tc>
      </w:tr>
      <w:tr w:rsidR="000A22AE" w:rsidRPr="00DA7E4C" w:rsidTr="000A22AE">
        <w:trPr>
          <w:trHeight w:val="300"/>
        </w:trPr>
        <w:tc>
          <w:tcPr>
            <w:tcW w:w="0" w:type="auto"/>
            <w:tcBorders>
              <w:top w:val="nil"/>
              <w:left w:val="single" w:sz="8" w:space="0" w:color="auto"/>
              <w:bottom w:val="single" w:sz="8" w:space="0" w:color="auto"/>
              <w:right w:val="single" w:sz="8" w:space="0" w:color="auto"/>
            </w:tcBorders>
            <w:shd w:val="clear" w:color="auto" w:fill="auto"/>
            <w:noWrap/>
            <w:vAlign w:val="center"/>
            <w:hideMark/>
          </w:tcPr>
          <w:p w:rsidR="000A22AE" w:rsidRPr="00DA7E4C" w:rsidRDefault="000A22AE" w:rsidP="000A22AE">
            <w:pPr>
              <w:spacing w:before="0" w:after="0" w:line="240" w:lineRule="auto"/>
              <w:jc w:val="center"/>
              <w:rPr>
                <w:rFonts w:eastAsia="Times New Roman" w:cs="Times New Roman"/>
                <w:sz w:val="18"/>
                <w:szCs w:val="18"/>
              </w:rPr>
            </w:pPr>
            <w:r w:rsidRPr="00DA7E4C">
              <w:rPr>
                <w:rFonts w:eastAsia="Times New Roman" w:cs="Times New Roman"/>
                <w:sz w:val="18"/>
                <w:szCs w:val="18"/>
              </w:rPr>
              <w:t>No</w:t>
            </w:r>
          </w:p>
        </w:tc>
        <w:tc>
          <w:tcPr>
            <w:tcW w:w="0" w:type="auto"/>
            <w:tcBorders>
              <w:top w:val="nil"/>
              <w:left w:val="nil"/>
              <w:bottom w:val="single" w:sz="8" w:space="0" w:color="auto"/>
              <w:right w:val="single" w:sz="8" w:space="0" w:color="auto"/>
            </w:tcBorders>
            <w:shd w:val="clear" w:color="auto" w:fill="auto"/>
            <w:noWrap/>
            <w:vAlign w:val="center"/>
            <w:hideMark/>
          </w:tcPr>
          <w:p w:rsidR="000A22AE" w:rsidRPr="00DA7E4C" w:rsidRDefault="000A22AE" w:rsidP="000A22AE">
            <w:pPr>
              <w:spacing w:before="0" w:after="0" w:line="240" w:lineRule="auto"/>
              <w:jc w:val="center"/>
              <w:rPr>
                <w:rFonts w:eastAsia="Times New Roman" w:cs="Times New Roman"/>
                <w:sz w:val="18"/>
                <w:szCs w:val="18"/>
              </w:rPr>
            </w:pPr>
            <w:r w:rsidRPr="00DA7E4C">
              <w:rPr>
                <w:rFonts w:eastAsia="Times New Roman" w:cs="Times New Roman"/>
                <w:sz w:val="18"/>
                <w:szCs w:val="18"/>
              </w:rPr>
              <w:t>Intercept</w:t>
            </w:r>
          </w:p>
        </w:tc>
        <w:tc>
          <w:tcPr>
            <w:tcW w:w="0" w:type="auto"/>
            <w:tcBorders>
              <w:top w:val="nil"/>
              <w:left w:val="nil"/>
              <w:bottom w:val="single" w:sz="8" w:space="0" w:color="auto"/>
              <w:right w:val="single" w:sz="8" w:space="0" w:color="auto"/>
            </w:tcBorders>
            <w:shd w:val="clear" w:color="auto" w:fill="auto"/>
            <w:vAlign w:val="center"/>
            <w:hideMark/>
          </w:tcPr>
          <w:p w:rsidR="000A22AE" w:rsidRPr="00DA7E4C" w:rsidRDefault="000A22AE" w:rsidP="000A22AE">
            <w:pPr>
              <w:spacing w:before="0" w:after="0" w:line="240" w:lineRule="auto"/>
              <w:jc w:val="center"/>
              <w:rPr>
                <w:rFonts w:eastAsia="Times New Roman" w:cs="Times New Roman"/>
                <w:sz w:val="18"/>
                <w:szCs w:val="18"/>
              </w:rPr>
            </w:pPr>
            <w:r w:rsidRPr="00DA7E4C">
              <w:rPr>
                <w:rFonts w:eastAsia="Times New Roman" w:cs="Times New Roman"/>
                <w:sz w:val="18"/>
                <w:szCs w:val="18"/>
              </w:rPr>
              <w:t>t</w:t>
            </w:r>
          </w:p>
        </w:tc>
        <w:tc>
          <w:tcPr>
            <w:tcW w:w="0" w:type="auto"/>
            <w:tcBorders>
              <w:top w:val="nil"/>
              <w:left w:val="nil"/>
              <w:bottom w:val="single" w:sz="8" w:space="0" w:color="auto"/>
              <w:right w:val="single" w:sz="8" w:space="0" w:color="auto"/>
            </w:tcBorders>
            <w:shd w:val="clear" w:color="auto" w:fill="auto"/>
            <w:vAlign w:val="center"/>
            <w:hideMark/>
          </w:tcPr>
          <w:p w:rsidR="000A22AE" w:rsidRPr="00DA7E4C" w:rsidRDefault="000A22AE" w:rsidP="000A22AE">
            <w:pPr>
              <w:spacing w:before="0" w:after="0" w:line="240" w:lineRule="auto"/>
              <w:jc w:val="center"/>
              <w:rPr>
                <w:rFonts w:eastAsia="Times New Roman" w:cs="Times New Roman"/>
                <w:sz w:val="18"/>
                <w:szCs w:val="18"/>
              </w:rPr>
            </w:pPr>
            <w:r w:rsidRPr="00DA7E4C">
              <w:rPr>
                <w:rFonts w:eastAsia="Times New Roman" w:cs="Times New Roman"/>
                <w:sz w:val="18"/>
                <w:szCs w:val="18"/>
              </w:rPr>
              <w:t>t-1</w:t>
            </w:r>
          </w:p>
        </w:tc>
        <w:tc>
          <w:tcPr>
            <w:tcW w:w="0" w:type="auto"/>
            <w:tcBorders>
              <w:top w:val="nil"/>
              <w:left w:val="nil"/>
              <w:bottom w:val="single" w:sz="8" w:space="0" w:color="auto"/>
              <w:right w:val="single" w:sz="8" w:space="0" w:color="auto"/>
            </w:tcBorders>
            <w:shd w:val="clear" w:color="auto" w:fill="auto"/>
            <w:vAlign w:val="center"/>
            <w:hideMark/>
          </w:tcPr>
          <w:p w:rsidR="000A22AE" w:rsidRPr="00DA7E4C" w:rsidRDefault="000A22AE" w:rsidP="000A22AE">
            <w:pPr>
              <w:spacing w:before="0" w:after="0" w:line="240" w:lineRule="auto"/>
              <w:jc w:val="center"/>
              <w:rPr>
                <w:rFonts w:eastAsia="Times New Roman" w:cs="Times New Roman"/>
                <w:sz w:val="18"/>
                <w:szCs w:val="18"/>
              </w:rPr>
            </w:pPr>
            <w:r w:rsidRPr="00DA7E4C">
              <w:rPr>
                <w:rFonts w:eastAsia="Times New Roman" w:cs="Times New Roman"/>
                <w:sz w:val="18"/>
                <w:szCs w:val="18"/>
              </w:rPr>
              <w:t>t-2</w:t>
            </w:r>
          </w:p>
        </w:tc>
        <w:tc>
          <w:tcPr>
            <w:tcW w:w="0" w:type="auto"/>
            <w:tcBorders>
              <w:top w:val="nil"/>
              <w:left w:val="nil"/>
              <w:bottom w:val="single" w:sz="8" w:space="0" w:color="auto"/>
              <w:right w:val="single" w:sz="8" w:space="0" w:color="auto"/>
            </w:tcBorders>
            <w:shd w:val="clear" w:color="auto" w:fill="auto"/>
            <w:vAlign w:val="center"/>
            <w:hideMark/>
          </w:tcPr>
          <w:p w:rsidR="000A22AE" w:rsidRPr="00DA7E4C" w:rsidRDefault="000A22AE" w:rsidP="000A22AE">
            <w:pPr>
              <w:spacing w:before="0" w:after="0" w:line="240" w:lineRule="auto"/>
              <w:jc w:val="center"/>
              <w:rPr>
                <w:rFonts w:eastAsia="Times New Roman" w:cs="Times New Roman"/>
                <w:sz w:val="18"/>
                <w:szCs w:val="18"/>
              </w:rPr>
            </w:pPr>
            <w:r w:rsidRPr="00DA7E4C">
              <w:rPr>
                <w:rFonts w:eastAsia="Times New Roman" w:cs="Times New Roman"/>
                <w:sz w:val="18"/>
                <w:szCs w:val="18"/>
              </w:rPr>
              <w:t>t-3</w:t>
            </w:r>
          </w:p>
        </w:tc>
        <w:tc>
          <w:tcPr>
            <w:tcW w:w="0" w:type="auto"/>
            <w:tcBorders>
              <w:top w:val="nil"/>
              <w:left w:val="nil"/>
              <w:bottom w:val="single" w:sz="8" w:space="0" w:color="auto"/>
              <w:right w:val="single" w:sz="8" w:space="0" w:color="auto"/>
            </w:tcBorders>
            <w:shd w:val="clear" w:color="auto" w:fill="auto"/>
            <w:vAlign w:val="center"/>
            <w:hideMark/>
          </w:tcPr>
          <w:p w:rsidR="000A22AE" w:rsidRPr="00DA7E4C" w:rsidRDefault="000A22AE" w:rsidP="000A22AE">
            <w:pPr>
              <w:spacing w:before="0" w:after="0" w:line="240" w:lineRule="auto"/>
              <w:jc w:val="center"/>
              <w:rPr>
                <w:rFonts w:eastAsia="Times New Roman" w:cs="Times New Roman"/>
                <w:sz w:val="18"/>
                <w:szCs w:val="18"/>
              </w:rPr>
            </w:pPr>
            <w:r w:rsidRPr="00DA7E4C">
              <w:rPr>
                <w:rFonts w:eastAsia="Times New Roman" w:cs="Times New Roman"/>
                <w:sz w:val="18"/>
                <w:szCs w:val="18"/>
              </w:rPr>
              <w:t>t-4</w:t>
            </w:r>
          </w:p>
        </w:tc>
        <w:tc>
          <w:tcPr>
            <w:tcW w:w="0" w:type="auto"/>
            <w:tcBorders>
              <w:top w:val="nil"/>
              <w:left w:val="nil"/>
              <w:bottom w:val="single" w:sz="8" w:space="0" w:color="auto"/>
              <w:right w:val="single" w:sz="8" w:space="0" w:color="auto"/>
            </w:tcBorders>
            <w:shd w:val="clear" w:color="auto" w:fill="auto"/>
            <w:vAlign w:val="center"/>
            <w:hideMark/>
          </w:tcPr>
          <w:p w:rsidR="000A22AE" w:rsidRPr="00DA7E4C" w:rsidRDefault="000A22AE" w:rsidP="000A22AE">
            <w:pPr>
              <w:spacing w:before="0" w:after="0" w:line="240" w:lineRule="auto"/>
              <w:jc w:val="center"/>
              <w:rPr>
                <w:rFonts w:eastAsia="Times New Roman" w:cs="Times New Roman"/>
                <w:sz w:val="18"/>
                <w:szCs w:val="18"/>
              </w:rPr>
            </w:pPr>
            <w:r w:rsidRPr="00DA7E4C">
              <w:rPr>
                <w:rFonts w:eastAsia="Times New Roman" w:cs="Times New Roman"/>
                <w:sz w:val="18"/>
                <w:szCs w:val="18"/>
              </w:rPr>
              <w:t>t-5</w:t>
            </w:r>
          </w:p>
        </w:tc>
        <w:tc>
          <w:tcPr>
            <w:tcW w:w="0" w:type="auto"/>
            <w:tcBorders>
              <w:top w:val="nil"/>
              <w:left w:val="nil"/>
              <w:bottom w:val="single" w:sz="8" w:space="0" w:color="auto"/>
              <w:right w:val="single" w:sz="8" w:space="0" w:color="auto"/>
            </w:tcBorders>
            <w:shd w:val="clear" w:color="auto" w:fill="auto"/>
            <w:vAlign w:val="center"/>
            <w:hideMark/>
          </w:tcPr>
          <w:p w:rsidR="000A22AE" w:rsidRPr="00DA7E4C" w:rsidRDefault="000A22AE" w:rsidP="000A22AE">
            <w:pPr>
              <w:spacing w:before="0" w:after="0" w:line="240" w:lineRule="auto"/>
              <w:jc w:val="center"/>
              <w:rPr>
                <w:rFonts w:eastAsia="Times New Roman" w:cs="Times New Roman"/>
                <w:sz w:val="18"/>
                <w:szCs w:val="18"/>
              </w:rPr>
            </w:pPr>
            <w:r w:rsidRPr="00DA7E4C">
              <w:rPr>
                <w:rFonts w:eastAsia="Times New Roman" w:cs="Times New Roman"/>
                <w:sz w:val="18"/>
                <w:szCs w:val="18"/>
              </w:rPr>
              <w:t>t-6</w:t>
            </w:r>
          </w:p>
        </w:tc>
        <w:tc>
          <w:tcPr>
            <w:tcW w:w="0" w:type="auto"/>
            <w:tcBorders>
              <w:top w:val="nil"/>
              <w:left w:val="nil"/>
              <w:bottom w:val="single" w:sz="8" w:space="0" w:color="auto"/>
              <w:right w:val="single" w:sz="8" w:space="0" w:color="auto"/>
            </w:tcBorders>
            <w:shd w:val="clear" w:color="auto" w:fill="auto"/>
            <w:vAlign w:val="center"/>
            <w:hideMark/>
          </w:tcPr>
          <w:p w:rsidR="000A22AE" w:rsidRPr="00DA7E4C" w:rsidRDefault="000A22AE" w:rsidP="000A22AE">
            <w:pPr>
              <w:spacing w:before="0" w:after="0" w:line="240" w:lineRule="auto"/>
              <w:jc w:val="center"/>
              <w:rPr>
                <w:rFonts w:eastAsia="Times New Roman" w:cs="Times New Roman"/>
                <w:sz w:val="18"/>
                <w:szCs w:val="18"/>
              </w:rPr>
            </w:pPr>
            <w:r w:rsidRPr="00DA7E4C">
              <w:rPr>
                <w:rFonts w:eastAsia="Times New Roman" w:cs="Times New Roman"/>
                <w:sz w:val="18"/>
                <w:szCs w:val="18"/>
              </w:rPr>
              <w:t>t-7</w:t>
            </w:r>
          </w:p>
        </w:tc>
        <w:tc>
          <w:tcPr>
            <w:tcW w:w="0" w:type="auto"/>
            <w:tcBorders>
              <w:top w:val="nil"/>
              <w:left w:val="nil"/>
              <w:bottom w:val="single" w:sz="8" w:space="0" w:color="auto"/>
              <w:right w:val="single" w:sz="8" w:space="0" w:color="auto"/>
            </w:tcBorders>
            <w:shd w:val="clear" w:color="auto" w:fill="auto"/>
            <w:vAlign w:val="center"/>
            <w:hideMark/>
          </w:tcPr>
          <w:p w:rsidR="000A22AE" w:rsidRPr="00DA7E4C" w:rsidRDefault="000A22AE" w:rsidP="000A22AE">
            <w:pPr>
              <w:spacing w:before="0" w:after="0" w:line="240" w:lineRule="auto"/>
              <w:jc w:val="center"/>
              <w:rPr>
                <w:rFonts w:eastAsia="Times New Roman" w:cs="Times New Roman"/>
                <w:sz w:val="18"/>
                <w:szCs w:val="18"/>
              </w:rPr>
            </w:pPr>
            <w:r w:rsidRPr="00DA7E4C">
              <w:rPr>
                <w:rFonts w:eastAsia="Times New Roman" w:cs="Times New Roman"/>
                <w:sz w:val="18"/>
                <w:szCs w:val="18"/>
              </w:rPr>
              <w:t>t-8</w:t>
            </w:r>
          </w:p>
        </w:tc>
        <w:tc>
          <w:tcPr>
            <w:tcW w:w="0" w:type="auto"/>
            <w:tcBorders>
              <w:top w:val="single" w:sz="8" w:space="0" w:color="auto"/>
              <w:left w:val="nil"/>
              <w:bottom w:val="single" w:sz="8" w:space="0" w:color="auto"/>
              <w:right w:val="single" w:sz="8" w:space="0" w:color="auto"/>
            </w:tcBorders>
            <w:shd w:val="clear" w:color="auto" w:fill="auto"/>
            <w:vAlign w:val="center"/>
            <w:hideMark/>
          </w:tcPr>
          <w:p w:rsidR="000A22AE" w:rsidRPr="00DA7E4C" w:rsidRDefault="000A22AE" w:rsidP="000A22AE">
            <w:pPr>
              <w:spacing w:before="0" w:after="0" w:line="240" w:lineRule="auto"/>
              <w:jc w:val="center"/>
              <w:rPr>
                <w:rFonts w:eastAsia="Times New Roman" w:cs="Times New Roman"/>
                <w:sz w:val="18"/>
                <w:szCs w:val="18"/>
              </w:rPr>
            </w:pPr>
            <w:r w:rsidRPr="00DA7E4C">
              <w:rPr>
                <w:rFonts w:eastAsia="Times New Roman" w:cs="Times New Roman"/>
                <w:sz w:val="18"/>
                <w:szCs w:val="18"/>
              </w:rPr>
              <w:t>AR</w:t>
            </w:r>
          </w:p>
        </w:tc>
        <w:tc>
          <w:tcPr>
            <w:tcW w:w="0" w:type="auto"/>
            <w:tcBorders>
              <w:top w:val="single" w:sz="8" w:space="0" w:color="auto"/>
              <w:left w:val="nil"/>
              <w:bottom w:val="single" w:sz="8" w:space="0" w:color="auto"/>
              <w:right w:val="single" w:sz="4" w:space="0" w:color="auto"/>
            </w:tcBorders>
            <w:shd w:val="clear" w:color="auto" w:fill="auto"/>
            <w:noWrap/>
            <w:vAlign w:val="center"/>
            <w:hideMark/>
          </w:tcPr>
          <w:p w:rsidR="000A22AE" w:rsidRPr="00DA7E4C" w:rsidRDefault="000A22AE" w:rsidP="000A22AE">
            <w:pPr>
              <w:spacing w:before="0" w:after="0" w:line="240" w:lineRule="auto"/>
              <w:jc w:val="center"/>
              <w:rPr>
                <w:rFonts w:eastAsia="Times New Roman" w:cs="Times New Roman"/>
                <w:sz w:val="18"/>
                <w:szCs w:val="18"/>
              </w:rPr>
            </w:pPr>
            <w:r w:rsidRPr="00DA7E4C">
              <w:rPr>
                <w:rFonts w:eastAsia="Times New Roman" w:cs="Times New Roman"/>
                <w:sz w:val="18"/>
                <w:szCs w:val="18"/>
              </w:rPr>
              <w:t>F Value</w:t>
            </w:r>
          </w:p>
        </w:tc>
        <w:tc>
          <w:tcPr>
            <w:tcW w:w="0" w:type="auto"/>
            <w:vMerge/>
            <w:tcBorders>
              <w:left w:val="single" w:sz="4" w:space="0" w:color="auto"/>
              <w:bottom w:val="single" w:sz="4" w:space="0" w:color="auto"/>
              <w:right w:val="single" w:sz="4" w:space="0" w:color="auto"/>
            </w:tcBorders>
            <w:shd w:val="clear" w:color="auto" w:fill="auto"/>
            <w:noWrap/>
            <w:vAlign w:val="center"/>
            <w:hideMark/>
          </w:tcPr>
          <w:p w:rsidR="000A22AE" w:rsidRPr="00DA7E4C" w:rsidRDefault="000A22AE" w:rsidP="000A22AE">
            <w:pPr>
              <w:spacing w:before="0" w:after="0" w:line="240" w:lineRule="auto"/>
              <w:jc w:val="center"/>
              <w:rPr>
                <w:rFonts w:eastAsia="Times New Roman" w:cs="Times New Roman"/>
                <w:sz w:val="18"/>
                <w:szCs w:val="18"/>
              </w:rPr>
            </w:pPr>
          </w:p>
        </w:tc>
        <w:tc>
          <w:tcPr>
            <w:tcW w:w="0" w:type="auto"/>
            <w:tcBorders>
              <w:top w:val="single" w:sz="8" w:space="0" w:color="auto"/>
              <w:left w:val="single" w:sz="4" w:space="0" w:color="auto"/>
              <w:bottom w:val="single" w:sz="8" w:space="0" w:color="auto"/>
              <w:right w:val="single" w:sz="8" w:space="0" w:color="auto"/>
            </w:tcBorders>
            <w:shd w:val="clear" w:color="auto" w:fill="auto"/>
            <w:noWrap/>
            <w:vAlign w:val="center"/>
            <w:hideMark/>
          </w:tcPr>
          <w:p w:rsidR="000A22AE" w:rsidRPr="00DA7E4C" w:rsidRDefault="000A22AE" w:rsidP="000A22AE">
            <w:pPr>
              <w:spacing w:before="0" w:after="0" w:line="240" w:lineRule="auto"/>
              <w:jc w:val="center"/>
              <w:rPr>
                <w:rFonts w:eastAsia="Times New Roman" w:cs="Times New Roman"/>
                <w:sz w:val="18"/>
                <w:szCs w:val="18"/>
              </w:rPr>
            </w:pPr>
            <w:r w:rsidRPr="00DA7E4C">
              <w:rPr>
                <w:rFonts w:eastAsia="Times New Roman" w:cs="Times New Roman"/>
                <w:sz w:val="18"/>
                <w:szCs w:val="18"/>
              </w:rPr>
              <w:t>DW</w:t>
            </w:r>
          </w:p>
        </w:tc>
        <w:tc>
          <w:tcPr>
            <w:tcW w:w="0" w:type="auto"/>
            <w:tcBorders>
              <w:top w:val="single" w:sz="8" w:space="0" w:color="auto"/>
              <w:left w:val="nil"/>
              <w:bottom w:val="single" w:sz="8" w:space="0" w:color="auto"/>
              <w:right w:val="single" w:sz="8" w:space="0" w:color="auto"/>
            </w:tcBorders>
            <w:shd w:val="clear" w:color="auto" w:fill="auto"/>
            <w:vAlign w:val="center"/>
            <w:hideMark/>
          </w:tcPr>
          <w:p w:rsidR="000A22AE" w:rsidRPr="00DA7E4C" w:rsidRDefault="000A22AE" w:rsidP="000A22AE">
            <w:pPr>
              <w:spacing w:before="0" w:after="0" w:line="240" w:lineRule="auto"/>
              <w:jc w:val="center"/>
              <w:rPr>
                <w:rFonts w:eastAsia="Times New Roman" w:cs="Times New Roman"/>
                <w:color w:val="000000"/>
                <w:sz w:val="18"/>
                <w:szCs w:val="18"/>
              </w:rPr>
            </w:pPr>
            <w:r w:rsidRPr="00DA7E4C">
              <w:rPr>
                <w:rFonts w:eastAsia="Times New Roman" w:cs="Times New Roman"/>
                <w:color w:val="000000"/>
                <w:sz w:val="18"/>
                <w:szCs w:val="18"/>
              </w:rPr>
              <w:t>Akaike</w:t>
            </w:r>
          </w:p>
        </w:tc>
      </w:tr>
      <w:tr w:rsidR="000A22AE" w:rsidRPr="00DA7E4C" w:rsidTr="000A22AE">
        <w:trPr>
          <w:trHeight w:val="240"/>
        </w:trPr>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center"/>
              <w:rPr>
                <w:rFonts w:eastAsia="Times New Roman" w:cs="Times New Roman"/>
                <w:sz w:val="18"/>
                <w:szCs w:val="18"/>
              </w:rPr>
            </w:pPr>
            <w:r w:rsidRPr="00DA7E4C">
              <w:rPr>
                <w:rFonts w:eastAsia="Times New Roman" w:cs="Times New Roman"/>
                <w:sz w:val="18"/>
                <w:szCs w:val="18"/>
              </w:rPr>
              <w:t>1</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-152.089</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51.851</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101.834</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98.627</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92.876</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42.370</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33.376</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18.517</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8.094</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-26.227</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0.769</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264.922</w:t>
            </w:r>
          </w:p>
        </w:tc>
        <w:tc>
          <w:tcPr>
            <w:tcW w:w="0" w:type="auto"/>
            <w:tcBorders>
              <w:top w:val="single" w:sz="4" w:space="0" w:color="auto"/>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0.949</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1.426</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18.992</w:t>
            </w:r>
          </w:p>
        </w:tc>
      </w:tr>
      <w:tr w:rsidR="000A22AE" w:rsidRPr="00DA7E4C" w:rsidTr="000A22AE">
        <w:trPr>
          <w:trHeight w:val="240"/>
        </w:trPr>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center"/>
              <w:rPr>
                <w:rFonts w:eastAsia="Times New Roman" w:cs="Times New Roman"/>
                <w:b/>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b/>
                <w:color w:val="000000"/>
                <w:sz w:val="18"/>
                <w:szCs w:val="18"/>
              </w:rPr>
            </w:pPr>
            <w:r w:rsidRPr="00DA7E4C">
              <w:rPr>
                <w:rFonts w:eastAsia="Times New Roman" w:cs="Times New Roman"/>
                <w:b/>
                <w:color w:val="000000"/>
                <w:sz w:val="18"/>
                <w:szCs w:val="18"/>
              </w:rPr>
              <w:t>0.889</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b/>
                <w:color w:val="000000"/>
                <w:sz w:val="18"/>
                <w:szCs w:val="18"/>
              </w:rPr>
            </w:pPr>
            <w:r w:rsidRPr="00DA7E4C">
              <w:rPr>
                <w:rFonts w:eastAsia="Times New Roman" w:cs="Times New Roman"/>
                <w:b/>
                <w:color w:val="000000"/>
                <w:sz w:val="18"/>
                <w:szCs w:val="18"/>
              </w:rPr>
              <w:t>0.000</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b/>
                <w:color w:val="000000"/>
                <w:sz w:val="18"/>
                <w:szCs w:val="18"/>
              </w:rPr>
            </w:pPr>
            <w:r w:rsidRPr="00DA7E4C">
              <w:rPr>
                <w:rFonts w:eastAsia="Times New Roman" w:cs="Times New Roman"/>
                <w:b/>
                <w:color w:val="000000"/>
                <w:sz w:val="18"/>
                <w:szCs w:val="18"/>
              </w:rPr>
              <w:t>0.000</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b/>
                <w:color w:val="000000"/>
                <w:sz w:val="18"/>
                <w:szCs w:val="18"/>
              </w:rPr>
            </w:pPr>
            <w:r w:rsidRPr="00DA7E4C">
              <w:rPr>
                <w:rFonts w:eastAsia="Times New Roman" w:cs="Times New Roman"/>
                <w:b/>
                <w:color w:val="000000"/>
                <w:sz w:val="18"/>
                <w:szCs w:val="18"/>
              </w:rPr>
              <w:t>0.000</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b/>
                <w:color w:val="000000"/>
                <w:sz w:val="18"/>
                <w:szCs w:val="18"/>
              </w:rPr>
            </w:pPr>
            <w:r w:rsidRPr="00DA7E4C">
              <w:rPr>
                <w:rFonts w:eastAsia="Times New Roman" w:cs="Times New Roman"/>
                <w:b/>
                <w:color w:val="000000"/>
                <w:sz w:val="18"/>
                <w:szCs w:val="18"/>
              </w:rPr>
              <w:t>0.000</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b/>
                <w:color w:val="000000"/>
                <w:sz w:val="18"/>
                <w:szCs w:val="18"/>
              </w:rPr>
            </w:pPr>
            <w:r w:rsidRPr="00DA7E4C">
              <w:rPr>
                <w:rFonts w:eastAsia="Times New Roman" w:cs="Times New Roman"/>
                <w:b/>
                <w:color w:val="000000"/>
                <w:sz w:val="18"/>
                <w:szCs w:val="18"/>
              </w:rPr>
              <w:t>0.002</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b/>
                <w:color w:val="000000"/>
                <w:sz w:val="18"/>
                <w:szCs w:val="18"/>
              </w:rPr>
            </w:pPr>
            <w:r w:rsidRPr="00DA7E4C">
              <w:rPr>
                <w:rFonts w:eastAsia="Times New Roman" w:cs="Times New Roman"/>
                <w:b/>
                <w:color w:val="000000"/>
                <w:sz w:val="18"/>
                <w:szCs w:val="18"/>
              </w:rPr>
              <w:t>0.018</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b/>
                <w:color w:val="000000"/>
                <w:sz w:val="18"/>
                <w:szCs w:val="18"/>
              </w:rPr>
            </w:pPr>
            <w:r w:rsidRPr="00DA7E4C">
              <w:rPr>
                <w:rFonts w:eastAsia="Times New Roman" w:cs="Times New Roman"/>
                <w:b/>
                <w:color w:val="000000"/>
                <w:sz w:val="18"/>
                <w:szCs w:val="18"/>
              </w:rPr>
              <w:t>0.182</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b/>
                <w:color w:val="000000"/>
                <w:sz w:val="18"/>
                <w:szCs w:val="18"/>
              </w:rPr>
            </w:pPr>
            <w:r w:rsidRPr="00DA7E4C">
              <w:rPr>
                <w:rFonts w:eastAsia="Times New Roman" w:cs="Times New Roman"/>
                <w:b/>
                <w:color w:val="000000"/>
                <w:sz w:val="18"/>
                <w:szCs w:val="18"/>
              </w:rPr>
              <w:t>0.569</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b/>
                <w:color w:val="000000"/>
                <w:sz w:val="18"/>
                <w:szCs w:val="18"/>
              </w:rPr>
            </w:pPr>
            <w:r w:rsidRPr="00DA7E4C">
              <w:rPr>
                <w:rFonts w:eastAsia="Times New Roman" w:cs="Times New Roman"/>
                <w:b/>
                <w:color w:val="000000"/>
                <w:sz w:val="18"/>
                <w:szCs w:val="18"/>
              </w:rPr>
              <w:t>0.071</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b/>
                <w:color w:val="000000"/>
                <w:sz w:val="18"/>
                <w:szCs w:val="18"/>
              </w:rPr>
            </w:pPr>
            <w:r w:rsidRPr="00DA7E4C">
              <w:rPr>
                <w:rFonts w:eastAsia="Times New Roman" w:cs="Times New Roman"/>
                <w:b/>
                <w:color w:val="000000"/>
                <w:sz w:val="18"/>
                <w:szCs w:val="18"/>
              </w:rPr>
              <w:t>0.000</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b/>
                <w:color w:val="000000"/>
                <w:sz w:val="18"/>
                <w:szCs w:val="18"/>
              </w:rPr>
            </w:pPr>
            <w:r w:rsidRPr="00DA7E4C">
              <w:rPr>
                <w:rFonts w:eastAsia="Times New Roman" w:cs="Times New Roman"/>
                <w:b/>
                <w:color w:val="000000"/>
                <w:sz w:val="18"/>
                <w:szCs w:val="18"/>
              </w:rPr>
              <w:t>0.000</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b/>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b/>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b/>
                <w:color w:val="000000"/>
                <w:sz w:val="18"/>
                <w:szCs w:val="18"/>
              </w:rPr>
            </w:pPr>
          </w:p>
        </w:tc>
      </w:tr>
      <w:tr w:rsidR="000A22AE" w:rsidRPr="00DA7E4C" w:rsidTr="000A22AE">
        <w:trPr>
          <w:trHeight w:val="240"/>
        </w:trPr>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center"/>
              <w:rPr>
                <w:rFonts w:eastAsia="Times New Roman" w:cs="Times New Roman"/>
                <w:sz w:val="18"/>
                <w:szCs w:val="18"/>
              </w:rPr>
            </w:pPr>
            <w:r w:rsidRPr="00DA7E4C">
              <w:rPr>
                <w:rFonts w:eastAsia="Times New Roman" w:cs="Times New Roman"/>
                <w:sz w:val="18"/>
                <w:szCs w:val="18"/>
              </w:rPr>
              <w:t>2</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-1337.806</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71.985</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0.906</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421.275</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0.841</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0.919</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19.967</w:t>
            </w:r>
          </w:p>
        </w:tc>
      </w:tr>
      <w:tr w:rsidR="000A22AE" w:rsidRPr="00DA7E4C" w:rsidTr="000A22AE">
        <w:trPr>
          <w:trHeight w:val="240"/>
        </w:trPr>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center"/>
              <w:rPr>
                <w:rFonts w:eastAsia="Times New Roman" w:cs="Times New Roman"/>
                <w:b/>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b/>
                <w:color w:val="000000"/>
                <w:sz w:val="18"/>
                <w:szCs w:val="18"/>
              </w:rPr>
            </w:pPr>
            <w:r w:rsidRPr="00DA7E4C">
              <w:rPr>
                <w:rFonts w:eastAsia="Times New Roman" w:cs="Times New Roman"/>
                <w:b/>
                <w:color w:val="000000"/>
                <w:sz w:val="18"/>
                <w:szCs w:val="18"/>
              </w:rPr>
              <w:t>0.761</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b/>
                <w:color w:val="000000"/>
                <w:sz w:val="18"/>
                <w:szCs w:val="18"/>
              </w:rPr>
            </w:pPr>
            <w:r w:rsidRPr="00DA7E4C">
              <w:rPr>
                <w:rFonts w:eastAsia="Times New Roman" w:cs="Times New Roman"/>
                <w:b/>
                <w:color w:val="000000"/>
                <w:sz w:val="18"/>
                <w:szCs w:val="18"/>
              </w:rPr>
              <w:t>0.001</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b/>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b/>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b/>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b/>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b/>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b/>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b/>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b/>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b/>
                <w:color w:val="000000"/>
                <w:sz w:val="18"/>
                <w:szCs w:val="18"/>
              </w:rPr>
            </w:pPr>
            <w:r w:rsidRPr="00DA7E4C">
              <w:rPr>
                <w:rFonts w:eastAsia="Times New Roman" w:cs="Times New Roman"/>
                <w:b/>
                <w:color w:val="000000"/>
                <w:sz w:val="18"/>
                <w:szCs w:val="18"/>
              </w:rPr>
              <w:t>0.000</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b/>
                <w:color w:val="000000"/>
                <w:sz w:val="18"/>
                <w:szCs w:val="18"/>
              </w:rPr>
            </w:pPr>
            <w:r w:rsidRPr="00DA7E4C">
              <w:rPr>
                <w:rFonts w:eastAsia="Times New Roman" w:cs="Times New Roman"/>
                <w:b/>
                <w:color w:val="000000"/>
                <w:sz w:val="18"/>
                <w:szCs w:val="18"/>
              </w:rPr>
              <w:t>0.000</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b/>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b/>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b/>
                <w:color w:val="000000"/>
                <w:sz w:val="18"/>
                <w:szCs w:val="18"/>
              </w:rPr>
            </w:pPr>
          </w:p>
        </w:tc>
      </w:tr>
      <w:tr w:rsidR="000A22AE" w:rsidRPr="00DA7E4C" w:rsidTr="000A22AE">
        <w:trPr>
          <w:trHeight w:val="240"/>
        </w:trPr>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center"/>
              <w:rPr>
                <w:rFonts w:eastAsia="Times New Roman" w:cs="Times New Roman"/>
                <w:sz w:val="18"/>
                <w:szCs w:val="18"/>
              </w:rPr>
            </w:pPr>
            <w:r w:rsidRPr="00DA7E4C">
              <w:rPr>
                <w:rFonts w:eastAsia="Times New Roman" w:cs="Times New Roman"/>
                <w:sz w:val="18"/>
                <w:szCs w:val="18"/>
              </w:rPr>
              <w:t>3</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-667.100</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131.541</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0.878</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517.373</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0.868</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1.319</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19.793</w:t>
            </w:r>
          </w:p>
        </w:tc>
      </w:tr>
      <w:tr w:rsidR="000A22AE" w:rsidRPr="00DA7E4C" w:rsidTr="000A22AE">
        <w:trPr>
          <w:trHeight w:val="240"/>
        </w:trPr>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center"/>
              <w:rPr>
                <w:rFonts w:eastAsia="Times New Roman" w:cs="Times New Roman"/>
                <w:b/>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b/>
                <w:color w:val="000000"/>
                <w:sz w:val="18"/>
                <w:szCs w:val="18"/>
              </w:rPr>
            </w:pPr>
            <w:r w:rsidRPr="00DA7E4C">
              <w:rPr>
                <w:rFonts w:eastAsia="Times New Roman" w:cs="Times New Roman"/>
                <w:b/>
                <w:color w:val="000000"/>
                <w:sz w:val="18"/>
                <w:szCs w:val="18"/>
              </w:rPr>
              <w:t>0.829</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b/>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b/>
                <w:color w:val="000000"/>
                <w:sz w:val="18"/>
                <w:szCs w:val="18"/>
              </w:rPr>
            </w:pPr>
            <w:r w:rsidRPr="00DA7E4C">
              <w:rPr>
                <w:rFonts w:eastAsia="Times New Roman" w:cs="Times New Roman"/>
                <w:b/>
                <w:color w:val="000000"/>
                <w:sz w:val="18"/>
                <w:szCs w:val="18"/>
              </w:rPr>
              <w:t>0.000</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b/>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b/>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b/>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b/>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b/>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b/>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b/>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b/>
                <w:color w:val="000000"/>
                <w:sz w:val="18"/>
                <w:szCs w:val="18"/>
              </w:rPr>
            </w:pPr>
            <w:r w:rsidRPr="00DA7E4C">
              <w:rPr>
                <w:rFonts w:eastAsia="Times New Roman" w:cs="Times New Roman"/>
                <w:b/>
                <w:color w:val="000000"/>
                <w:sz w:val="18"/>
                <w:szCs w:val="18"/>
              </w:rPr>
              <w:t>0.000</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b/>
                <w:color w:val="000000"/>
                <w:sz w:val="18"/>
                <w:szCs w:val="18"/>
              </w:rPr>
            </w:pPr>
            <w:r w:rsidRPr="00DA7E4C">
              <w:rPr>
                <w:rFonts w:eastAsia="Times New Roman" w:cs="Times New Roman"/>
                <w:b/>
                <w:color w:val="000000"/>
                <w:sz w:val="18"/>
                <w:szCs w:val="18"/>
              </w:rPr>
              <w:t>0.000</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b/>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b/>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b/>
                <w:color w:val="000000"/>
                <w:sz w:val="18"/>
                <w:szCs w:val="18"/>
              </w:rPr>
            </w:pPr>
          </w:p>
        </w:tc>
      </w:tr>
      <w:tr w:rsidR="000A22AE" w:rsidRPr="00DA7E4C" w:rsidTr="000A22AE">
        <w:trPr>
          <w:trHeight w:val="240"/>
        </w:trPr>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center"/>
              <w:rPr>
                <w:rFonts w:eastAsia="Times New Roman" w:cs="Times New Roman"/>
                <w:sz w:val="18"/>
                <w:szCs w:val="18"/>
              </w:rPr>
            </w:pPr>
            <w:r w:rsidRPr="00DA7E4C">
              <w:rPr>
                <w:rFonts w:eastAsia="Times New Roman" w:cs="Times New Roman"/>
                <w:sz w:val="18"/>
                <w:szCs w:val="18"/>
              </w:rPr>
              <w:t>4</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-914.276</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149.515</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0.869</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561.742</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0.877</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1.591</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19.722</w:t>
            </w:r>
          </w:p>
        </w:tc>
      </w:tr>
      <w:tr w:rsidR="000A22AE" w:rsidRPr="00DA7E4C" w:rsidTr="000A22AE">
        <w:trPr>
          <w:trHeight w:val="240"/>
        </w:trPr>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center"/>
              <w:rPr>
                <w:rFonts w:eastAsia="Times New Roman" w:cs="Times New Roman"/>
                <w:b/>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b/>
                <w:color w:val="000000"/>
                <w:sz w:val="18"/>
                <w:szCs w:val="18"/>
              </w:rPr>
            </w:pPr>
            <w:r w:rsidRPr="00DA7E4C">
              <w:rPr>
                <w:rFonts w:eastAsia="Times New Roman" w:cs="Times New Roman"/>
                <w:b/>
                <w:color w:val="000000"/>
                <w:sz w:val="18"/>
                <w:szCs w:val="18"/>
              </w:rPr>
              <w:t>0.744</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b/>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b/>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b/>
                <w:color w:val="000000"/>
                <w:sz w:val="18"/>
                <w:szCs w:val="18"/>
              </w:rPr>
            </w:pPr>
            <w:r w:rsidRPr="00DA7E4C">
              <w:rPr>
                <w:rFonts w:eastAsia="Times New Roman" w:cs="Times New Roman"/>
                <w:b/>
                <w:color w:val="000000"/>
                <w:sz w:val="18"/>
                <w:szCs w:val="18"/>
              </w:rPr>
              <w:t>0.000</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b/>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b/>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b/>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b/>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b/>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b/>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b/>
                <w:color w:val="000000"/>
                <w:sz w:val="18"/>
                <w:szCs w:val="18"/>
              </w:rPr>
            </w:pPr>
            <w:r w:rsidRPr="00DA7E4C">
              <w:rPr>
                <w:rFonts w:eastAsia="Times New Roman" w:cs="Times New Roman"/>
                <w:b/>
                <w:color w:val="000000"/>
                <w:sz w:val="18"/>
                <w:szCs w:val="18"/>
              </w:rPr>
              <w:t>0.000</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b/>
                <w:color w:val="000000"/>
                <w:sz w:val="18"/>
                <w:szCs w:val="18"/>
              </w:rPr>
            </w:pPr>
            <w:r w:rsidRPr="00DA7E4C">
              <w:rPr>
                <w:rFonts w:eastAsia="Times New Roman" w:cs="Times New Roman"/>
                <w:b/>
                <w:color w:val="000000"/>
                <w:sz w:val="18"/>
                <w:szCs w:val="18"/>
              </w:rPr>
              <w:t>0.000</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b/>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b/>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b/>
                <w:color w:val="000000"/>
                <w:sz w:val="18"/>
                <w:szCs w:val="18"/>
              </w:rPr>
            </w:pPr>
          </w:p>
        </w:tc>
      </w:tr>
      <w:tr w:rsidR="000A22AE" w:rsidRPr="00DA7E4C" w:rsidTr="000A22AE">
        <w:trPr>
          <w:trHeight w:val="240"/>
        </w:trPr>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center"/>
              <w:rPr>
                <w:rFonts w:eastAsia="Times New Roman" w:cs="Times New Roman"/>
                <w:sz w:val="18"/>
                <w:szCs w:val="18"/>
              </w:rPr>
            </w:pPr>
            <w:r w:rsidRPr="00DA7E4C">
              <w:rPr>
                <w:rFonts w:eastAsia="Times New Roman" w:cs="Times New Roman"/>
                <w:sz w:val="18"/>
                <w:szCs w:val="18"/>
              </w:rPr>
              <w:t>5</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-929.881</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142.132</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0.875</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537.585</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0.873</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1.285</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19.761</w:t>
            </w:r>
          </w:p>
        </w:tc>
      </w:tr>
      <w:tr w:rsidR="000A22AE" w:rsidRPr="00DA7E4C" w:rsidTr="000A22AE">
        <w:trPr>
          <w:trHeight w:val="240"/>
        </w:trPr>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center"/>
              <w:rPr>
                <w:rFonts w:eastAsia="Times New Roman" w:cs="Times New Roman"/>
                <w:b/>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b/>
                <w:color w:val="000000"/>
                <w:sz w:val="18"/>
                <w:szCs w:val="18"/>
              </w:rPr>
            </w:pPr>
            <w:r w:rsidRPr="00DA7E4C">
              <w:rPr>
                <w:rFonts w:eastAsia="Times New Roman" w:cs="Times New Roman"/>
                <w:b/>
                <w:color w:val="000000"/>
                <w:sz w:val="18"/>
                <w:szCs w:val="18"/>
              </w:rPr>
              <w:t>0.756</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b/>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b/>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b/>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b/>
                <w:color w:val="000000"/>
                <w:sz w:val="18"/>
                <w:szCs w:val="18"/>
              </w:rPr>
            </w:pPr>
            <w:r w:rsidRPr="00DA7E4C">
              <w:rPr>
                <w:rFonts w:eastAsia="Times New Roman" w:cs="Times New Roman"/>
                <w:b/>
                <w:color w:val="000000"/>
                <w:sz w:val="18"/>
                <w:szCs w:val="18"/>
              </w:rPr>
              <w:t>0.000</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b/>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b/>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b/>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b/>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b/>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b/>
                <w:color w:val="000000"/>
                <w:sz w:val="18"/>
                <w:szCs w:val="18"/>
              </w:rPr>
            </w:pPr>
            <w:r w:rsidRPr="00DA7E4C">
              <w:rPr>
                <w:rFonts w:eastAsia="Times New Roman" w:cs="Times New Roman"/>
                <w:b/>
                <w:color w:val="000000"/>
                <w:sz w:val="18"/>
                <w:szCs w:val="18"/>
              </w:rPr>
              <w:t>0.000</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b/>
                <w:color w:val="000000"/>
                <w:sz w:val="18"/>
                <w:szCs w:val="18"/>
              </w:rPr>
            </w:pPr>
            <w:r w:rsidRPr="00DA7E4C">
              <w:rPr>
                <w:rFonts w:eastAsia="Times New Roman" w:cs="Times New Roman"/>
                <w:b/>
                <w:color w:val="000000"/>
                <w:sz w:val="18"/>
                <w:szCs w:val="18"/>
              </w:rPr>
              <w:t>0.000</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b/>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b/>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b/>
                <w:color w:val="000000"/>
                <w:sz w:val="18"/>
                <w:szCs w:val="18"/>
              </w:rPr>
            </w:pPr>
          </w:p>
        </w:tc>
      </w:tr>
      <w:tr w:rsidR="000A22AE" w:rsidRPr="00DA7E4C" w:rsidTr="000A22AE">
        <w:trPr>
          <w:trHeight w:val="240"/>
        </w:trPr>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center"/>
              <w:rPr>
                <w:rFonts w:eastAsia="Times New Roman" w:cs="Times New Roman"/>
                <w:sz w:val="18"/>
                <w:szCs w:val="18"/>
              </w:rPr>
            </w:pPr>
            <w:r w:rsidRPr="00DA7E4C">
              <w:rPr>
                <w:rFonts w:eastAsia="Times New Roman" w:cs="Times New Roman"/>
                <w:sz w:val="18"/>
                <w:szCs w:val="18"/>
              </w:rPr>
              <w:t>6</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-976.758</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78.085</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0.894</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412.294</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0.842</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1.053</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19.990</w:t>
            </w:r>
          </w:p>
        </w:tc>
      </w:tr>
      <w:tr w:rsidR="000A22AE" w:rsidRPr="00DA7E4C" w:rsidTr="000A22AE">
        <w:trPr>
          <w:trHeight w:val="240"/>
        </w:trPr>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center"/>
              <w:rPr>
                <w:rFonts w:eastAsia="Times New Roman" w:cs="Times New Roman"/>
                <w:b/>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b/>
                <w:color w:val="000000"/>
                <w:sz w:val="18"/>
                <w:szCs w:val="18"/>
              </w:rPr>
            </w:pPr>
            <w:r w:rsidRPr="00DA7E4C">
              <w:rPr>
                <w:rFonts w:eastAsia="Times New Roman" w:cs="Times New Roman"/>
                <w:b/>
                <w:color w:val="000000"/>
                <w:sz w:val="18"/>
                <w:szCs w:val="18"/>
              </w:rPr>
              <w:t>0.807</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b/>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b/>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b/>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b/>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b/>
                <w:color w:val="000000"/>
                <w:sz w:val="18"/>
                <w:szCs w:val="18"/>
              </w:rPr>
            </w:pPr>
            <w:r w:rsidRPr="00DA7E4C">
              <w:rPr>
                <w:rFonts w:eastAsia="Times New Roman" w:cs="Times New Roman"/>
                <w:b/>
                <w:color w:val="000000"/>
                <w:sz w:val="18"/>
                <w:szCs w:val="18"/>
              </w:rPr>
              <w:t>0.002</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b/>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b/>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b/>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b/>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b/>
                <w:color w:val="000000"/>
                <w:sz w:val="18"/>
                <w:szCs w:val="18"/>
              </w:rPr>
            </w:pPr>
            <w:r w:rsidRPr="00DA7E4C">
              <w:rPr>
                <w:rFonts w:eastAsia="Times New Roman" w:cs="Times New Roman"/>
                <w:b/>
                <w:color w:val="000000"/>
                <w:sz w:val="18"/>
                <w:szCs w:val="18"/>
              </w:rPr>
              <w:t>0.000</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b/>
                <w:color w:val="000000"/>
                <w:sz w:val="18"/>
                <w:szCs w:val="18"/>
              </w:rPr>
            </w:pPr>
            <w:r w:rsidRPr="00DA7E4C">
              <w:rPr>
                <w:rFonts w:eastAsia="Times New Roman" w:cs="Times New Roman"/>
                <w:b/>
                <w:color w:val="000000"/>
                <w:sz w:val="18"/>
                <w:szCs w:val="18"/>
              </w:rPr>
              <w:t>0.000</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b/>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b/>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b/>
                <w:color w:val="000000"/>
                <w:sz w:val="18"/>
                <w:szCs w:val="18"/>
              </w:rPr>
            </w:pPr>
          </w:p>
        </w:tc>
      </w:tr>
      <w:tr w:rsidR="000A22AE" w:rsidRPr="00DA7E4C" w:rsidTr="000A22AE">
        <w:trPr>
          <w:trHeight w:val="240"/>
        </w:trPr>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center"/>
              <w:rPr>
                <w:rFonts w:eastAsia="Times New Roman" w:cs="Times New Roman"/>
                <w:sz w:val="18"/>
                <w:szCs w:val="18"/>
              </w:rPr>
            </w:pPr>
            <w:r w:rsidRPr="00DA7E4C">
              <w:rPr>
                <w:rFonts w:eastAsia="Times New Roman" w:cs="Times New Roman"/>
                <w:sz w:val="18"/>
                <w:szCs w:val="18"/>
              </w:rPr>
              <w:t>7</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-1260.726</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32.169</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0.911</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378.147</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0.831</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0.878</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20.063</w:t>
            </w:r>
          </w:p>
        </w:tc>
      </w:tr>
      <w:tr w:rsidR="000A22AE" w:rsidRPr="00DA7E4C" w:rsidTr="000A22AE">
        <w:trPr>
          <w:trHeight w:val="240"/>
        </w:trPr>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center"/>
              <w:rPr>
                <w:rFonts w:eastAsia="Times New Roman" w:cs="Times New Roman"/>
                <w:b/>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b/>
                <w:color w:val="000000"/>
                <w:sz w:val="18"/>
                <w:szCs w:val="18"/>
              </w:rPr>
            </w:pPr>
            <w:r w:rsidRPr="00DA7E4C">
              <w:rPr>
                <w:rFonts w:eastAsia="Times New Roman" w:cs="Times New Roman"/>
                <w:b/>
                <w:color w:val="000000"/>
                <w:sz w:val="18"/>
                <w:szCs w:val="18"/>
              </w:rPr>
              <w:t>0.798</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b/>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b/>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b/>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b/>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b/>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b/>
                <w:color w:val="000000"/>
                <w:sz w:val="18"/>
                <w:szCs w:val="18"/>
              </w:rPr>
            </w:pPr>
            <w:r w:rsidRPr="00DA7E4C">
              <w:rPr>
                <w:rFonts w:eastAsia="Times New Roman" w:cs="Times New Roman"/>
                <w:b/>
                <w:color w:val="000000"/>
                <w:sz w:val="18"/>
                <w:szCs w:val="18"/>
              </w:rPr>
              <w:t>0.226</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b/>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b/>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b/>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b/>
                <w:color w:val="000000"/>
                <w:sz w:val="18"/>
                <w:szCs w:val="18"/>
              </w:rPr>
            </w:pPr>
            <w:r w:rsidRPr="00DA7E4C">
              <w:rPr>
                <w:rFonts w:eastAsia="Times New Roman" w:cs="Times New Roman"/>
                <w:b/>
                <w:color w:val="000000"/>
                <w:sz w:val="18"/>
                <w:szCs w:val="18"/>
              </w:rPr>
              <w:t>0.000</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b/>
                <w:color w:val="000000"/>
                <w:sz w:val="18"/>
                <w:szCs w:val="18"/>
              </w:rPr>
            </w:pPr>
            <w:r w:rsidRPr="00DA7E4C">
              <w:rPr>
                <w:rFonts w:eastAsia="Times New Roman" w:cs="Times New Roman"/>
                <w:b/>
                <w:color w:val="000000"/>
                <w:sz w:val="18"/>
                <w:szCs w:val="18"/>
              </w:rPr>
              <w:t>0.000</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b/>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b/>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b/>
                <w:color w:val="000000"/>
                <w:sz w:val="18"/>
                <w:szCs w:val="18"/>
              </w:rPr>
            </w:pPr>
          </w:p>
        </w:tc>
      </w:tr>
      <w:tr w:rsidR="000A22AE" w:rsidRPr="00DA7E4C" w:rsidTr="000A22AE">
        <w:trPr>
          <w:trHeight w:val="240"/>
        </w:trPr>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center"/>
              <w:rPr>
                <w:rFonts w:eastAsia="Times New Roman" w:cs="Times New Roman"/>
                <w:sz w:val="18"/>
                <w:szCs w:val="18"/>
              </w:rPr>
            </w:pPr>
            <w:r w:rsidRPr="00DA7E4C">
              <w:rPr>
                <w:rFonts w:eastAsia="Times New Roman" w:cs="Times New Roman"/>
                <w:sz w:val="18"/>
                <w:szCs w:val="18"/>
              </w:rPr>
              <w:t>8</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-1787.721</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-10.310</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0.922</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370.482</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0.829</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0.851</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20.082</w:t>
            </w:r>
          </w:p>
        </w:tc>
      </w:tr>
      <w:tr w:rsidR="000A22AE" w:rsidRPr="00DA7E4C" w:rsidTr="000A22AE">
        <w:trPr>
          <w:trHeight w:val="240"/>
        </w:trPr>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center"/>
              <w:rPr>
                <w:rFonts w:eastAsia="Times New Roman" w:cs="Times New Roman"/>
                <w:b/>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b/>
                <w:color w:val="000000"/>
                <w:sz w:val="18"/>
                <w:szCs w:val="18"/>
              </w:rPr>
            </w:pPr>
            <w:r w:rsidRPr="00DA7E4C">
              <w:rPr>
                <w:rFonts w:eastAsia="Times New Roman" w:cs="Times New Roman"/>
                <w:b/>
                <w:color w:val="000000"/>
                <w:sz w:val="18"/>
                <w:szCs w:val="18"/>
              </w:rPr>
              <w:t>0.757</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b/>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b/>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b/>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b/>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b/>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b/>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b/>
                <w:color w:val="000000"/>
                <w:sz w:val="18"/>
                <w:szCs w:val="18"/>
              </w:rPr>
            </w:pPr>
            <w:r w:rsidRPr="00DA7E4C">
              <w:rPr>
                <w:rFonts w:eastAsia="Times New Roman" w:cs="Times New Roman"/>
                <w:b/>
                <w:color w:val="000000"/>
                <w:sz w:val="18"/>
                <w:szCs w:val="18"/>
              </w:rPr>
              <w:t>0.695</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b/>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b/>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b/>
                <w:color w:val="000000"/>
                <w:sz w:val="18"/>
                <w:szCs w:val="18"/>
              </w:rPr>
            </w:pPr>
            <w:r w:rsidRPr="00DA7E4C">
              <w:rPr>
                <w:rFonts w:eastAsia="Times New Roman" w:cs="Times New Roman"/>
                <w:b/>
                <w:color w:val="000000"/>
                <w:sz w:val="18"/>
                <w:szCs w:val="18"/>
              </w:rPr>
              <w:t>0.000</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b/>
                <w:color w:val="000000"/>
                <w:sz w:val="18"/>
                <w:szCs w:val="18"/>
              </w:rPr>
            </w:pPr>
            <w:r w:rsidRPr="00DA7E4C">
              <w:rPr>
                <w:rFonts w:eastAsia="Times New Roman" w:cs="Times New Roman"/>
                <w:b/>
                <w:color w:val="000000"/>
                <w:sz w:val="18"/>
                <w:szCs w:val="18"/>
              </w:rPr>
              <w:t>0.000</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b/>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b/>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b/>
                <w:color w:val="000000"/>
                <w:sz w:val="18"/>
                <w:szCs w:val="18"/>
              </w:rPr>
            </w:pPr>
          </w:p>
        </w:tc>
      </w:tr>
      <w:tr w:rsidR="000A22AE" w:rsidRPr="00DA7E4C" w:rsidTr="000A22AE">
        <w:trPr>
          <w:trHeight w:val="240"/>
        </w:trPr>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center"/>
              <w:rPr>
                <w:rFonts w:eastAsia="Times New Roman" w:cs="Times New Roman"/>
                <w:sz w:val="18"/>
                <w:szCs w:val="18"/>
              </w:rPr>
            </w:pPr>
            <w:r w:rsidRPr="00DA7E4C">
              <w:rPr>
                <w:rFonts w:eastAsia="Times New Roman" w:cs="Times New Roman"/>
                <w:sz w:val="18"/>
                <w:szCs w:val="18"/>
              </w:rPr>
              <w:t>9</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-1931.789</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-31.619</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0.924</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373.041</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0.831</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0.895</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20.077</w:t>
            </w:r>
          </w:p>
        </w:tc>
      </w:tr>
      <w:tr w:rsidR="000A22AE" w:rsidRPr="00DA7E4C" w:rsidTr="000A22AE">
        <w:trPr>
          <w:trHeight w:val="240"/>
        </w:trPr>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center"/>
              <w:rPr>
                <w:rFonts w:eastAsia="Times New Roman" w:cs="Times New Roman"/>
                <w:b/>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b/>
                <w:color w:val="000000"/>
                <w:sz w:val="18"/>
                <w:szCs w:val="18"/>
              </w:rPr>
            </w:pPr>
            <w:r w:rsidRPr="00DA7E4C">
              <w:rPr>
                <w:rFonts w:eastAsia="Times New Roman" w:cs="Times New Roman"/>
                <w:b/>
                <w:color w:val="000000"/>
                <w:sz w:val="18"/>
                <w:szCs w:val="18"/>
              </w:rPr>
              <w:t>0.745</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b/>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b/>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b/>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b/>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b/>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b/>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b/>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b/>
                <w:color w:val="000000"/>
                <w:sz w:val="18"/>
                <w:szCs w:val="18"/>
              </w:rPr>
            </w:pPr>
            <w:r w:rsidRPr="00DA7E4C">
              <w:rPr>
                <w:rFonts w:eastAsia="Times New Roman" w:cs="Times New Roman"/>
                <w:b/>
                <w:color w:val="000000"/>
                <w:sz w:val="18"/>
                <w:szCs w:val="18"/>
              </w:rPr>
              <w:t>0.213</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b/>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b/>
                <w:color w:val="000000"/>
                <w:sz w:val="18"/>
                <w:szCs w:val="18"/>
              </w:rPr>
            </w:pPr>
            <w:r w:rsidRPr="00DA7E4C">
              <w:rPr>
                <w:rFonts w:eastAsia="Times New Roman" w:cs="Times New Roman"/>
                <w:b/>
                <w:color w:val="000000"/>
                <w:sz w:val="18"/>
                <w:szCs w:val="18"/>
              </w:rPr>
              <w:t>0.000</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b/>
                <w:color w:val="000000"/>
                <w:sz w:val="18"/>
                <w:szCs w:val="18"/>
              </w:rPr>
            </w:pPr>
            <w:r w:rsidRPr="00DA7E4C">
              <w:rPr>
                <w:rFonts w:eastAsia="Times New Roman" w:cs="Times New Roman"/>
                <w:b/>
                <w:color w:val="000000"/>
                <w:sz w:val="18"/>
                <w:szCs w:val="18"/>
              </w:rPr>
              <w:t>0.000</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b/>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b/>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b/>
                <w:color w:val="000000"/>
                <w:sz w:val="18"/>
                <w:szCs w:val="18"/>
              </w:rPr>
            </w:pPr>
          </w:p>
        </w:tc>
      </w:tr>
      <w:tr w:rsidR="000A22AE" w:rsidRPr="00DA7E4C" w:rsidTr="000A22AE">
        <w:trPr>
          <w:trHeight w:val="240"/>
        </w:trPr>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center"/>
              <w:rPr>
                <w:rFonts w:eastAsia="Times New Roman" w:cs="Times New Roman"/>
                <w:sz w:val="18"/>
                <w:szCs w:val="18"/>
              </w:rPr>
            </w:pPr>
            <w:r w:rsidRPr="00DA7E4C">
              <w:rPr>
                <w:rFonts w:eastAsia="Times New Roman" w:cs="Times New Roman"/>
                <w:sz w:val="18"/>
                <w:szCs w:val="18"/>
              </w:rPr>
              <w:t>10</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-1866.651</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-68.913</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0.924</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391.634</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0.838</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0.900</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20.038</w:t>
            </w:r>
          </w:p>
        </w:tc>
      </w:tr>
      <w:tr w:rsidR="000A22AE" w:rsidRPr="00DA7E4C" w:rsidTr="000A22AE">
        <w:trPr>
          <w:trHeight w:val="240"/>
        </w:trPr>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center"/>
              <w:rPr>
                <w:rFonts w:eastAsia="Times New Roman" w:cs="Times New Roman"/>
                <w:b/>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b/>
                <w:color w:val="000000"/>
                <w:sz w:val="18"/>
                <w:szCs w:val="18"/>
              </w:rPr>
            </w:pPr>
            <w:r w:rsidRPr="00DA7E4C">
              <w:rPr>
                <w:rFonts w:eastAsia="Times New Roman" w:cs="Times New Roman"/>
                <w:b/>
                <w:color w:val="000000"/>
                <w:sz w:val="18"/>
                <w:szCs w:val="18"/>
              </w:rPr>
              <w:t>0.750</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b/>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b/>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b/>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b/>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b/>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b/>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b/>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b/>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b/>
                <w:color w:val="000000"/>
                <w:sz w:val="18"/>
                <w:szCs w:val="18"/>
              </w:rPr>
            </w:pPr>
            <w:r w:rsidRPr="00DA7E4C">
              <w:rPr>
                <w:rFonts w:eastAsia="Times New Roman" w:cs="Times New Roman"/>
                <w:b/>
                <w:color w:val="000000"/>
                <w:sz w:val="18"/>
                <w:szCs w:val="18"/>
              </w:rPr>
              <w:t>0.005</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b/>
                <w:color w:val="000000"/>
                <w:sz w:val="18"/>
                <w:szCs w:val="18"/>
              </w:rPr>
            </w:pPr>
            <w:r w:rsidRPr="00DA7E4C">
              <w:rPr>
                <w:rFonts w:eastAsia="Times New Roman" w:cs="Times New Roman"/>
                <w:b/>
                <w:color w:val="000000"/>
                <w:sz w:val="18"/>
                <w:szCs w:val="18"/>
              </w:rPr>
              <w:t>0.000</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b/>
                <w:color w:val="000000"/>
                <w:sz w:val="18"/>
                <w:szCs w:val="18"/>
              </w:rPr>
            </w:pPr>
            <w:r w:rsidRPr="00DA7E4C">
              <w:rPr>
                <w:rFonts w:eastAsia="Times New Roman" w:cs="Times New Roman"/>
                <w:b/>
                <w:color w:val="000000"/>
                <w:sz w:val="18"/>
                <w:szCs w:val="18"/>
              </w:rPr>
              <w:t>0.000</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b/>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b/>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b/>
                <w:color w:val="000000"/>
                <w:sz w:val="18"/>
                <w:szCs w:val="18"/>
              </w:rPr>
            </w:pPr>
          </w:p>
        </w:tc>
      </w:tr>
    </w:tbl>
    <w:p w:rsidR="000A22AE" w:rsidRPr="00762161" w:rsidRDefault="000A22AE" w:rsidP="000A22AE">
      <w:pPr>
        <w:rPr>
          <w:rFonts w:eastAsia="PMingLiU"/>
          <w:sz w:val="16"/>
          <w:szCs w:val="16"/>
          <w:lang w:eastAsia="zh-TW"/>
        </w:rPr>
      </w:pPr>
    </w:p>
    <w:p w:rsidR="000A22AE" w:rsidRPr="00762161" w:rsidRDefault="000A22AE" w:rsidP="000A22AE">
      <w:pPr>
        <w:spacing w:before="0" w:after="0" w:line="240" w:lineRule="auto"/>
        <w:jc w:val="left"/>
      </w:pPr>
      <w:r w:rsidRPr="00762161">
        <w:br w:type="page"/>
      </w:r>
    </w:p>
    <w:p w:rsidR="000A22AE" w:rsidRPr="00762161" w:rsidRDefault="000A22AE" w:rsidP="000A22AE">
      <w:pPr>
        <w:pStyle w:val="Heading2"/>
      </w:pPr>
      <w:bookmarkStart w:id="360" w:name="_Toc286616338"/>
      <w:r w:rsidRPr="00762161">
        <w:t xml:space="preserve">Table 4: The Relationship between Industrial Production and </w:t>
      </w:r>
      <w:r w:rsidR="00627488">
        <w:t>Real Stock Price</w:t>
      </w:r>
      <w:r w:rsidRPr="00762161">
        <w:t>s (Quarterly 1969-1988)</w:t>
      </w:r>
      <w:bookmarkEnd w:id="360"/>
    </w:p>
    <w:tbl>
      <w:tblPr>
        <w:tblW w:w="0" w:type="auto"/>
        <w:tblInd w:w="93" w:type="dxa"/>
        <w:tblLook w:val="04A0"/>
      </w:tblPr>
      <w:tblGrid>
        <w:gridCol w:w="756"/>
        <w:gridCol w:w="996"/>
        <w:gridCol w:w="771"/>
        <w:gridCol w:w="771"/>
        <w:gridCol w:w="771"/>
        <w:gridCol w:w="711"/>
        <w:gridCol w:w="711"/>
        <w:gridCol w:w="711"/>
        <w:gridCol w:w="711"/>
        <w:gridCol w:w="711"/>
        <w:gridCol w:w="711"/>
        <w:gridCol w:w="621"/>
        <w:gridCol w:w="801"/>
        <w:gridCol w:w="866"/>
        <w:gridCol w:w="621"/>
        <w:gridCol w:w="736"/>
      </w:tblGrid>
      <w:tr w:rsidR="000A22AE" w:rsidRPr="00DA7E4C" w:rsidTr="000A22AE">
        <w:trPr>
          <w:trHeight w:val="300"/>
        </w:trPr>
        <w:tc>
          <w:tcPr>
            <w:tcW w:w="0" w:type="auto"/>
            <w:tcBorders>
              <w:top w:val="single" w:sz="8" w:space="0" w:color="auto"/>
              <w:left w:val="single" w:sz="8" w:space="0" w:color="auto"/>
              <w:bottom w:val="single" w:sz="8" w:space="0" w:color="auto"/>
              <w:right w:val="nil"/>
            </w:tcBorders>
            <w:shd w:val="clear" w:color="auto" w:fill="auto"/>
            <w:noWrap/>
            <w:vAlign w:val="bottom"/>
            <w:hideMark/>
          </w:tcPr>
          <w:p w:rsidR="000A22AE" w:rsidRPr="00DA7E4C" w:rsidRDefault="000A22AE" w:rsidP="000A22AE">
            <w:pPr>
              <w:spacing w:before="0" w:after="0" w:line="240" w:lineRule="auto"/>
              <w:jc w:val="center"/>
              <w:rPr>
                <w:rFonts w:eastAsia="Times New Roman" w:cs="Times New Roman"/>
                <w:sz w:val="18"/>
                <w:szCs w:val="18"/>
              </w:rPr>
            </w:pPr>
            <w:r w:rsidRPr="00DA7E4C">
              <w:rPr>
                <w:rFonts w:eastAsia="Times New Roman" w:cs="Times New Roman"/>
                <w:sz w:val="18"/>
                <w:szCs w:val="18"/>
              </w:rPr>
              <w:t>Sample</w:t>
            </w:r>
          </w:p>
        </w:tc>
        <w:tc>
          <w:tcPr>
            <w:tcW w:w="0" w:type="auto"/>
            <w:tcBorders>
              <w:top w:val="single" w:sz="8" w:space="0" w:color="auto"/>
              <w:left w:val="nil"/>
              <w:bottom w:val="single" w:sz="8" w:space="0" w:color="auto"/>
              <w:right w:val="single" w:sz="8" w:space="0" w:color="auto"/>
            </w:tcBorders>
            <w:shd w:val="clear" w:color="auto" w:fill="auto"/>
            <w:noWrap/>
            <w:vAlign w:val="bottom"/>
            <w:hideMark/>
          </w:tcPr>
          <w:p w:rsidR="000A22AE" w:rsidRPr="00DA7E4C" w:rsidRDefault="000A22AE" w:rsidP="000A22AE">
            <w:pPr>
              <w:spacing w:before="0" w:after="0" w:line="240" w:lineRule="auto"/>
              <w:jc w:val="center"/>
              <w:rPr>
                <w:rFonts w:eastAsia="Times New Roman" w:cs="Times New Roman"/>
                <w:sz w:val="18"/>
                <w:szCs w:val="18"/>
              </w:rPr>
            </w:pPr>
            <w:r w:rsidRPr="00DA7E4C">
              <w:rPr>
                <w:rFonts w:eastAsia="Times New Roman" w:cs="Times New Roman"/>
                <w:sz w:val="18"/>
                <w:szCs w:val="18"/>
              </w:rPr>
              <w:t>1969-1988</w:t>
            </w:r>
          </w:p>
        </w:tc>
        <w:tc>
          <w:tcPr>
            <w:tcW w:w="0" w:type="auto"/>
            <w:gridSpan w:val="9"/>
            <w:tcBorders>
              <w:top w:val="single" w:sz="8" w:space="0" w:color="auto"/>
              <w:left w:val="nil"/>
              <w:bottom w:val="nil"/>
              <w:right w:val="single" w:sz="8" w:space="0" w:color="000000"/>
            </w:tcBorders>
            <w:shd w:val="clear" w:color="auto" w:fill="auto"/>
            <w:vAlign w:val="bottom"/>
            <w:hideMark/>
          </w:tcPr>
          <w:p w:rsidR="000A22AE" w:rsidRPr="00DA7E4C" w:rsidRDefault="000A22AE" w:rsidP="000A22AE">
            <w:pPr>
              <w:spacing w:before="0" w:after="0" w:line="240" w:lineRule="auto"/>
              <w:jc w:val="center"/>
              <w:rPr>
                <w:rFonts w:eastAsia="Times New Roman" w:cs="Times New Roman"/>
                <w:color w:val="000000"/>
                <w:sz w:val="18"/>
                <w:szCs w:val="18"/>
              </w:rPr>
            </w:pPr>
            <w:r w:rsidRPr="00DA7E4C">
              <w:rPr>
                <w:rFonts w:eastAsia="Times New Roman" w:cs="Times New Roman"/>
                <w:color w:val="000000"/>
                <w:sz w:val="18"/>
                <w:szCs w:val="18"/>
              </w:rPr>
              <w:t xml:space="preserve">Real Stock </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color w:val="000000"/>
                <w:sz w:val="18"/>
                <w:szCs w:val="18"/>
              </w:rPr>
            </w:pPr>
          </w:p>
        </w:tc>
        <w:tc>
          <w:tcPr>
            <w:tcW w:w="0" w:type="auto"/>
            <w:tcBorders>
              <w:top w:val="nil"/>
              <w:left w:val="nil"/>
              <w:bottom w:val="nil"/>
              <w:right w:val="single" w:sz="4" w:space="0" w:color="auto"/>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color w:val="000000"/>
                <w:sz w:val="18"/>
                <w:szCs w:val="18"/>
              </w:rPr>
            </w:pPr>
          </w:p>
        </w:tc>
        <w:tc>
          <w:tcPr>
            <w:tcW w:w="0" w:type="auto"/>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A22AE" w:rsidRPr="00DA7E4C" w:rsidRDefault="000A22AE" w:rsidP="000A22AE">
            <w:pPr>
              <w:spacing w:before="0" w:after="0" w:line="240" w:lineRule="auto"/>
              <w:jc w:val="center"/>
              <w:rPr>
                <w:rFonts w:eastAsia="Times New Roman" w:cs="Times New Roman"/>
                <w:sz w:val="18"/>
                <w:szCs w:val="18"/>
              </w:rPr>
            </w:pPr>
            <w:r w:rsidRPr="00DA7E4C">
              <w:rPr>
                <w:rFonts w:eastAsia="Times New Roman" w:cs="Times New Roman"/>
                <w:sz w:val="18"/>
                <w:szCs w:val="18"/>
              </w:rPr>
              <w:t>Adjusted</w:t>
            </w:r>
          </w:p>
          <w:p w:rsidR="000A22AE" w:rsidRPr="00DA7E4C" w:rsidRDefault="000A22AE" w:rsidP="000A22AE">
            <w:pPr>
              <w:spacing w:before="0" w:after="0" w:line="240" w:lineRule="auto"/>
              <w:jc w:val="center"/>
              <w:rPr>
                <w:rFonts w:eastAsia="Times New Roman" w:cs="Times New Roman"/>
                <w:color w:val="000000"/>
                <w:sz w:val="18"/>
                <w:szCs w:val="18"/>
              </w:rPr>
            </w:pPr>
            <w:r w:rsidRPr="00DA7E4C">
              <w:rPr>
                <w:rFonts w:eastAsia="Times New Roman" w:cs="Times New Roman"/>
                <w:sz w:val="18"/>
                <w:szCs w:val="18"/>
              </w:rPr>
              <w:t>R-square</w:t>
            </w:r>
          </w:p>
        </w:tc>
        <w:tc>
          <w:tcPr>
            <w:tcW w:w="0" w:type="auto"/>
            <w:tcBorders>
              <w:top w:val="nil"/>
              <w:left w:val="single" w:sz="4" w:space="0" w:color="auto"/>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color w:val="000000"/>
                <w:sz w:val="18"/>
                <w:szCs w:val="18"/>
              </w:rPr>
            </w:pPr>
          </w:p>
        </w:tc>
      </w:tr>
      <w:tr w:rsidR="000A22AE" w:rsidRPr="00DA7E4C" w:rsidTr="000A22AE">
        <w:trPr>
          <w:trHeight w:val="255"/>
        </w:trPr>
        <w:tc>
          <w:tcPr>
            <w:tcW w:w="0" w:type="auto"/>
            <w:tcBorders>
              <w:top w:val="nil"/>
              <w:left w:val="single" w:sz="8" w:space="0" w:color="auto"/>
              <w:bottom w:val="single" w:sz="8" w:space="0" w:color="auto"/>
              <w:right w:val="single" w:sz="8" w:space="0" w:color="auto"/>
            </w:tcBorders>
            <w:shd w:val="clear" w:color="auto" w:fill="auto"/>
            <w:noWrap/>
            <w:vAlign w:val="center"/>
            <w:hideMark/>
          </w:tcPr>
          <w:p w:rsidR="000A22AE" w:rsidRPr="00DA7E4C" w:rsidRDefault="000A22AE" w:rsidP="000A22AE">
            <w:pPr>
              <w:spacing w:before="0" w:after="0" w:line="240" w:lineRule="auto"/>
              <w:jc w:val="center"/>
              <w:rPr>
                <w:rFonts w:eastAsia="Times New Roman" w:cs="Times New Roman"/>
                <w:sz w:val="18"/>
                <w:szCs w:val="18"/>
              </w:rPr>
            </w:pPr>
            <w:r w:rsidRPr="00DA7E4C">
              <w:rPr>
                <w:rFonts w:eastAsia="Times New Roman" w:cs="Times New Roman"/>
                <w:sz w:val="18"/>
                <w:szCs w:val="18"/>
              </w:rPr>
              <w:t>No</w:t>
            </w:r>
          </w:p>
        </w:tc>
        <w:tc>
          <w:tcPr>
            <w:tcW w:w="0" w:type="auto"/>
            <w:tcBorders>
              <w:top w:val="nil"/>
              <w:left w:val="nil"/>
              <w:bottom w:val="single" w:sz="8" w:space="0" w:color="auto"/>
              <w:right w:val="single" w:sz="8" w:space="0" w:color="auto"/>
            </w:tcBorders>
            <w:shd w:val="clear" w:color="auto" w:fill="auto"/>
            <w:noWrap/>
            <w:vAlign w:val="center"/>
            <w:hideMark/>
          </w:tcPr>
          <w:p w:rsidR="000A22AE" w:rsidRPr="00DA7E4C" w:rsidRDefault="000A22AE" w:rsidP="000A22AE">
            <w:pPr>
              <w:spacing w:before="0" w:after="0" w:line="240" w:lineRule="auto"/>
              <w:jc w:val="center"/>
              <w:rPr>
                <w:rFonts w:eastAsia="Times New Roman" w:cs="Times New Roman"/>
                <w:sz w:val="18"/>
                <w:szCs w:val="18"/>
              </w:rPr>
            </w:pPr>
            <w:r w:rsidRPr="00DA7E4C">
              <w:rPr>
                <w:rFonts w:eastAsia="Times New Roman" w:cs="Times New Roman"/>
                <w:sz w:val="18"/>
                <w:szCs w:val="18"/>
              </w:rPr>
              <w:t>Intercept</w:t>
            </w:r>
          </w:p>
        </w:tc>
        <w:tc>
          <w:tcPr>
            <w:tcW w:w="0" w:type="auto"/>
            <w:tcBorders>
              <w:top w:val="nil"/>
              <w:left w:val="nil"/>
              <w:bottom w:val="single" w:sz="8" w:space="0" w:color="auto"/>
              <w:right w:val="single" w:sz="8" w:space="0" w:color="auto"/>
            </w:tcBorders>
            <w:shd w:val="clear" w:color="auto" w:fill="auto"/>
            <w:vAlign w:val="center"/>
            <w:hideMark/>
          </w:tcPr>
          <w:p w:rsidR="000A22AE" w:rsidRPr="00DA7E4C" w:rsidRDefault="000A22AE" w:rsidP="000A22AE">
            <w:pPr>
              <w:spacing w:before="0" w:after="0" w:line="240" w:lineRule="auto"/>
              <w:jc w:val="center"/>
              <w:rPr>
                <w:rFonts w:eastAsia="Times New Roman" w:cs="Times New Roman"/>
                <w:sz w:val="18"/>
                <w:szCs w:val="18"/>
              </w:rPr>
            </w:pPr>
            <w:r w:rsidRPr="00DA7E4C">
              <w:rPr>
                <w:rFonts w:eastAsia="Times New Roman" w:cs="Times New Roman"/>
                <w:sz w:val="18"/>
                <w:szCs w:val="18"/>
              </w:rPr>
              <w:t>t</w:t>
            </w:r>
          </w:p>
        </w:tc>
        <w:tc>
          <w:tcPr>
            <w:tcW w:w="0" w:type="auto"/>
            <w:tcBorders>
              <w:top w:val="nil"/>
              <w:left w:val="nil"/>
              <w:bottom w:val="single" w:sz="8" w:space="0" w:color="auto"/>
              <w:right w:val="single" w:sz="8" w:space="0" w:color="auto"/>
            </w:tcBorders>
            <w:shd w:val="clear" w:color="auto" w:fill="auto"/>
            <w:vAlign w:val="center"/>
            <w:hideMark/>
          </w:tcPr>
          <w:p w:rsidR="000A22AE" w:rsidRPr="00DA7E4C" w:rsidRDefault="000A22AE" w:rsidP="000A22AE">
            <w:pPr>
              <w:spacing w:before="0" w:after="0" w:line="240" w:lineRule="auto"/>
              <w:jc w:val="center"/>
              <w:rPr>
                <w:rFonts w:eastAsia="Times New Roman" w:cs="Times New Roman"/>
                <w:sz w:val="18"/>
                <w:szCs w:val="18"/>
              </w:rPr>
            </w:pPr>
            <w:r w:rsidRPr="00DA7E4C">
              <w:rPr>
                <w:rFonts w:eastAsia="Times New Roman" w:cs="Times New Roman"/>
                <w:sz w:val="18"/>
                <w:szCs w:val="18"/>
              </w:rPr>
              <w:t>t-1</w:t>
            </w:r>
          </w:p>
        </w:tc>
        <w:tc>
          <w:tcPr>
            <w:tcW w:w="0" w:type="auto"/>
            <w:tcBorders>
              <w:top w:val="nil"/>
              <w:left w:val="nil"/>
              <w:bottom w:val="single" w:sz="8" w:space="0" w:color="auto"/>
              <w:right w:val="single" w:sz="8" w:space="0" w:color="auto"/>
            </w:tcBorders>
            <w:shd w:val="clear" w:color="auto" w:fill="auto"/>
            <w:vAlign w:val="center"/>
            <w:hideMark/>
          </w:tcPr>
          <w:p w:rsidR="000A22AE" w:rsidRPr="00DA7E4C" w:rsidRDefault="000A22AE" w:rsidP="000A22AE">
            <w:pPr>
              <w:spacing w:before="0" w:after="0" w:line="240" w:lineRule="auto"/>
              <w:jc w:val="center"/>
              <w:rPr>
                <w:rFonts w:eastAsia="Times New Roman" w:cs="Times New Roman"/>
                <w:sz w:val="18"/>
                <w:szCs w:val="18"/>
              </w:rPr>
            </w:pPr>
            <w:r w:rsidRPr="00DA7E4C">
              <w:rPr>
                <w:rFonts w:eastAsia="Times New Roman" w:cs="Times New Roman"/>
                <w:sz w:val="18"/>
                <w:szCs w:val="18"/>
              </w:rPr>
              <w:t>t-2</w:t>
            </w:r>
          </w:p>
        </w:tc>
        <w:tc>
          <w:tcPr>
            <w:tcW w:w="0" w:type="auto"/>
            <w:tcBorders>
              <w:top w:val="nil"/>
              <w:left w:val="nil"/>
              <w:bottom w:val="single" w:sz="8" w:space="0" w:color="auto"/>
              <w:right w:val="single" w:sz="8" w:space="0" w:color="auto"/>
            </w:tcBorders>
            <w:shd w:val="clear" w:color="auto" w:fill="auto"/>
            <w:vAlign w:val="center"/>
            <w:hideMark/>
          </w:tcPr>
          <w:p w:rsidR="000A22AE" w:rsidRPr="00DA7E4C" w:rsidRDefault="000A22AE" w:rsidP="000A22AE">
            <w:pPr>
              <w:spacing w:before="0" w:after="0" w:line="240" w:lineRule="auto"/>
              <w:jc w:val="center"/>
              <w:rPr>
                <w:rFonts w:eastAsia="Times New Roman" w:cs="Times New Roman"/>
                <w:sz w:val="18"/>
                <w:szCs w:val="18"/>
              </w:rPr>
            </w:pPr>
            <w:r w:rsidRPr="00DA7E4C">
              <w:rPr>
                <w:rFonts w:eastAsia="Times New Roman" w:cs="Times New Roman"/>
                <w:sz w:val="18"/>
                <w:szCs w:val="18"/>
              </w:rPr>
              <w:t>t-3</w:t>
            </w:r>
          </w:p>
        </w:tc>
        <w:tc>
          <w:tcPr>
            <w:tcW w:w="0" w:type="auto"/>
            <w:tcBorders>
              <w:top w:val="nil"/>
              <w:left w:val="nil"/>
              <w:bottom w:val="single" w:sz="8" w:space="0" w:color="auto"/>
              <w:right w:val="single" w:sz="8" w:space="0" w:color="auto"/>
            </w:tcBorders>
            <w:shd w:val="clear" w:color="auto" w:fill="auto"/>
            <w:vAlign w:val="center"/>
            <w:hideMark/>
          </w:tcPr>
          <w:p w:rsidR="000A22AE" w:rsidRPr="00DA7E4C" w:rsidRDefault="000A22AE" w:rsidP="000A22AE">
            <w:pPr>
              <w:spacing w:before="0" w:after="0" w:line="240" w:lineRule="auto"/>
              <w:jc w:val="center"/>
              <w:rPr>
                <w:rFonts w:eastAsia="Times New Roman" w:cs="Times New Roman"/>
                <w:sz w:val="18"/>
                <w:szCs w:val="18"/>
              </w:rPr>
            </w:pPr>
            <w:r w:rsidRPr="00DA7E4C">
              <w:rPr>
                <w:rFonts w:eastAsia="Times New Roman" w:cs="Times New Roman"/>
                <w:sz w:val="18"/>
                <w:szCs w:val="18"/>
              </w:rPr>
              <w:t>t-4</w:t>
            </w:r>
          </w:p>
        </w:tc>
        <w:tc>
          <w:tcPr>
            <w:tcW w:w="0" w:type="auto"/>
            <w:tcBorders>
              <w:top w:val="nil"/>
              <w:left w:val="nil"/>
              <w:bottom w:val="single" w:sz="8" w:space="0" w:color="auto"/>
              <w:right w:val="single" w:sz="8" w:space="0" w:color="auto"/>
            </w:tcBorders>
            <w:shd w:val="clear" w:color="auto" w:fill="auto"/>
            <w:vAlign w:val="center"/>
            <w:hideMark/>
          </w:tcPr>
          <w:p w:rsidR="000A22AE" w:rsidRPr="00DA7E4C" w:rsidRDefault="000A22AE" w:rsidP="000A22AE">
            <w:pPr>
              <w:spacing w:before="0" w:after="0" w:line="240" w:lineRule="auto"/>
              <w:jc w:val="center"/>
              <w:rPr>
                <w:rFonts w:eastAsia="Times New Roman" w:cs="Times New Roman"/>
                <w:sz w:val="18"/>
                <w:szCs w:val="18"/>
              </w:rPr>
            </w:pPr>
            <w:r w:rsidRPr="00DA7E4C">
              <w:rPr>
                <w:rFonts w:eastAsia="Times New Roman" w:cs="Times New Roman"/>
                <w:sz w:val="18"/>
                <w:szCs w:val="18"/>
              </w:rPr>
              <w:t>t-5</w:t>
            </w:r>
          </w:p>
        </w:tc>
        <w:tc>
          <w:tcPr>
            <w:tcW w:w="0" w:type="auto"/>
            <w:tcBorders>
              <w:top w:val="nil"/>
              <w:left w:val="nil"/>
              <w:bottom w:val="single" w:sz="8" w:space="0" w:color="auto"/>
              <w:right w:val="single" w:sz="8" w:space="0" w:color="auto"/>
            </w:tcBorders>
            <w:shd w:val="clear" w:color="auto" w:fill="auto"/>
            <w:vAlign w:val="center"/>
            <w:hideMark/>
          </w:tcPr>
          <w:p w:rsidR="000A22AE" w:rsidRPr="00DA7E4C" w:rsidRDefault="000A22AE" w:rsidP="000A22AE">
            <w:pPr>
              <w:spacing w:before="0" w:after="0" w:line="240" w:lineRule="auto"/>
              <w:jc w:val="center"/>
              <w:rPr>
                <w:rFonts w:eastAsia="Times New Roman" w:cs="Times New Roman"/>
                <w:sz w:val="18"/>
                <w:szCs w:val="18"/>
              </w:rPr>
            </w:pPr>
            <w:r w:rsidRPr="00DA7E4C">
              <w:rPr>
                <w:rFonts w:eastAsia="Times New Roman" w:cs="Times New Roman"/>
                <w:sz w:val="18"/>
                <w:szCs w:val="18"/>
              </w:rPr>
              <w:t>t-6</w:t>
            </w:r>
          </w:p>
        </w:tc>
        <w:tc>
          <w:tcPr>
            <w:tcW w:w="0" w:type="auto"/>
            <w:tcBorders>
              <w:top w:val="nil"/>
              <w:left w:val="nil"/>
              <w:bottom w:val="single" w:sz="8" w:space="0" w:color="auto"/>
              <w:right w:val="single" w:sz="8" w:space="0" w:color="auto"/>
            </w:tcBorders>
            <w:shd w:val="clear" w:color="auto" w:fill="auto"/>
            <w:vAlign w:val="center"/>
            <w:hideMark/>
          </w:tcPr>
          <w:p w:rsidR="000A22AE" w:rsidRPr="00DA7E4C" w:rsidRDefault="000A22AE" w:rsidP="000A22AE">
            <w:pPr>
              <w:spacing w:before="0" w:after="0" w:line="240" w:lineRule="auto"/>
              <w:jc w:val="center"/>
              <w:rPr>
                <w:rFonts w:eastAsia="Times New Roman" w:cs="Times New Roman"/>
                <w:sz w:val="18"/>
                <w:szCs w:val="18"/>
              </w:rPr>
            </w:pPr>
            <w:r w:rsidRPr="00DA7E4C">
              <w:rPr>
                <w:rFonts w:eastAsia="Times New Roman" w:cs="Times New Roman"/>
                <w:sz w:val="18"/>
                <w:szCs w:val="18"/>
              </w:rPr>
              <w:t>t-7</w:t>
            </w:r>
          </w:p>
        </w:tc>
        <w:tc>
          <w:tcPr>
            <w:tcW w:w="0" w:type="auto"/>
            <w:tcBorders>
              <w:top w:val="nil"/>
              <w:left w:val="nil"/>
              <w:bottom w:val="single" w:sz="8" w:space="0" w:color="auto"/>
              <w:right w:val="single" w:sz="8" w:space="0" w:color="auto"/>
            </w:tcBorders>
            <w:shd w:val="clear" w:color="auto" w:fill="auto"/>
            <w:vAlign w:val="center"/>
            <w:hideMark/>
          </w:tcPr>
          <w:p w:rsidR="000A22AE" w:rsidRPr="00DA7E4C" w:rsidRDefault="000A22AE" w:rsidP="000A22AE">
            <w:pPr>
              <w:spacing w:before="0" w:after="0" w:line="240" w:lineRule="auto"/>
              <w:jc w:val="center"/>
              <w:rPr>
                <w:rFonts w:eastAsia="Times New Roman" w:cs="Times New Roman"/>
                <w:sz w:val="18"/>
                <w:szCs w:val="18"/>
              </w:rPr>
            </w:pPr>
            <w:r w:rsidRPr="00DA7E4C">
              <w:rPr>
                <w:rFonts w:eastAsia="Times New Roman" w:cs="Times New Roman"/>
                <w:sz w:val="18"/>
                <w:szCs w:val="18"/>
              </w:rPr>
              <w:t>t-8</w:t>
            </w:r>
          </w:p>
        </w:tc>
        <w:tc>
          <w:tcPr>
            <w:tcW w:w="0" w:type="auto"/>
            <w:tcBorders>
              <w:top w:val="single" w:sz="8" w:space="0" w:color="auto"/>
              <w:left w:val="nil"/>
              <w:bottom w:val="single" w:sz="8" w:space="0" w:color="auto"/>
              <w:right w:val="single" w:sz="8" w:space="0" w:color="auto"/>
            </w:tcBorders>
            <w:shd w:val="clear" w:color="auto" w:fill="auto"/>
            <w:vAlign w:val="center"/>
            <w:hideMark/>
          </w:tcPr>
          <w:p w:rsidR="000A22AE" w:rsidRPr="00DA7E4C" w:rsidRDefault="000A22AE" w:rsidP="000A22AE">
            <w:pPr>
              <w:spacing w:before="0" w:after="0" w:line="240" w:lineRule="auto"/>
              <w:jc w:val="center"/>
              <w:rPr>
                <w:rFonts w:eastAsia="Times New Roman" w:cs="Times New Roman"/>
                <w:sz w:val="18"/>
                <w:szCs w:val="18"/>
              </w:rPr>
            </w:pPr>
            <w:r w:rsidRPr="00DA7E4C">
              <w:rPr>
                <w:rFonts w:eastAsia="Times New Roman" w:cs="Times New Roman"/>
                <w:sz w:val="18"/>
                <w:szCs w:val="18"/>
              </w:rPr>
              <w:t>AR</w:t>
            </w:r>
          </w:p>
        </w:tc>
        <w:tc>
          <w:tcPr>
            <w:tcW w:w="0" w:type="auto"/>
            <w:tcBorders>
              <w:top w:val="single" w:sz="8" w:space="0" w:color="auto"/>
              <w:left w:val="nil"/>
              <w:bottom w:val="single" w:sz="8" w:space="0" w:color="auto"/>
              <w:right w:val="single" w:sz="4" w:space="0" w:color="auto"/>
            </w:tcBorders>
            <w:shd w:val="clear" w:color="auto" w:fill="auto"/>
            <w:noWrap/>
            <w:vAlign w:val="center"/>
            <w:hideMark/>
          </w:tcPr>
          <w:p w:rsidR="000A22AE" w:rsidRPr="00DA7E4C" w:rsidRDefault="000A22AE" w:rsidP="000A22AE">
            <w:pPr>
              <w:spacing w:before="0" w:after="0" w:line="240" w:lineRule="auto"/>
              <w:jc w:val="center"/>
              <w:rPr>
                <w:rFonts w:eastAsia="Times New Roman" w:cs="Times New Roman"/>
                <w:sz w:val="18"/>
                <w:szCs w:val="18"/>
              </w:rPr>
            </w:pPr>
            <w:r w:rsidRPr="00DA7E4C">
              <w:rPr>
                <w:rFonts w:eastAsia="Times New Roman" w:cs="Times New Roman"/>
                <w:sz w:val="18"/>
                <w:szCs w:val="18"/>
              </w:rPr>
              <w:t>F Value</w:t>
            </w:r>
          </w:p>
        </w:tc>
        <w:tc>
          <w:tcPr>
            <w:tcW w:w="0" w:type="auto"/>
            <w:vMerge/>
            <w:tcBorders>
              <w:left w:val="single" w:sz="4" w:space="0" w:color="auto"/>
              <w:bottom w:val="single" w:sz="4" w:space="0" w:color="auto"/>
              <w:right w:val="single" w:sz="4" w:space="0" w:color="auto"/>
            </w:tcBorders>
            <w:shd w:val="clear" w:color="auto" w:fill="auto"/>
            <w:noWrap/>
            <w:vAlign w:val="center"/>
            <w:hideMark/>
          </w:tcPr>
          <w:p w:rsidR="000A22AE" w:rsidRPr="00DA7E4C" w:rsidRDefault="000A22AE" w:rsidP="000A22AE">
            <w:pPr>
              <w:spacing w:before="0" w:after="0" w:line="240" w:lineRule="auto"/>
              <w:jc w:val="center"/>
              <w:rPr>
                <w:rFonts w:eastAsia="Times New Roman" w:cs="Times New Roman"/>
                <w:sz w:val="18"/>
                <w:szCs w:val="18"/>
              </w:rPr>
            </w:pPr>
          </w:p>
        </w:tc>
        <w:tc>
          <w:tcPr>
            <w:tcW w:w="0" w:type="auto"/>
            <w:tcBorders>
              <w:top w:val="single" w:sz="8" w:space="0" w:color="auto"/>
              <w:left w:val="single" w:sz="4" w:space="0" w:color="auto"/>
              <w:bottom w:val="single" w:sz="8" w:space="0" w:color="auto"/>
              <w:right w:val="single" w:sz="8" w:space="0" w:color="auto"/>
            </w:tcBorders>
            <w:shd w:val="clear" w:color="auto" w:fill="auto"/>
            <w:noWrap/>
            <w:vAlign w:val="center"/>
            <w:hideMark/>
          </w:tcPr>
          <w:p w:rsidR="000A22AE" w:rsidRPr="00DA7E4C" w:rsidRDefault="000A22AE" w:rsidP="000A22AE">
            <w:pPr>
              <w:spacing w:before="0" w:after="0" w:line="240" w:lineRule="auto"/>
              <w:jc w:val="center"/>
              <w:rPr>
                <w:rFonts w:eastAsia="Times New Roman" w:cs="Times New Roman"/>
                <w:sz w:val="18"/>
                <w:szCs w:val="18"/>
              </w:rPr>
            </w:pPr>
            <w:r w:rsidRPr="00DA7E4C">
              <w:rPr>
                <w:rFonts w:eastAsia="Times New Roman" w:cs="Times New Roman"/>
                <w:sz w:val="18"/>
                <w:szCs w:val="18"/>
              </w:rPr>
              <w:t>DW</w:t>
            </w:r>
          </w:p>
        </w:tc>
        <w:tc>
          <w:tcPr>
            <w:tcW w:w="0" w:type="auto"/>
            <w:tcBorders>
              <w:top w:val="single" w:sz="8" w:space="0" w:color="auto"/>
              <w:left w:val="nil"/>
              <w:bottom w:val="single" w:sz="8" w:space="0" w:color="auto"/>
              <w:right w:val="single" w:sz="8" w:space="0" w:color="auto"/>
            </w:tcBorders>
            <w:shd w:val="clear" w:color="auto" w:fill="auto"/>
            <w:vAlign w:val="center"/>
            <w:hideMark/>
          </w:tcPr>
          <w:p w:rsidR="000A22AE" w:rsidRPr="00DA7E4C" w:rsidRDefault="000A22AE" w:rsidP="000A22AE">
            <w:pPr>
              <w:spacing w:before="0" w:after="0" w:line="240" w:lineRule="auto"/>
              <w:jc w:val="center"/>
              <w:rPr>
                <w:rFonts w:eastAsia="Times New Roman" w:cs="Times New Roman"/>
                <w:color w:val="000000"/>
                <w:sz w:val="18"/>
                <w:szCs w:val="18"/>
              </w:rPr>
            </w:pPr>
            <w:r w:rsidRPr="00DA7E4C">
              <w:rPr>
                <w:rFonts w:eastAsia="Times New Roman" w:cs="Times New Roman"/>
                <w:color w:val="000000"/>
                <w:sz w:val="18"/>
                <w:szCs w:val="18"/>
              </w:rPr>
              <w:t>Akaike</w:t>
            </w:r>
          </w:p>
        </w:tc>
      </w:tr>
      <w:tr w:rsidR="000A22AE" w:rsidRPr="00DA7E4C" w:rsidTr="000A22AE">
        <w:trPr>
          <w:trHeight w:val="240"/>
        </w:trPr>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center"/>
              <w:rPr>
                <w:rFonts w:eastAsia="Times New Roman" w:cs="Times New Roman"/>
                <w:sz w:val="18"/>
                <w:szCs w:val="18"/>
              </w:rPr>
            </w:pPr>
            <w:r w:rsidRPr="00DA7E4C">
              <w:rPr>
                <w:rFonts w:eastAsia="Times New Roman" w:cs="Times New Roman"/>
                <w:sz w:val="18"/>
                <w:szCs w:val="18"/>
              </w:rPr>
              <w:t>1</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-403.178</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11.999</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-9.419</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1.827</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38.696</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32.205</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97.477</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35.830</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35.629</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29.762</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0.744</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45.019</w:t>
            </w:r>
          </w:p>
        </w:tc>
        <w:tc>
          <w:tcPr>
            <w:tcW w:w="0" w:type="auto"/>
            <w:tcBorders>
              <w:top w:val="single" w:sz="4" w:space="0" w:color="auto"/>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0.759</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1.889</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18.825</w:t>
            </w:r>
          </w:p>
        </w:tc>
      </w:tr>
      <w:tr w:rsidR="000A22AE" w:rsidRPr="00DA7E4C" w:rsidTr="000A22AE">
        <w:trPr>
          <w:trHeight w:val="240"/>
        </w:trPr>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center"/>
              <w:rPr>
                <w:rFonts w:eastAsia="Times New Roman" w:cs="Times New Roman"/>
                <w:b/>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b/>
                <w:color w:val="000000"/>
                <w:sz w:val="18"/>
                <w:szCs w:val="18"/>
              </w:rPr>
            </w:pPr>
            <w:r w:rsidRPr="00DA7E4C">
              <w:rPr>
                <w:rFonts w:eastAsia="Times New Roman" w:cs="Times New Roman"/>
                <w:b/>
                <w:color w:val="000000"/>
                <w:sz w:val="18"/>
                <w:szCs w:val="18"/>
              </w:rPr>
              <w:t>0.655</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b/>
                <w:color w:val="000000"/>
                <w:sz w:val="18"/>
                <w:szCs w:val="18"/>
              </w:rPr>
            </w:pPr>
            <w:r w:rsidRPr="00DA7E4C">
              <w:rPr>
                <w:rFonts w:eastAsia="Times New Roman" w:cs="Times New Roman"/>
                <w:b/>
                <w:color w:val="000000"/>
                <w:sz w:val="18"/>
                <w:szCs w:val="18"/>
              </w:rPr>
              <w:t>0.466</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b/>
                <w:color w:val="000000"/>
                <w:sz w:val="18"/>
                <w:szCs w:val="18"/>
              </w:rPr>
            </w:pPr>
            <w:r w:rsidRPr="00DA7E4C">
              <w:rPr>
                <w:rFonts w:eastAsia="Times New Roman" w:cs="Times New Roman"/>
                <w:b/>
                <w:color w:val="000000"/>
                <w:sz w:val="18"/>
                <w:szCs w:val="18"/>
              </w:rPr>
              <w:t>0.561</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b/>
                <w:color w:val="000000"/>
                <w:sz w:val="18"/>
                <w:szCs w:val="18"/>
              </w:rPr>
            </w:pPr>
            <w:r w:rsidRPr="00DA7E4C">
              <w:rPr>
                <w:rFonts w:eastAsia="Times New Roman" w:cs="Times New Roman"/>
                <w:b/>
                <w:color w:val="000000"/>
                <w:sz w:val="18"/>
                <w:szCs w:val="18"/>
              </w:rPr>
              <w:t>0.907</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b/>
                <w:color w:val="000000"/>
                <w:sz w:val="18"/>
                <w:szCs w:val="18"/>
              </w:rPr>
            </w:pPr>
            <w:r w:rsidRPr="00DA7E4C">
              <w:rPr>
                <w:rFonts w:eastAsia="Times New Roman" w:cs="Times New Roman"/>
                <w:b/>
                <w:color w:val="000000"/>
                <w:sz w:val="18"/>
                <w:szCs w:val="18"/>
              </w:rPr>
              <w:t>0.012</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b/>
                <w:color w:val="000000"/>
                <w:sz w:val="18"/>
                <w:szCs w:val="18"/>
              </w:rPr>
            </w:pPr>
            <w:r w:rsidRPr="00DA7E4C">
              <w:rPr>
                <w:rFonts w:eastAsia="Times New Roman" w:cs="Times New Roman"/>
                <w:b/>
                <w:color w:val="000000"/>
                <w:sz w:val="18"/>
                <w:szCs w:val="18"/>
              </w:rPr>
              <w:t>0.040</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b/>
                <w:color w:val="000000"/>
                <w:sz w:val="18"/>
                <w:szCs w:val="18"/>
              </w:rPr>
            </w:pPr>
            <w:r w:rsidRPr="00DA7E4C">
              <w:rPr>
                <w:rFonts w:eastAsia="Times New Roman" w:cs="Times New Roman"/>
                <w:b/>
                <w:color w:val="000000"/>
                <w:sz w:val="18"/>
                <w:szCs w:val="18"/>
              </w:rPr>
              <w:t>0.000</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b/>
                <w:color w:val="000000"/>
                <w:sz w:val="18"/>
                <w:szCs w:val="18"/>
              </w:rPr>
            </w:pPr>
            <w:r w:rsidRPr="00DA7E4C">
              <w:rPr>
                <w:rFonts w:eastAsia="Times New Roman" w:cs="Times New Roman"/>
                <w:b/>
                <w:color w:val="000000"/>
                <w:sz w:val="18"/>
                <w:szCs w:val="18"/>
              </w:rPr>
              <w:t>0.038</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b/>
                <w:color w:val="000000"/>
                <w:sz w:val="18"/>
                <w:szCs w:val="18"/>
              </w:rPr>
            </w:pPr>
            <w:r w:rsidRPr="00DA7E4C">
              <w:rPr>
                <w:rFonts w:eastAsia="Times New Roman" w:cs="Times New Roman"/>
                <w:b/>
                <w:color w:val="000000"/>
                <w:sz w:val="18"/>
                <w:szCs w:val="18"/>
              </w:rPr>
              <w:t>0.046</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b/>
                <w:color w:val="000000"/>
                <w:sz w:val="18"/>
                <w:szCs w:val="18"/>
              </w:rPr>
            </w:pPr>
            <w:r w:rsidRPr="00DA7E4C">
              <w:rPr>
                <w:rFonts w:eastAsia="Times New Roman" w:cs="Times New Roman"/>
                <w:b/>
                <w:color w:val="000000"/>
                <w:sz w:val="18"/>
                <w:szCs w:val="18"/>
              </w:rPr>
              <w:t>0.102</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b/>
                <w:color w:val="000000"/>
                <w:sz w:val="18"/>
                <w:szCs w:val="18"/>
              </w:rPr>
            </w:pPr>
            <w:r w:rsidRPr="00DA7E4C">
              <w:rPr>
                <w:rFonts w:eastAsia="Times New Roman" w:cs="Times New Roman"/>
                <w:b/>
                <w:color w:val="000000"/>
                <w:sz w:val="18"/>
                <w:szCs w:val="18"/>
              </w:rPr>
              <w:t>0.000</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b/>
                <w:color w:val="000000"/>
                <w:sz w:val="18"/>
                <w:szCs w:val="18"/>
              </w:rPr>
            </w:pPr>
            <w:r w:rsidRPr="00DA7E4C">
              <w:rPr>
                <w:rFonts w:eastAsia="Times New Roman" w:cs="Times New Roman"/>
                <w:b/>
                <w:color w:val="000000"/>
                <w:sz w:val="18"/>
                <w:szCs w:val="18"/>
              </w:rPr>
              <w:t>0.000</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b/>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b/>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b/>
                <w:color w:val="000000"/>
                <w:sz w:val="18"/>
                <w:szCs w:val="18"/>
              </w:rPr>
            </w:pPr>
          </w:p>
        </w:tc>
      </w:tr>
      <w:tr w:rsidR="000A22AE" w:rsidRPr="00DA7E4C" w:rsidTr="000A22AE">
        <w:trPr>
          <w:trHeight w:val="240"/>
        </w:trPr>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center"/>
              <w:rPr>
                <w:rFonts w:eastAsia="Times New Roman" w:cs="Times New Roman"/>
                <w:sz w:val="18"/>
                <w:szCs w:val="18"/>
              </w:rPr>
            </w:pPr>
            <w:r w:rsidRPr="00DA7E4C">
              <w:rPr>
                <w:rFonts w:eastAsia="Times New Roman" w:cs="Times New Roman"/>
                <w:sz w:val="18"/>
                <w:szCs w:val="18"/>
              </w:rPr>
              <w:t>2</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-102.295</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-15.269</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0.790</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130.132</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0.621</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1.833</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19.146</w:t>
            </w:r>
          </w:p>
        </w:tc>
      </w:tr>
      <w:tr w:rsidR="000A22AE" w:rsidRPr="00DA7E4C" w:rsidTr="000A22AE">
        <w:trPr>
          <w:trHeight w:val="240"/>
        </w:trPr>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center"/>
              <w:rPr>
                <w:rFonts w:eastAsia="Times New Roman" w:cs="Times New Roman"/>
                <w:b/>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b/>
                <w:color w:val="000000"/>
                <w:sz w:val="18"/>
                <w:szCs w:val="18"/>
              </w:rPr>
            </w:pPr>
            <w:r w:rsidRPr="00DA7E4C">
              <w:rPr>
                <w:rFonts w:eastAsia="Times New Roman" w:cs="Times New Roman"/>
                <w:b/>
                <w:color w:val="000000"/>
                <w:sz w:val="18"/>
                <w:szCs w:val="18"/>
              </w:rPr>
              <w:t>0.937</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b/>
                <w:color w:val="000000"/>
                <w:sz w:val="18"/>
                <w:szCs w:val="18"/>
              </w:rPr>
            </w:pPr>
            <w:r w:rsidRPr="00DA7E4C">
              <w:rPr>
                <w:rFonts w:eastAsia="Times New Roman" w:cs="Times New Roman"/>
                <w:b/>
                <w:color w:val="000000"/>
                <w:sz w:val="18"/>
                <w:szCs w:val="18"/>
              </w:rPr>
              <w:t>0.375</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b/>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b/>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b/>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b/>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b/>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b/>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b/>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b/>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b/>
                <w:color w:val="000000"/>
                <w:sz w:val="18"/>
                <w:szCs w:val="18"/>
              </w:rPr>
            </w:pPr>
            <w:r w:rsidRPr="00DA7E4C">
              <w:rPr>
                <w:rFonts w:eastAsia="Times New Roman" w:cs="Times New Roman"/>
                <w:b/>
                <w:color w:val="000000"/>
                <w:sz w:val="18"/>
                <w:szCs w:val="18"/>
              </w:rPr>
              <w:t>0.000</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b/>
                <w:color w:val="000000"/>
                <w:sz w:val="18"/>
                <w:szCs w:val="18"/>
              </w:rPr>
            </w:pPr>
            <w:r w:rsidRPr="00DA7E4C">
              <w:rPr>
                <w:rFonts w:eastAsia="Times New Roman" w:cs="Times New Roman"/>
                <w:b/>
                <w:color w:val="000000"/>
                <w:sz w:val="18"/>
                <w:szCs w:val="18"/>
              </w:rPr>
              <w:t>0.000</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b/>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b/>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b/>
                <w:color w:val="000000"/>
                <w:sz w:val="18"/>
                <w:szCs w:val="18"/>
              </w:rPr>
            </w:pPr>
          </w:p>
        </w:tc>
      </w:tr>
      <w:tr w:rsidR="000A22AE" w:rsidRPr="00DA7E4C" w:rsidTr="000A22AE">
        <w:trPr>
          <w:trHeight w:val="240"/>
        </w:trPr>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center"/>
              <w:rPr>
                <w:rFonts w:eastAsia="Times New Roman" w:cs="Times New Roman"/>
                <w:sz w:val="18"/>
                <w:szCs w:val="18"/>
              </w:rPr>
            </w:pPr>
            <w:r w:rsidRPr="00DA7E4C">
              <w:rPr>
                <w:rFonts w:eastAsia="Times New Roman" w:cs="Times New Roman"/>
                <w:sz w:val="18"/>
                <w:szCs w:val="18"/>
              </w:rPr>
              <w:t>3</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-202.621</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-15.979</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0.794</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130.564</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0.623</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1.775</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19.146</w:t>
            </w:r>
          </w:p>
        </w:tc>
      </w:tr>
      <w:tr w:rsidR="000A22AE" w:rsidRPr="00DA7E4C" w:rsidTr="000A22AE">
        <w:trPr>
          <w:trHeight w:val="240"/>
        </w:trPr>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center"/>
              <w:rPr>
                <w:rFonts w:eastAsia="Times New Roman" w:cs="Times New Roman"/>
                <w:b/>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b/>
                <w:color w:val="000000"/>
                <w:sz w:val="18"/>
                <w:szCs w:val="18"/>
              </w:rPr>
            </w:pPr>
            <w:r w:rsidRPr="00DA7E4C">
              <w:rPr>
                <w:rFonts w:eastAsia="Times New Roman" w:cs="Times New Roman"/>
                <w:b/>
                <w:color w:val="000000"/>
                <w:sz w:val="18"/>
                <w:szCs w:val="18"/>
              </w:rPr>
              <w:t>0.878</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b/>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b/>
                <w:color w:val="000000"/>
                <w:sz w:val="18"/>
                <w:szCs w:val="18"/>
              </w:rPr>
            </w:pPr>
            <w:r w:rsidRPr="00DA7E4C">
              <w:rPr>
                <w:rFonts w:eastAsia="Times New Roman" w:cs="Times New Roman"/>
                <w:b/>
                <w:color w:val="000000"/>
                <w:sz w:val="18"/>
                <w:szCs w:val="18"/>
              </w:rPr>
              <w:t>0.352</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b/>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b/>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b/>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b/>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b/>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b/>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b/>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b/>
                <w:color w:val="000000"/>
                <w:sz w:val="18"/>
                <w:szCs w:val="18"/>
              </w:rPr>
            </w:pPr>
            <w:r w:rsidRPr="00DA7E4C">
              <w:rPr>
                <w:rFonts w:eastAsia="Times New Roman" w:cs="Times New Roman"/>
                <w:b/>
                <w:color w:val="000000"/>
                <w:sz w:val="18"/>
                <w:szCs w:val="18"/>
              </w:rPr>
              <w:t>0.000</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b/>
                <w:color w:val="000000"/>
                <w:sz w:val="18"/>
                <w:szCs w:val="18"/>
              </w:rPr>
            </w:pPr>
            <w:r w:rsidRPr="00DA7E4C">
              <w:rPr>
                <w:rFonts w:eastAsia="Times New Roman" w:cs="Times New Roman"/>
                <w:b/>
                <w:color w:val="000000"/>
                <w:sz w:val="18"/>
                <w:szCs w:val="18"/>
              </w:rPr>
              <w:t>0.000</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b/>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b/>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b/>
                <w:color w:val="000000"/>
                <w:sz w:val="18"/>
                <w:szCs w:val="18"/>
              </w:rPr>
            </w:pPr>
          </w:p>
        </w:tc>
      </w:tr>
      <w:tr w:rsidR="000A22AE" w:rsidRPr="00DA7E4C" w:rsidTr="000A22AE">
        <w:trPr>
          <w:trHeight w:val="240"/>
        </w:trPr>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center"/>
              <w:rPr>
                <w:rFonts w:eastAsia="Times New Roman" w:cs="Times New Roman"/>
                <w:sz w:val="18"/>
                <w:szCs w:val="18"/>
              </w:rPr>
            </w:pPr>
            <w:r w:rsidRPr="00DA7E4C">
              <w:rPr>
                <w:rFonts w:eastAsia="Times New Roman" w:cs="Times New Roman"/>
                <w:sz w:val="18"/>
                <w:szCs w:val="18"/>
              </w:rPr>
              <w:t>4</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75.238</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-13.399</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0.800</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136.029</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0.634</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1.658</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19.111</w:t>
            </w:r>
          </w:p>
        </w:tc>
      </w:tr>
      <w:tr w:rsidR="000A22AE" w:rsidRPr="00DA7E4C" w:rsidTr="000A22AE">
        <w:trPr>
          <w:trHeight w:val="240"/>
        </w:trPr>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center"/>
              <w:rPr>
                <w:rFonts w:eastAsia="Times New Roman" w:cs="Times New Roman"/>
                <w:b/>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b/>
                <w:color w:val="000000"/>
                <w:sz w:val="18"/>
                <w:szCs w:val="18"/>
              </w:rPr>
            </w:pPr>
            <w:r w:rsidRPr="00DA7E4C">
              <w:rPr>
                <w:rFonts w:eastAsia="Times New Roman" w:cs="Times New Roman"/>
                <w:b/>
                <w:color w:val="000000"/>
                <w:sz w:val="18"/>
                <w:szCs w:val="18"/>
              </w:rPr>
              <w:t>0.955</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b/>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b/>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b/>
                <w:color w:val="000000"/>
                <w:sz w:val="18"/>
                <w:szCs w:val="18"/>
              </w:rPr>
            </w:pPr>
            <w:r w:rsidRPr="00DA7E4C">
              <w:rPr>
                <w:rFonts w:eastAsia="Times New Roman" w:cs="Times New Roman"/>
                <w:b/>
                <w:color w:val="000000"/>
                <w:sz w:val="18"/>
                <w:szCs w:val="18"/>
              </w:rPr>
              <w:t>0.426</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b/>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b/>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b/>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b/>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b/>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b/>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b/>
                <w:color w:val="000000"/>
                <w:sz w:val="18"/>
                <w:szCs w:val="18"/>
              </w:rPr>
            </w:pPr>
            <w:r w:rsidRPr="00DA7E4C">
              <w:rPr>
                <w:rFonts w:eastAsia="Times New Roman" w:cs="Times New Roman"/>
                <w:b/>
                <w:color w:val="000000"/>
                <w:sz w:val="18"/>
                <w:szCs w:val="18"/>
              </w:rPr>
              <w:t>0.000</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b/>
                <w:color w:val="000000"/>
                <w:sz w:val="18"/>
                <w:szCs w:val="18"/>
              </w:rPr>
            </w:pPr>
            <w:r w:rsidRPr="00DA7E4C">
              <w:rPr>
                <w:rFonts w:eastAsia="Times New Roman" w:cs="Times New Roman"/>
                <w:b/>
                <w:color w:val="000000"/>
                <w:sz w:val="18"/>
                <w:szCs w:val="18"/>
              </w:rPr>
              <w:t>0.000</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b/>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b/>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b/>
                <w:color w:val="000000"/>
                <w:sz w:val="18"/>
                <w:szCs w:val="18"/>
              </w:rPr>
            </w:pPr>
          </w:p>
        </w:tc>
      </w:tr>
      <w:tr w:rsidR="000A22AE" w:rsidRPr="00DA7E4C" w:rsidTr="000A22AE">
        <w:trPr>
          <w:trHeight w:val="240"/>
        </w:trPr>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center"/>
              <w:rPr>
                <w:rFonts w:eastAsia="Times New Roman" w:cs="Times New Roman"/>
                <w:sz w:val="18"/>
                <w:szCs w:val="18"/>
              </w:rPr>
            </w:pPr>
            <w:r w:rsidRPr="00DA7E4C">
              <w:rPr>
                <w:rFonts w:eastAsia="Times New Roman" w:cs="Times New Roman"/>
                <w:sz w:val="18"/>
                <w:szCs w:val="18"/>
              </w:rPr>
              <w:t>5</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-225.915</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20.118</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0.794</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148.208</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0.655</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1.728</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19.055</w:t>
            </w:r>
          </w:p>
        </w:tc>
      </w:tr>
      <w:tr w:rsidR="000A22AE" w:rsidRPr="00DA7E4C" w:rsidTr="000A22AE">
        <w:trPr>
          <w:trHeight w:val="240"/>
        </w:trPr>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center"/>
              <w:rPr>
                <w:rFonts w:eastAsia="Times New Roman" w:cs="Times New Roman"/>
                <w:b/>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b/>
                <w:color w:val="000000"/>
                <w:sz w:val="18"/>
                <w:szCs w:val="18"/>
              </w:rPr>
            </w:pPr>
            <w:r w:rsidRPr="00DA7E4C">
              <w:rPr>
                <w:rFonts w:eastAsia="Times New Roman" w:cs="Times New Roman"/>
                <w:b/>
                <w:color w:val="000000"/>
                <w:sz w:val="18"/>
                <w:szCs w:val="18"/>
              </w:rPr>
              <w:t>0.859</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b/>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b/>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b/>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b/>
                <w:color w:val="000000"/>
                <w:sz w:val="18"/>
                <w:szCs w:val="18"/>
              </w:rPr>
            </w:pPr>
            <w:r w:rsidRPr="00DA7E4C">
              <w:rPr>
                <w:rFonts w:eastAsia="Times New Roman" w:cs="Times New Roman"/>
                <w:b/>
                <w:color w:val="000000"/>
                <w:sz w:val="18"/>
                <w:szCs w:val="18"/>
              </w:rPr>
              <w:t>0.219</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b/>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b/>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b/>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b/>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b/>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b/>
                <w:color w:val="000000"/>
                <w:sz w:val="18"/>
                <w:szCs w:val="18"/>
              </w:rPr>
            </w:pPr>
            <w:r w:rsidRPr="00DA7E4C">
              <w:rPr>
                <w:rFonts w:eastAsia="Times New Roman" w:cs="Times New Roman"/>
                <w:b/>
                <w:color w:val="000000"/>
                <w:sz w:val="18"/>
                <w:szCs w:val="18"/>
              </w:rPr>
              <w:t>0.000</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b/>
                <w:color w:val="000000"/>
                <w:sz w:val="18"/>
                <w:szCs w:val="18"/>
              </w:rPr>
            </w:pPr>
            <w:r w:rsidRPr="00DA7E4C">
              <w:rPr>
                <w:rFonts w:eastAsia="Times New Roman" w:cs="Times New Roman"/>
                <w:b/>
                <w:color w:val="000000"/>
                <w:sz w:val="18"/>
                <w:szCs w:val="18"/>
              </w:rPr>
              <w:t>0.000</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b/>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b/>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b/>
                <w:color w:val="000000"/>
                <w:sz w:val="18"/>
                <w:szCs w:val="18"/>
              </w:rPr>
            </w:pPr>
          </w:p>
        </w:tc>
      </w:tr>
      <w:tr w:rsidR="000A22AE" w:rsidRPr="00DA7E4C" w:rsidTr="000A22AE">
        <w:trPr>
          <w:trHeight w:val="240"/>
        </w:trPr>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center"/>
              <w:rPr>
                <w:rFonts w:eastAsia="Times New Roman" w:cs="Times New Roman"/>
                <w:sz w:val="18"/>
                <w:szCs w:val="18"/>
              </w:rPr>
            </w:pPr>
            <w:r w:rsidRPr="00DA7E4C">
              <w:rPr>
                <w:rFonts w:eastAsia="Times New Roman" w:cs="Times New Roman"/>
                <w:sz w:val="18"/>
                <w:szCs w:val="18"/>
              </w:rPr>
              <w:t>6</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-257.507</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21.105</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0.787</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146.551</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0.654</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1.802</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19.061</w:t>
            </w:r>
          </w:p>
        </w:tc>
      </w:tr>
      <w:tr w:rsidR="000A22AE" w:rsidRPr="00DA7E4C" w:rsidTr="000A22AE">
        <w:trPr>
          <w:trHeight w:val="240"/>
        </w:trPr>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center"/>
              <w:rPr>
                <w:rFonts w:eastAsia="Times New Roman" w:cs="Times New Roman"/>
                <w:b/>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b/>
                <w:color w:val="000000"/>
                <w:sz w:val="18"/>
                <w:szCs w:val="18"/>
              </w:rPr>
            </w:pPr>
            <w:r w:rsidRPr="00DA7E4C">
              <w:rPr>
                <w:rFonts w:eastAsia="Times New Roman" w:cs="Times New Roman"/>
                <w:b/>
                <w:color w:val="000000"/>
                <w:sz w:val="18"/>
                <w:szCs w:val="18"/>
              </w:rPr>
              <w:t>0.835</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b/>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b/>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b/>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b/>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b/>
                <w:color w:val="000000"/>
                <w:sz w:val="18"/>
                <w:szCs w:val="18"/>
              </w:rPr>
            </w:pPr>
            <w:r w:rsidRPr="00DA7E4C">
              <w:rPr>
                <w:rFonts w:eastAsia="Times New Roman" w:cs="Times New Roman"/>
                <w:b/>
                <w:color w:val="000000"/>
                <w:sz w:val="18"/>
                <w:szCs w:val="18"/>
              </w:rPr>
              <w:t>0.207</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b/>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b/>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b/>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b/>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b/>
                <w:color w:val="000000"/>
                <w:sz w:val="18"/>
                <w:szCs w:val="18"/>
              </w:rPr>
            </w:pPr>
            <w:r w:rsidRPr="00DA7E4C">
              <w:rPr>
                <w:rFonts w:eastAsia="Times New Roman" w:cs="Times New Roman"/>
                <w:b/>
                <w:color w:val="000000"/>
                <w:sz w:val="18"/>
                <w:szCs w:val="18"/>
              </w:rPr>
              <w:t>0.000</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b/>
                <w:color w:val="000000"/>
                <w:sz w:val="18"/>
                <w:szCs w:val="18"/>
              </w:rPr>
            </w:pPr>
            <w:r w:rsidRPr="00DA7E4C">
              <w:rPr>
                <w:rFonts w:eastAsia="Times New Roman" w:cs="Times New Roman"/>
                <w:b/>
                <w:color w:val="000000"/>
                <w:sz w:val="18"/>
                <w:szCs w:val="18"/>
              </w:rPr>
              <w:t>0.000</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b/>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b/>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b/>
                <w:color w:val="000000"/>
                <w:sz w:val="18"/>
                <w:szCs w:val="18"/>
              </w:rPr>
            </w:pPr>
          </w:p>
        </w:tc>
      </w:tr>
      <w:tr w:rsidR="000A22AE" w:rsidRPr="00DA7E4C" w:rsidTr="000A22AE">
        <w:trPr>
          <w:trHeight w:val="240"/>
        </w:trPr>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center"/>
              <w:rPr>
                <w:rFonts w:eastAsia="Times New Roman" w:cs="Times New Roman"/>
                <w:sz w:val="18"/>
                <w:szCs w:val="18"/>
              </w:rPr>
            </w:pPr>
            <w:r w:rsidRPr="00DA7E4C">
              <w:rPr>
                <w:rFonts w:eastAsia="Times New Roman" w:cs="Times New Roman"/>
                <w:sz w:val="18"/>
                <w:szCs w:val="18"/>
              </w:rPr>
              <w:t>7</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-239.899</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90.037</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0.754</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186.490</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0.708</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1.789</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18.898</w:t>
            </w:r>
          </w:p>
        </w:tc>
      </w:tr>
      <w:tr w:rsidR="000A22AE" w:rsidRPr="00DA7E4C" w:rsidTr="000A22AE">
        <w:trPr>
          <w:trHeight w:val="240"/>
        </w:trPr>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center"/>
              <w:rPr>
                <w:rFonts w:eastAsia="Times New Roman" w:cs="Times New Roman"/>
                <w:b/>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b/>
                <w:color w:val="000000"/>
                <w:sz w:val="18"/>
                <w:szCs w:val="18"/>
              </w:rPr>
            </w:pPr>
            <w:r w:rsidRPr="00DA7E4C">
              <w:rPr>
                <w:rFonts w:eastAsia="Times New Roman" w:cs="Times New Roman"/>
                <w:b/>
                <w:color w:val="000000"/>
                <w:sz w:val="18"/>
                <w:szCs w:val="18"/>
              </w:rPr>
              <w:t>0.808</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b/>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b/>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b/>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b/>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b/>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b/>
                <w:color w:val="000000"/>
                <w:sz w:val="18"/>
                <w:szCs w:val="18"/>
              </w:rPr>
            </w:pPr>
            <w:r w:rsidRPr="00DA7E4C">
              <w:rPr>
                <w:rFonts w:eastAsia="Times New Roman" w:cs="Times New Roman"/>
                <w:b/>
                <w:color w:val="000000"/>
                <w:sz w:val="18"/>
                <w:szCs w:val="18"/>
              </w:rPr>
              <w:t>0.000</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b/>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b/>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b/>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b/>
                <w:color w:val="000000"/>
                <w:sz w:val="18"/>
                <w:szCs w:val="18"/>
              </w:rPr>
            </w:pPr>
            <w:r w:rsidRPr="00DA7E4C">
              <w:rPr>
                <w:rFonts w:eastAsia="Times New Roman" w:cs="Times New Roman"/>
                <w:b/>
                <w:color w:val="000000"/>
                <w:sz w:val="18"/>
                <w:szCs w:val="18"/>
              </w:rPr>
              <w:t>0.000</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b/>
                <w:color w:val="000000"/>
                <w:sz w:val="18"/>
                <w:szCs w:val="18"/>
              </w:rPr>
            </w:pPr>
            <w:r w:rsidRPr="00DA7E4C">
              <w:rPr>
                <w:rFonts w:eastAsia="Times New Roman" w:cs="Times New Roman"/>
                <w:b/>
                <w:color w:val="000000"/>
                <w:sz w:val="18"/>
                <w:szCs w:val="18"/>
              </w:rPr>
              <w:t>0.000</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b/>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b/>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b/>
                <w:color w:val="000000"/>
                <w:sz w:val="18"/>
                <w:szCs w:val="18"/>
              </w:rPr>
            </w:pPr>
          </w:p>
        </w:tc>
      </w:tr>
      <w:tr w:rsidR="000A22AE" w:rsidRPr="00DA7E4C" w:rsidTr="000A22AE">
        <w:trPr>
          <w:trHeight w:val="240"/>
        </w:trPr>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center"/>
              <w:rPr>
                <w:rFonts w:eastAsia="Times New Roman" w:cs="Times New Roman"/>
                <w:sz w:val="18"/>
                <w:szCs w:val="18"/>
              </w:rPr>
            </w:pPr>
            <w:r w:rsidRPr="00DA7E4C">
              <w:rPr>
                <w:rFonts w:eastAsia="Times New Roman" w:cs="Times New Roman"/>
                <w:sz w:val="18"/>
                <w:szCs w:val="18"/>
              </w:rPr>
              <w:t>8</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-262.274</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35.942</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0.780</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147.554</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0.659</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1.812</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19.057</w:t>
            </w:r>
          </w:p>
        </w:tc>
      </w:tr>
      <w:tr w:rsidR="000A22AE" w:rsidRPr="00DA7E4C" w:rsidTr="000A22AE">
        <w:trPr>
          <w:trHeight w:val="240"/>
        </w:trPr>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center"/>
              <w:rPr>
                <w:rFonts w:eastAsia="Times New Roman" w:cs="Times New Roman"/>
                <w:b/>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b/>
                <w:color w:val="000000"/>
                <w:sz w:val="18"/>
                <w:szCs w:val="18"/>
              </w:rPr>
            </w:pPr>
            <w:r w:rsidRPr="00DA7E4C">
              <w:rPr>
                <w:rFonts w:eastAsia="Times New Roman" w:cs="Times New Roman"/>
                <w:b/>
                <w:color w:val="000000"/>
                <w:sz w:val="18"/>
                <w:szCs w:val="18"/>
              </w:rPr>
              <w:t>0.828</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b/>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b/>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b/>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b/>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b/>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b/>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b/>
                <w:color w:val="000000"/>
                <w:sz w:val="18"/>
                <w:szCs w:val="18"/>
              </w:rPr>
            </w:pPr>
            <w:r w:rsidRPr="00DA7E4C">
              <w:rPr>
                <w:rFonts w:eastAsia="Times New Roman" w:cs="Times New Roman"/>
                <w:b/>
                <w:color w:val="000000"/>
                <w:sz w:val="18"/>
                <w:szCs w:val="18"/>
              </w:rPr>
              <w:t>0.063</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b/>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b/>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b/>
                <w:color w:val="000000"/>
                <w:sz w:val="18"/>
                <w:szCs w:val="18"/>
              </w:rPr>
            </w:pPr>
            <w:r w:rsidRPr="00DA7E4C">
              <w:rPr>
                <w:rFonts w:eastAsia="Times New Roman" w:cs="Times New Roman"/>
                <w:b/>
                <w:color w:val="000000"/>
                <w:sz w:val="18"/>
                <w:szCs w:val="18"/>
              </w:rPr>
              <w:t>0.000</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b/>
                <w:color w:val="000000"/>
                <w:sz w:val="18"/>
                <w:szCs w:val="18"/>
              </w:rPr>
            </w:pPr>
            <w:r w:rsidRPr="00DA7E4C">
              <w:rPr>
                <w:rFonts w:eastAsia="Times New Roman" w:cs="Times New Roman"/>
                <w:b/>
                <w:color w:val="000000"/>
                <w:sz w:val="18"/>
                <w:szCs w:val="18"/>
              </w:rPr>
              <w:t>0.000</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b/>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b/>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b/>
                <w:color w:val="000000"/>
                <w:sz w:val="18"/>
                <w:szCs w:val="18"/>
              </w:rPr>
            </w:pPr>
          </w:p>
        </w:tc>
      </w:tr>
      <w:tr w:rsidR="000A22AE" w:rsidRPr="00DA7E4C" w:rsidTr="000A22AE">
        <w:trPr>
          <w:trHeight w:val="240"/>
        </w:trPr>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center"/>
              <w:rPr>
                <w:rFonts w:eastAsia="Times New Roman" w:cs="Times New Roman"/>
                <w:sz w:val="18"/>
                <w:szCs w:val="18"/>
              </w:rPr>
            </w:pPr>
            <w:r w:rsidRPr="00DA7E4C">
              <w:rPr>
                <w:rFonts w:eastAsia="Times New Roman" w:cs="Times New Roman"/>
                <w:sz w:val="18"/>
                <w:szCs w:val="18"/>
              </w:rPr>
              <w:t>9</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-256.571</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38.161</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0.790</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147.013</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0.659</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1.777</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19.060</w:t>
            </w:r>
          </w:p>
        </w:tc>
      </w:tr>
      <w:tr w:rsidR="000A22AE" w:rsidRPr="00DA7E4C" w:rsidTr="000A22AE">
        <w:trPr>
          <w:trHeight w:val="240"/>
        </w:trPr>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center"/>
              <w:rPr>
                <w:rFonts w:eastAsia="Times New Roman" w:cs="Times New Roman"/>
                <w:b/>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b/>
                <w:color w:val="000000"/>
                <w:sz w:val="18"/>
                <w:szCs w:val="18"/>
              </w:rPr>
            </w:pPr>
            <w:r w:rsidRPr="00DA7E4C">
              <w:rPr>
                <w:rFonts w:eastAsia="Times New Roman" w:cs="Times New Roman"/>
                <w:b/>
                <w:color w:val="000000"/>
                <w:sz w:val="18"/>
                <w:szCs w:val="18"/>
              </w:rPr>
              <w:t>0.839</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b/>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b/>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b/>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b/>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b/>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b/>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b/>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b/>
                <w:color w:val="000000"/>
                <w:sz w:val="18"/>
                <w:szCs w:val="18"/>
              </w:rPr>
            </w:pPr>
            <w:r w:rsidRPr="00DA7E4C">
              <w:rPr>
                <w:rFonts w:eastAsia="Times New Roman" w:cs="Times New Roman"/>
                <w:b/>
                <w:color w:val="000000"/>
                <w:sz w:val="18"/>
                <w:szCs w:val="18"/>
              </w:rPr>
              <w:t>0.051</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b/>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b/>
                <w:color w:val="000000"/>
                <w:sz w:val="18"/>
                <w:szCs w:val="18"/>
              </w:rPr>
            </w:pPr>
            <w:r w:rsidRPr="00DA7E4C">
              <w:rPr>
                <w:rFonts w:eastAsia="Times New Roman" w:cs="Times New Roman"/>
                <w:b/>
                <w:color w:val="000000"/>
                <w:sz w:val="18"/>
                <w:szCs w:val="18"/>
              </w:rPr>
              <w:t>0.000</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b/>
                <w:color w:val="000000"/>
                <w:sz w:val="18"/>
                <w:szCs w:val="18"/>
              </w:rPr>
            </w:pPr>
            <w:r w:rsidRPr="00DA7E4C">
              <w:rPr>
                <w:rFonts w:eastAsia="Times New Roman" w:cs="Times New Roman"/>
                <w:b/>
                <w:color w:val="000000"/>
                <w:sz w:val="18"/>
                <w:szCs w:val="18"/>
              </w:rPr>
              <w:t>0.000</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b/>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b/>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b/>
                <w:color w:val="000000"/>
                <w:sz w:val="18"/>
                <w:szCs w:val="18"/>
              </w:rPr>
            </w:pPr>
          </w:p>
        </w:tc>
      </w:tr>
      <w:tr w:rsidR="000A22AE" w:rsidRPr="00DA7E4C" w:rsidTr="000A22AE">
        <w:trPr>
          <w:trHeight w:val="240"/>
        </w:trPr>
        <w:tc>
          <w:tcPr>
            <w:tcW w:w="0" w:type="auto"/>
            <w:tcBorders>
              <w:top w:val="nil"/>
              <w:left w:val="nil"/>
              <w:bottom w:val="nil"/>
              <w:right w:val="nil"/>
            </w:tcBorders>
            <w:shd w:val="clear" w:color="auto" w:fill="auto"/>
            <w:noWrap/>
            <w:vAlign w:val="center"/>
            <w:hideMark/>
          </w:tcPr>
          <w:p w:rsidR="000A22AE" w:rsidRPr="00DA7E4C" w:rsidRDefault="000A22AE" w:rsidP="000A22AE">
            <w:pPr>
              <w:spacing w:before="0" w:after="0" w:line="240" w:lineRule="auto"/>
              <w:jc w:val="center"/>
              <w:rPr>
                <w:rFonts w:eastAsia="Times New Roman" w:cs="Times New Roman"/>
                <w:color w:val="000000"/>
                <w:sz w:val="18"/>
                <w:szCs w:val="18"/>
              </w:rPr>
            </w:pPr>
            <w:r w:rsidRPr="00DA7E4C">
              <w:rPr>
                <w:rFonts w:eastAsia="Times New Roman" w:cs="Times New Roman"/>
                <w:color w:val="000000"/>
                <w:sz w:val="18"/>
                <w:szCs w:val="18"/>
              </w:rPr>
              <w:t>10</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-126.099</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53.630</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0.808</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153.777</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0.671</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1.652</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19.033</w:t>
            </w:r>
          </w:p>
        </w:tc>
      </w:tr>
      <w:tr w:rsidR="000A22AE" w:rsidRPr="00DA7E4C" w:rsidTr="000A22AE">
        <w:trPr>
          <w:trHeight w:val="240"/>
        </w:trPr>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b/>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b/>
                <w:color w:val="000000"/>
                <w:sz w:val="18"/>
                <w:szCs w:val="18"/>
              </w:rPr>
            </w:pPr>
            <w:r w:rsidRPr="00DA7E4C">
              <w:rPr>
                <w:rFonts w:eastAsia="Times New Roman" w:cs="Times New Roman"/>
                <w:b/>
                <w:color w:val="000000"/>
                <w:sz w:val="18"/>
                <w:szCs w:val="18"/>
              </w:rPr>
              <w:t>0.927</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b/>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b/>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b/>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b/>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b/>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b/>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b/>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b/>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b/>
                <w:color w:val="000000"/>
                <w:sz w:val="18"/>
                <w:szCs w:val="18"/>
              </w:rPr>
            </w:pPr>
            <w:r w:rsidRPr="00DA7E4C">
              <w:rPr>
                <w:rFonts w:eastAsia="Times New Roman" w:cs="Times New Roman"/>
                <w:b/>
                <w:color w:val="000000"/>
                <w:sz w:val="18"/>
                <w:szCs w:val="18"/>
              </w:rPr>
              <w:t>0.006</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b/>
                <w:color w:val="000000"/>
                <w:sz w:val="18"/>
                <w:szCs w:val="18"/>
              </w:rPr>
            </w:pPr>
            <w:r w:rsidRPr="00DA7E4C">
              <w:rPr>
                <w:rFonts w:eastAsia="Times New Roman" w:cs="Times New Roman"/>
                <w:b/>
                <w:color w:val="000000"/>
                <w:sz w:val="18"/>
                <w:szCs w:val="18"/>
              </w:rPr>
              <w:t>0.000</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b/>
                <w:color w:val="000000"/>
                <w:sz w:val="18"/>
                <w:szCs w:val="18"/>
              </w:rPr>
            </w:pPr>
            <w:r w:rsidRPr="00DA7E4C">
              <w:rPr>
                <w:rFonts w:eastAsia="Times New Roman" w:cs="Times New Roman"/>
                <w:b/>
                <w:color w:val="000000"/>
                <w:sz w:val="18"/>
                <w:szCs w:val="18"/>
              </w:rPr>
              <w:t>0.000</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b/>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b/>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b/>
                <w:color w:val="000000"/>
                <w:sz w:val="18"/>
                <w:szCs w:val="18"/>
              </w:rPr>
            </w:pPr>
          </w:p>
        </w:tc>
      </w:tr>
    </w:tbl>
    <w:p w:rsidR="000A22AE" w:rsidRPr="00762161" w:rsidRDefault="000A22AE" w:rsidP="000A22AE"/>
    <w:p w:rsidR="000A22AE" w:rsidRPr="00762161" w:rsidRDefault="000A22AE" w:rsidP="000A22AE">
      <w:pPr>
        <w:pStyle w:val="Heading2"/>
      </w:pPr>
      <w:bookmarkStart w:id="361" w:name="_Toc286616339"/>
      <w:r w:rsidRPr="00762161">
        <w:t xml:space="preserve">Table 5: The Relationship between Industrial Production and </w:t>
      </w:r>
      <w:r w:rsidR="00627488">
        <w:t>Real Stock Price</w:t>
      </w:r>
      <w:r w:rsidRPr="00762161">
        <w:t>s (Quarterly 1988-1997)</w:t>
      </w:r>
      <w:bookmarkEnd w:id="361"/>
    </w:p>
    <w:tbl>
      <w:tblPr>
        <w:tblW w:w="0" w:type="auto"/>
        <w:tblInd w:w="93" w:type="dxa"/>
        <w:tblLook w:val="04A0"/>
      </w:tblPr>
      <w:tblGrid>
        <w:gridCol w:w="756"/>
        <w:gridCol w:w="996"/>
        <w:gridCol w:w="801"/>
        <w:gridCol w:w="711"/>
        <w:gridCol w:w="801"/>
        <w:gridCol w:w="771"/>
        <w:gridCol w:w="771"/>
        <w:gridCol w:w="861"/>
        <w:gridCol w:w="711"/>
        <w:gridCol w:w="711"/>
        <w:gridCol w:w="711"/>
        <w:gridCol w:w="621"/>
        <w:gridCol w:w="801"/>
        <w:gridCol w:w="866"/>
        <w:gridCol w:w="621"/>
        <w:gridCol w:w="736"/>
      </w:tblGrid>
      <w:tr w:rsidR="000A22AE" w:rsidRPr="00DA7E4C" w:rsidTr="000A22AE">
        <w:trPr>
          <w:trHeight w:val="300"/>
        </w:trPr>
        <w:tc>
          <w:tcPr>
            <w:tcW w:w="0" w:type="auto"/>
            <w:tcBorders>
              <w:top w:val="single" w:sz="8" w:space="0" w:color="auto"/>
              <w:left w:val="single" w:sz="8" w:space="0" w:color="auto"/>
              <w:bottom w:val="single" w:sz="8" w:space="0" w:color="auto"/>
              <w:right w:val="nil"/>
            </w:tcBorders>
            <w:shd w:val="clear" w:color="auto" w:fill="auto"/>
            <w:noWrap/>
            <w:vAlign w:val="bottom"/>
            <w:hideMark/>
          </w:tcPr>
          <w:p w:rsidR="000A22AE" w:rsidRPr="00DA7E4C" w:rsidRDefault="000A22AE" w:rsidP="000A22AE">
            <w:pPr>
              <w:spacing w:before="0" w:after="0" w:line="240" w:lineRule="auto"/>
              <w:jc w:val="center"/>
              <w:rPr>
                <w:rFonts w:eastAsia="Times New Roman" w:cs="Times New Roman"/>
                <w:sz w:val="18"/>
                <w:szCs w:val="18"/>
              </w:rPr>
            </w:pPr>
            <w:r w:rsidRPr="00DA7E4C">
              <w:rPr>
                <w:rFonts w:eastAsia="Times New Roman" w:cs="Times New Roman"/>
                <w:sz w:val="18"/>
                <w:szCs w:val="18"/>
              </w:rPr>
              <w:t>Sample</w:t>
            </w:r>
          </w:p>
        </w:tc>
        <w:tc>
          <w:tcPr>
            <w:tcW w:w="0" w:type="auto"/>
            <w:tcBorders>
              <w:top w:val="single" w:sz="4" w:space="0" w:color="auto"/>
              <w:left w:val="nil"/>
              <w:bottom w:val="single" w:sz="8" w:space="0" w:color="auto"/>
              <w:right w:val="nil"/>
            </w:tcBorders>
            <w:shd w:val="clear" w:color="auto" w:fill="auto"/>
            <w:noWrap/>
            <w:vAlign w:val="bottom"/>
            <w:hideMark/>
          </w:tcPr>
          <w:p w:rsidR="000A22AE" w:rsidRPr="00DA7E4C" w:rsidRDefault="000A22AE" w:rsidP="000A22AE">
            <w:pPr>
              <w:spacing w:before="0" w:after="0" w:line="240" w:lineRule="auto"/>
              <w:jc w:val="center"/>
              <w:rPr>
                <w:rFonts w:eastAsia="Times New Roman" w:cs="Times New Roman"/>
                <w:sz w:val="18"/>
                <w:szCs w:val="18"/>
              </w:rPr>
            </w:pPr>
            <w:r w:rsidRPr="00DA7E4C">
              <w:rPr>
                <w:rFonts w:eastAsia="Times New Roman" w:cs="Times New Roman"/>
                <w:sz w:val="18"/>
                <w:szCs w:val="18"/>
              </w:rPr>
              <w:t>1988-1997</w:t>
            </w:r>
          </w:p>
        </w:tc>
        <w:tc>
          <w:tcPr>
            <w:tcW w:w="0" w:type="auto"/>
            <w:gridSpan w:val="9"/>
            <w:tcBorders>
              <w:top w:val="single" w:sz="8" w:space="0" w:color="auto"/>
              <w:left w:val="single" w:sz="8" w:space="0" w:color="auto"/>
              <w:bottom w:val="nil"/>
              <w:right w:val="single" w:sz="8" w:space="0" w:color="000000"/>
            </w:tcBorders>
            <w:shd w:val="clear" w:color="auto" w:fill="auto"/>
            <w:vAlign w:val="bottom"/>
            <w:hideMark/>
          </w:tcPr>
          <w:p w:rsidR="000A22AE" w:rsidRPr="00DA7E4C" w:rsidRDefault="000A22AE" w:rsidP="000A22AE">
            <w:pPr>
              <w:spacing w:before="0" w:after="0" w:line="240" w:lineRule="auto"/>
              <w:jc w:val="center"/>
              <w:rPr>
                <w:rFonts w:eastAsia="Times New Roman" w:cs="Times New Roman"/>
                <w:color w:val="000000"/>
                <w:sz w:val="18"/>
                <w:szCs w:val="18"/>
              </w:rPr>
            </w:pPr>
            <w:r w:rsidRPr="00DA7E4C">
              <w:rPr>
                <w:rFonts w:eastAsia="Times New Roman" w:cs="Times New Roman"/>
                <w:color w:val="000000"/>
                <w:sz w:val="18"/>
                <w:szCs w:val="18"/>
              </w:rPr>
              <w:t xml:space="preserve">Real Stock </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color w:val="000000"/>
                <w:sz w:val="18"/>
                <w:szCs w:val="18"/>
              </w:rPr>
            </w:pPr>
          </w:p>
        </w:tc>
        <w:tc>
          <w:tcPr>
            <w:tcW w:w="0" w:type="auto"/>
            <w:tcBorders>
              <w:top w:val="nil"/>
              <w:left w:val="nil"/>
              <w:bottom w:val="nil"/>
              <w:right w:val="single" w:sz="4" w:space="0" w:color="auto"/>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color w:val="000000"/>
                <w:sz w:val="18"/>
                <w:szCs w:val="18"/>
              </w:rPr>
            </w:pPr>
          </w:p>
        </w:tc>
        <w:tc>
          <w:tcPr>
            <w:tcW w:w="0" w:type="auto"/>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A22AE" w:rsidRPr="00DA7E4C" w:rsidRDefault="000A22AE" w:rsidP="000A22AE">
            <w:pPr>
              <w:spacing w:before="0" w:after="0" w:line="240" w:lineRule="auto"/>
              <w:jc w:val="center"/>
              <w:rPr>
                <w:rFonts w:eastAsia="Times New Roman" w:cs="Times New Roman"/>
                <w:sz w:val="18"/>
                <w:szCs w:val="18"/>
              </w:rPr>
            </w:pPr>
            <w:r w:rsidRPr="00DA7E4C">
              <w:rPr>
                <w:rFonts w:eastAsia="Times New Roman" w:cs="Times New Roman"/>
                <w:sz w:val="18"/>
                <w:szCs w:val="18"/>
              </w:rPr>
              <w:t>Adjusted</w:t>
            </w:r>
          </w:p>
          <w:p w:rsidR="000A22AE" w:rsidRPr="00DA7E4C" w:rsidRDefault="000A22AE" w:rsidP="000A22AE">
            <w:pPr>
              <w:spacing w:before="0" w:after="0" w:line="240" w:lineRule="auto"/>
              <w:jc w:val="center"/>
              <w:rPr>
                <w:rFonts w:eastAsia="Times New Roman" w:cs="Times New Roman"/>
                <w:color w:val="000000"/>
                <w:sz w:val="18"/>
                <w:szCs w:val="18"/>
              </w:rPr>
            </w:pPr>
            <w:r w:rsidRPr="00DA7E4C">
              <w:rPr>
                <w:rFonts w:eastAsia="Times New Roman" w:cs="Times New Roman"/>
                <w:sz w:val="18"/>
                <w:szCs w:val="18"/>
              </w:rPr>
              <w:t>R-square</w:t>
            </w:r>
          </w:p>
        </w:tc>
        <w:tc>
          <w:tcPr>
            <w:tcW w:w="0" w:type="auto"/>
            <w:tcBorders>
              <w:top w:val="nil"/>
              <w:left w:val="single" w:sz="4" w:space="0" w:color="auto"/>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color w:val="000000"/>
                <w:sz w:val="18"/>
                <w:szCs w:val="18"/>
              </w:rPr>
            </w:pPr>
          </w:p>
        </w:tc>
      </w:tr>
      <w:tr w:rsidR="000A22AE" w:rsidRPr="00DA7E4C" w:rsidTr="000A22AE">
        <w:trPr>
          <w:trHeight w:val="255"/>
        </w:trPr>
        <w:tc>
          <w:tcPr>
            <w:tcW w:w="0" w:type="auto"/>
            <w:tcBorders>
              <w:top w:val="nil"/>
              <w:left w:val="single" w:sz="8" w:space="0" w:color="auto"/>
              <w:bottom w:val="single" w:sz="8" w:space="0" w:color="auto"/>
              <w:right w:val="single" w:sz="8" w:space="0" w:color="auto"/>
            </w:tcBorders>
            <w:shd w:val="clear" w:color="auto" w:fill="auto"/>
            <w:noWrap/>
            <w:vAlign w:val="center"/>
            <w:hideMark/>
          </w:tcPr>
          <w:p w:rsidR="000A22AE" w:rsidRPr="00DA7E4C" w:rsidRDefault="000A22AE" w:rsidP="000A22AE">
            <w:pPr>
              <w:spacing w:before="0" w:after="0" w:line="240" w:lineRule="auto"/>
              <w:jc w:val="center"/>
              <w:rPr>
                <w:rFonts w:eastAsia="Times New Roman" w:cs="Times New Roman"/>
                <w:sz w:val="18"/>
                <w:szCs w:val="18"/>
              </w:rPr>
            </w:pPr>
            <w:r w:rsidRPr="00DA7E4C">
              <w:rPr>
                <w:rFonts w:eastAsia="Times New Roman" w:cs="Times New Roman"/>
                <w:sz w:val="18"/>
                <w:szCs w:val="18"/>
              </w:rPr>
              <w:t>No</w:t>
            </w:r>
          </w:p>
        </w:tc>
        <w:tc>
          <w:tcPr>
            <w:tcW w:w="0" w:type="auto"/>
            <w:tcBorders>
              <w:top w:val="single" w:sz="8" w:space="0" w:color="auto"/>
              <w:left w:val="nil"/>
              <w:bottom w:val="single" w:sz="8" w:space="0" w:color="auto"/>
              <w:right w:val="single" w:sz="8" w:space="0" w:color="auto"/>
            </w:tcBorders>
            <w:shd w:val="clear" w:color="auto" w:fill="auto"/>
            <w:noWrap/>
            <w:vAlign w:val="center"/>
            <w:hideMark/>
          </w:tcPr>
          <w:p w:rsidR="000A22AE" w:rsidRPr="00DA7E4C" w:rsidRDefault="000A22AE" w:rsidP="000A22AE">
            <w:pPr>
              <w:spacing w:before="0" w:after="0" w:line="240" w:lineRule="auto"/>
              <w:jc w:val="center"/>
              <w:rPr>
                <w:rFonts w:eastAsia="Times New Roman" w:cs="Times New Roman"/>
                <w:sz w:val="18"/>
                <w:szCs w:val="18"/>
              </w:rPr>
            </w:pPr>
            <w:r w:rsidRPr="00DA7E4C">
              <w:rPr>
                <w:rFonts w:eastAsia="Times New Roman" w:cs="Times New Roman"/>
                <w:sz w:val="18"/>
                <w:szCs w:val="18"/>
              </w:rPr>
              <w:t>Intercept</w:t>
            </w:r>
          </w:p>
        </w:tc>
        <w:tc>
          <w:tcPr>
            <w:tcW w:w="0" w:type="auto"/>
            <w:tcBorders>
              <w:top w:val="nil"/>
              <w:left w:val="nil"/>
              <w:bottom w:val="single" w:sz="8" w:space="0" w:color="auto"/>
              <w:right w:val="single" w:sz="8" w:space="0" w:color="auto"/>
            </w:tcBorders>
            <w:shd w:val="clear" w:color="auto" w:fill="auto"/>
            <w:vAlign w:val="center"/>
            <w:hideMark/>
          </w:tcPr>
          <w:p w:rsidR="000A22AE" w:rsidRPr="00DA7E4C" w:rsidRDefault="000A22AE" w:rsidP="000A22AE">
            <w:pPr>
              <w:spacing w:before="0" w:after="0" w:line="240" w:lineRule="auto"/>
              <w:jc w:val="center"/>
              <w:rPr>
                <w:rFonts w:eastAsia="Times New Roman" w:cs="Times New Roman"/>
                <w:sz w:val="18"/>
                <w:szCs w:val="18"/>
              </w:rPr>
            </w:pPr>
            <w:r w:rsidRPr="00DA7E4C">
              <w:rPr>
                <w:rFonts w:eastAsia="Times New Roman" w:cs="Times New Roman"/>
                <w:sz w:val="18"/>
                <w:szCs w:val="18"/>
              </w:rPr>
              <w:t>t</w:t>
            </w:r>
          </w:p>
        </w:tc>
        <w:tc>
          <w:tcPr>
            <w:tcW w:w="0" w:type="auto"/>
            <w:tcBorders>
              <w:top w:val="nil"/>
              <w:left w:val="nil"/>
              <w:bottom w:val="single" w:sz="8" w:space="0" w:color="auto"/>
              <w:right w:val="single" w:sz="8" w:space="0" w:color="auto"/>
            </w:tcBorders>
            <w:shd w:val="clear" w:color="auto" w:fill="auto"/>
            <w:vAlign w:val="center"/>
            <w:hideMark/>
          </w:tcPr>
          <w:p w:rsidR="000A22AE" w:rsidRPr="00DA7E4C" w:rsidRDefault="000A22AE" w:rsidP="000A22AE">
            <w:pPr>
              <w:spacing w:before="0" w:after="0" w:line="240" w:lineRule="auto"/>
              <w:jc w:val="center"/>
              <w:rPr>
                <w:rFonts w:eastAsia="Times New Roman" w:cs="Times New Roman"/>
                <w:sz w:val="18"/>
                <w:szCs w:val="18"/>
              </w:rPr>
            </w:pPr>
            <w:r w:rsidRPr="00DA7E4C">
              <w:rPr>
                <w:rFonts w:eastAsia="Times New Roman" w:cs="Times New Roman"/>
                <w:sz w:val="18"/>
                <w:szCs w:val="18"/>
              </w:rPr>
              <w:t>t-1</w:t>
            </w:r>
          </w:p>
        </w:tc>
        <w:tc>
          <w:tcPr>
            <w:tcW w:w="0" w:type="auto"/>
            <w:tcBorders>
              <w:top w:val="nil"/>
              <w:left w:val="nil"/>
              <w:bottom w:val="single" w:sz="8" w:space="0" w:color="auto"/>
              <w:right w:val="single" w:sz="8" w:space="0" w:color="auto"/>
            </w:tcBorders>
            <w:shd w:val="clear" w:color="auto" w:fill="auto"/>
            <w:vAlign w:val="center"/>
            <w:hideMark/>
          </w:tcPr>
          <w:p w:rsidR="000A22AE" w:rsidRPr="00DA7E4C" w:rsidRDefault="000A22AE" w:rsidP="000A22AE">
            <w:pPr>
              <w:spacing w:before="0" w:after="0" w:line="240" w:lineRule="auto"/>
              <w:jc w:val="center"/>
              <w:rPr>
                <w:rFonts w:eastAsia="Times New Roman" w:cs="Times New Roman"/>
                <w:sz w:val="18"/>
                <w:szCs w:val="18"/>
              </w:rPr>
            </w:pPr>
            <w:r w:rsidRPr="00DA7E4C">
              <w:rPr>
                <w:rFonts w:eastAsia="Times New Roman" w:cs="Times New Roman"/>
                <w:sz w:val="18"/>
                <w:szCs w:val="18"/>
              </w:rPr>
              <w:t>t-2</w:t>
            </w:r>
          </w:p>
        </w:tc>
        <w:tc>
          <w:tcPr>
            <w:tcW w:w="0" w:type="auto"/>
            <w:tcBorders>
              <w:top w:val="nil"/>
              <w:left w:val="nil"/>
              <w:bottom w:val="single" w:sz="8" w:space="0" w:color="auto"/>
              <w:right w:val="single" w:sz="8" w:space="0" w:color="auto"/>
            </w:tcBorders>
            <w:shd w:val="clear" w:color="auto" w:fill="auto"/>
            <w:vAlign w:val="center"/>
            <w:hideMark/>
          </w:tcPr>
          <w:p w:rsidR="000A22AE" w:rsidRPr="00DA7E4C" w:rsidRDefault="000A22AE" w:rsidP="000A22AE">
            <w:pPr>
              <w:spacing w:before="0" w:after="0" w:line="240" w:lineRule="auto"/>
              <w:jc w:val="center"/>
              <w:rPr>
                <w:rFonts w:eastAsia="Times New Roman" w:cs="Times New Roman"/>
                <w:sz w:val="18"/>
                <w:szCs w:val="18"/>
              </w:rPr>
            </w:pPr>
            <w:r w:rsidRPr="00DA7E4C">
              <w:rPr>
                <w:rFonts w:eastAsia="Times New Roman" w:cs="Times New Roman"/>
                <w:sz w:val="18"/>
                <w:szCs w:val="18"/>
              </w:rPr>
              <w:t>t-3</w:t>
            </w:r>
          </w:p>
        </w:tc>
        <w:tc>
          <w:tcPr>
            <w:tcW w:w="0" w:type="auto"/>
            <w:tcBorders>
              <w:top w:val="nil"/>
              <w:left w:val="nil"/>
              <w:bottom w:val="single" w:sz="8" w:space="0" w:color="auto"/>
              <w:right w:val="single" w:sz="8" w:space="0" w:color="auto"/>
            </w:tcBorders>
            <w:shd w:val="clear" w:color="auto" w:fill="auto"/>
            <w:vAlign w:val="center"/>
            <w:hideMark/>
          </w:tcPr>
          <w:p w:rsidR="000A22AE" w:rsidRPr="00DA7E4C" w:rsidRDefault="000A22AE" w:rsidP="000A22AE">
            <w:pPr>
              <w:spacing w:before="0" w:after="0" w:line="240" w:lineRule="auto"/>
              <w:jc w:val="center"/>
              <w:rPr>
                <w:rFonts w:eastAsia="Times New Roman" w:cs="Times New Roman"/>
                <w:sz w:val="18"/>
                <w:szCs w:val="18"/>
              </w:rPr>
            </w:pPr>
            <w:r w:rsidRPr="00DA7E4C">
              <w:rPr>
                <w:rFonts w:eastAsia="Times New Roman" w:cs="Times New Roman"/>
                <w:sz w:val="18"/>
                <w:szCs w:val="18"/>
              </w:rPr>
              <w:t>t-4</w:t>
            </w:r>
          </w:p>
        </w:tc>
        <w:tc>
          <w:tcPr>
            <w:tcW w:w="0" w:type="auto"/>
            <w:tcBorders>
              <w:top w:val="nil"/>
              <w:left w:val="nil"/>
              <w:bottom w:val="single" w:sz="8" w:space="0" w:color="auto"/>
              <w:right w:val="single" w:sz="8" w:space="0" w:color="auto"/>
            </w:tcBorders>
            <w:shd w:val="clear" w:color="auto" w:fill="auto"/>
            <w:vAlign w:val="center"/>
            <w:hideMark/>
          </w:tcPr>
          <w:p w:rsidR="000A22AE" w:rsidRPr="00DA7E4C" w:rsidRDefault="000A22AE" w:rsidP="000A22AE">
            <w:pPr>
              <w:spacing w:before="0" w:after="0" w:line="240" w:lineRule="auto"/>
              <w:jc w:val="center"/>
              <w:rPr>
                <w:rFonts w:eastAsia="Times New Roman" w:cs="Times New Roman"/>
                <w:sz w:val="18"/>
                <w:szCs w:val="18"/>
              </w:rPr>
            </w:pPr>
            <w:r w:rsidRPr="00DA7E4C">
              <w:rPr>
                <w:rFonts w:eastAsia="Times New Roman" w:cs="Times New Roman"/>
                <w:sz w:val="18"/>
                <w:szCs w:val="18"/>
              </w:rPr>
              <w:t>t-5</w:t>
            </w:r>
          </w:p>
        </w:tc>
        <w:tc>
          <w:tcPr>
            <w:tcW w:w="0" w:type="auto"/>
            <w:tcBorders>
              <w:top w:val="nil"/>
              <w:left w:val="nil"/>
              <w:bottom w:val="single" w:sz="8" w:space="0" w:color="auto"/>
              <w:right w:val="single" w:sz="8" w:space="0" w:color="auto"/>
            </w:tcBorders>
            <w:shd w:val="clear" w:color="auto" w:fill="auto"/>
            <w:vAlign w:val="center"/>
            <w:hideMark/>
          </w:tcPr>
          <w:p w:rsidR="000A22AE" w:rsidRPr="00DA7E4C" w:rsidRDefault="000A22AE" w:rsidP="000A22AE">
            <w:pPr>
              <w:spacing w:before="0" w:after="0" w:line="240" w:lineRule="auto"/>
              <w:jc w:val="center"/>
              <w:rPr>
                <w:rFonts w:eastAsia="Times New Roman" w:cs="Times New Roman"/>
                <w:sz w:val="18"/>
                <w:szCs w:val="18"/>
              </w:rPr>
            </w:pPr>
            <w:r w:rsidRPr="00DA7E4C">
              <w:rPr>
                <w:rFonts w:eastAsia="Times New Roman" w:cs="Times New Roman"/>
                <w:sz w:val="18"/>
                <w:szCs w:val="18"/>
              </w:rPr>
              <w:t>t-6</w:t>
            </w:r>
          </w:p>
        </w:tc>
        <w:tc>
          <w:tcPr>
            <w:tcW w:w="0" w:type="auto"/>
            <w:tcBorders>
              <w:top w:val="nil"/>
              <w:left w:val="nil"/>
              <w:bottom w:val="single" w:sz="8" w:space="0" w:color="auto"/>
              <w:right w:val="single" w:sz="8" w:space="0" w:color="auto"/>
            </w:tcBorders>
            <w:shd w:val="clear" w:color="auto" w:fill="auto"/>
            <w:vAlign w:val="center"/>
            <w:hideMark/>
          </w:tcPr>
          <w:p w:rsidR="000A22AE" w:rsidRPr="00DA7E4C" w:rsidRDefault="000A22AE" w:rsidP="000A22AE">
            <w:pPr>
              <w:spacing w:before="0" w:after="0" w:line="240" w:lineRule="auto"/>
              <w:jc w:val="center"/>
              <w:rPr>
                <w:rFonts w:eastAsia="Times New Roman" w:cs="Times New Roman"/>
                <w:sz w:val="18"/>
                <w:szCs w:val="18"/>
              </w:rPr>
            </w:pPr>
            <w:r w:rsidRPr="00DA7E4C">
              <w:rPr>
                <w:rFonts w:eastAsia="Times New Roman" w:cs="Times New Roman"/>
                <w:sz w:val="18"/>
                <w:szCs w:val="18"/>
              </w:rPr>
              <w:t>t-7</w:t>
            </w:r>
          </w:p>
        </w:tc>
        <w:tc>
          <w:tcPr>
            <w:tcW w:w="0" w:type="auto"/>
            <w:tcBorders>
              <w:top w:val="nil"/>
              <w:left w:val="nil"/>
              <w:bottom w:val="single" w:sz="8" w:space="0" w:color="auto"/>
              <w:right w:val="single" w:sz="8" w:space="0" w:color="auto"/>
            </w:tcBorders>
            <w:shd w:val="clear" w:color="auto" w:fill="auto"/>
            <w:vAlign w:val="center"/>
            <w:hideMark/>
          </w:tcPr>
          <w:p w:rsidR="000A22AE" w:rsidRPr="00DA7E4C" w:rsidRDefault="000A22AE" w:rsidP="000A22AE">
            <w:pPr>
              <w:spacing w:before="0" w:after="0" w:line="240" w:lineRule="auto"/>
              <w:jc w:val="center"/>
              <w:rPr>
                <w:rFonts w:eastAsia="Times New Roman" w:cs="Times New Roman"/>
                <w:sz w:val="18"/>
                <w:szCs w:val="18"/>
              </w:rPr>
            </w:pPr>
            <w:r w:rsidRPr="00DA7E4C">
              <w:rPr>
                <w:rFonts w:eastAsia="Times New Roman" w:cs="Times New Roman"/>
                <w:sz w:val="18"/>
                <w:szCs w:val="18"/>
              </w:rPr>
              <w:t>t-8</w:t>
            </w:r>
          </w:p>
        </w:tc>
        <w:tc>
          <w:tcPr>
            <w:tcW w:w="0" w:type="auto"/>
            <w:tcBorders>
              <w:top w:val="single" w:sz="8" w:space="0" w:color="auto"/>
              <w:left w:val="nil"/>
              <w:bottom w:val="single" w:sz="8" w:space="0" w:color="auto"/>
              <w:right w:val="single" w:sz="8" w:space="0" w:color="auto"/>
            </w:tcBorders>
            <w:shd w:val="clear" w:color="auto" w:fill="auto"/>
            <w:vAlign w:val="center"/>
            <w:hideMark/>
          </w:tcPr>
          <w:p w:rsidR="000A22AE" w:rsidRPr="00DA7E4C" w:rsidRDefault="000A22AE" w:rsidP="000A22AE">
            <w:pPr>
              <w:spacing w:before="0" w:after="0" w:line="240" w:lineRule="auto"/>
              <w:jc w:val="center"/>
              <w:rPr>
                <w:rFonts w:eastAsia="Times New Roman" w:cs="Times New Roman"/>
                <w:sz w:val="18"/>
                <w:szCs w:val="18"/>
              </w:rPr>
            </w:pPr>
            <w:r w:rsidRPr="00DA7E4C">
              <w:rPr>
                <w:rFonts w:eastAsia="Times New Roman" w:cs="Times New Roman"/>
                <w:sz w:val="18"/>
                <w:szCs w:val="18"/>
              </w:rPr>
              <w:t>AR</w:t>
            </w:r>
          </w:p>
        </w:tc>
        <w:tc>
          <w:tcPr>
            <w:tcW w:w="0" w:type="auto"/>
            <w:tcBorders>
              <w:top w:val="single" w:sz="8" w:space="0" w:color="auto"/>
              <w:left w:val="nil"/>
              <w:bottom w:val="single" w:sz="8" w:space="0" w:color="auto"/>
              <w:right w:val="single" w:sz="4" w:space="0" w:color="auto"/>
            </w:tcBorders>
            <w:shd w:val="clear" w:color="auto" w:fill="auto"/>
            <w:noWrap/>
            <w:vAlign w:val="center"/>
            <w:hideMark/>
          </w:tcPr>
          <w:p w:rsidR="000A22AE" w:rsidRPr="00DA7E4C" w:rsidRDefault="000A22AE" w:rsidP="000A22AE">
            <w:pPr>
              <w:spacing w:before="0" w:after="0" w:line="240" w:lineRule="auto"/>
              <w:jc w:val="center"/>
              <w:rPr>
                <w:rFonts w:eastAsia="Times New Roman" w:cs="Times New Roman"/>
                <w:sz w:val="18"/>
                <w:szCs w:val="18"/>
              </w:rPr>
            </w:pPr>
            <w:r w:rsidRPr="00DA7E4C">
              <w:rPr>
                <w:rFonts w:eastAsia="Times New Roman" w:cs="Times New Roman"/>
                <w:sz w:val="18"/>
                <w:szCs w:val="18"/>
              </w:rPr>
              <w:t>F Value</w:t>
            </w:r>
          </w:p>
        </w:tc>
        <w:tc>
          <w:tcPr>
            <w:tcW w:w="0" w:type="auto"/>
            <w:vMerge/>
            <w:tcBorders>
              <w:left w:val="single" w:sz="4" w:space="0" w:color="auto"/>
              <w:bottom w:val="single" w:sz="4" w:space="0" w:color="auto"/>
              <w:right w:val="single" w:sz="4" w:space="0" w:color="auto"/>
            </w:tcBorders>
            <w:shd w:val="clear" w:color="auto" w:fill="auto"/>
            <w:noWrap/>
            <w:vAlign w:val="center"/>
            <w:hideMark/>
          </w:tcPr>
          <w:p w:rsidR="000A22AE" w:rsidRPr="00DA7E4C" w:rsidRDefault="000A22AE" w:rsidP="000A22AE">
            <w:pPr>
              <w:spacing w:before="0" w:after="0" w:line="240" w:lineRule="auto"/>
              <w:jc w:val="center"/>
              <w:rPr>
                <w:rFonts w:eastAsia="Times New Roman" w:cs="Times New Roman"/>
                <w:sz w:val="18"/>
                <w:szCs w:val="18"/>
              </w:rPr>
            </w:pPr>
          </w:p>
        </w:tc>
        <w:tc>
          <w:tcPr>
            <w:tcW w:w="0" w:type="auto"/>
            <w:tcBorders>
              <w:top w:val="single" w:sz="8" w:space="0" w:color="auto"/>
              <w:left w:val="single" w:sz="4" w:space="0" w:color="auto"/>
              <w:bottom w:val="single" w:sz="8" w:space="0" w:color="auto"/>
              <w:right w:val="single" w:sz="8" w:space="0" w:color="auto"/>
            </w:tcBorders>
            <w:shd w:val="clear" w:color="auto" w:fill="auto"/>
            <w:noWrap/>
            <w:vAlign w:val="center"/>
            <w:hideMark/>
          </w:tcPr>
          <w:p w:rsidR="000A22AE" w:rsidRPr="00DA7E4C" w:rsidRDefault="000A22AE" w:rsidP="000A22AE">
            <w:pPr>
              <w:spacing w:before="0" w:after="0" w:line="240" w:lineRule="auto"/>
              <w:jc w:val="center"/>
              <w:rPr>
                <w:rFonts w:eastAsia="Times New Roman" w:cs="Times New Roman"/>
                <w:sz w:val="18"/>
                <w:szCs w:val="18"/>
              </w:rPr>
            </w:pPr>
            <w:r w:rsidRPr="00DA7E4C">
              <w:rPr>
                <w:rFonts w:eastAsia="Times New Roman" w:cs="Times New Roman"/>
                <w:sz w:val="18"/>
                <w:szCs w:val="18"/>
              </w:rPr>
              <w:t>DW</w:t>
            </w:r>
          </w:p>
        </w:tc>
        <w:tc>
          <w:tcPr>
            <w:tcW w:w="0" w:type="auto"/>
            <w:tcBorders>
              <w:top w:val="single" w:sz="8" w:space="0" w:color="auto"/>
              <w:left w:val="nil"/>
              <w:bottom w:val="single" w:sz="8" w:space="0" w:color="auto"/>
              <w:right w:val="single" w:sz="8" w:space="0" w:color="auto"/>
            </w:tcBorders>
            <w:shd w:val="clear" w:color="auto" w:fill="auto"/>
            <w:vAlign w:val="center"/>
            <w:hideMark/>
          </w:tcPr>
          <w:p w:rsidR="000A22AE" w:rsidRPr="00DA7E4C" w:rsidRDefault="000A22AE" w:rsidP="000A22AE">
            <w:pPr>
              <w:spacing w:before="0" w:after="0" w:line="240" w:lineRule="auto"/>
              <w:jc w:val="center"/>
              <w:rPr>
                <w:rFonts w:eastAsia="Times New Roman" w:cs="Times New Roman"/>
                <w:color w:val="000000"/>
                <w:sz w:val="18"/>
                <w:szCs w:val="18"/>
              </w:rPr>
            </w:pPr>
            <w:r w:rsidRPr="00DA7E4C">
              <w:rPr>
                <w:rFonts w:eastAsia="Times New Roman" w:cs="Times New Roman"/>
                <w:color w:val="000000"/>
                <w:sz w:val="18"/>
                <w:szCs w:val="18"/>
              </w:rPr>
              <w:t>Akaike</w:t>
            </w:r>
          </w:p>
        </w:tc>
      </w:tr>
      <w:tr w:rsidR="000A22AE" w:rsidRPr="00DA7E4C" w:rsidTr="000A22AE">
        <w:trPr>
          <w:trHeight w:val="240"/>
        </w:trPr>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center"/>
              <w:rPr>
                <w:rFonts w:eastAsia="Times New Roman" w:cs="Times New Roman"/>
                <w:sz w:val="18"/>
                <w:szCs w:val="18"/>
              </w:rPr>
            </w:pPr>
            <w:r w:rsidRPr="00DA7E4C">
              <w:rPr>
                <w:rFonts w:eastAsia="Times New Roman" w:cs="Times New Roman"/>
                <w:sz w:val="18"/>
                <w:szCs w:val="18"/>
              </w:rPr>
              <w:t>1</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-14.153</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120.415</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84.041</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119.950</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76.567</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-80.347</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-48.623</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43.099</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69.534</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88.513</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0.736</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54.690</w:t>
            </w:r>
          </w:p>
        </w:tc>
        <w:tc>
          <w:tcPr>
            <w:tcW w:w="0" w:type="auto"/>
            <w:tcBorders>
              <w:top w:val="single" w:sz="4" w:space="0" w:color="auto"/>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0.793</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1.381</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18.393</w:t>
            </w:r>
          </w:p>
        </w:tc>
      </w:tr>
      <w:tr w:rsidR="000A22AE" w:rsidRPr="00DA7E4C" w:rsidTr="000A22AE">
        <w:trPr>
          <w:trHeight w:val="240"/>
        </w:trPr>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center"/>
              <w:rPr>
                <w:rFonts w:eastAsia="Times New Roman" w:cs="Times New Roman"/>
                <w:b/>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b/>
                <w:color w:val="000000"/>
                <w:sz w:val="18"/>
                <w:szCs w:val="18"/>
              </w:rPr>
            </w:pPr>
            <w:r w:rsidRPr="00DA7E4C">
              <w:rPr>
                <w:rFonts w:eastAsia="Times New Roman" w:cs="Times New Roman"/>
                <w:b/>
                <w:color w:val="000000"/>
                <w:sz w:val="18"/>
                <w:szCs w:val="18"/>
              </w:rPr>
              <w:t>0.984</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b/>
                <w:color w:val="000000"/>
                <w:sz w:val="18"/>
                <w:szCs w:val="18"/>
              </w:rPr>
            </w:pPr>
            <w:r w:rsidRPr="00DA7E4C">
              <w:rPr>
                <w:rFonts w:eastAsia="Times New Roman" w:cs="Times New Roman"/>
                <w:b/>
                <w:color w:val="000000"/>
                <w:sz w:val="18"/>
                <w:szCs w:val="18"/>
              </w:rPr>
              <w:t>0.000</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b/>
                <w:color w:val="000000"/>
                <w:sz w:val="18"/>
                <w:szCs w:val="18"/>
              </w:rPr>
            </w:pPr>
            <w:r w:rsidRPr="00DA7E4C">
              <w:rPr>
                <w:rFonts w:eastAsia="Times New Roman" w:cs="Times New Roman"/>
                <w:b/>
                <w:color w:val="000000"/>
                <w:sz w:val="18"/>
                <w:szCs w:val="18"/>
              </w:rPr>
              <w:t>0.004</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b/>
                <w:color w:val="000000"/>
                <w:sz w:val="18"/>
                <w:szCs w:val="18"/>
              </w:rPr>
            </w:pPr>
            <w:r w:rsidRPr="00DA7E4C">
              <w:rPr>
                <w:rFonts w:eastAsia="Times New Roman" w:cs="Times New Roman"/>
                <w:b/>
                <w:color w:val="000000"/>
                <w:sz w:val="18"/>
                <w:szCs w:val="18"/>
              </w:rPr>
              <w:t>0.000</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b/>
                <w:color w:val="000000"/>
                <w:sz w:val="18"/>
                <w:szCs w:val="18"/>
              </w:rPr>
            </w:pPr>
            <w:r w:rsidRPr="00DA7E4C">
              <w:rPr>
                <w:rFonts w:eastAsia="Times New Roman" w:cs="Times New Roman"/>
                <w:b/>
                <w:color w:val="000000"/>
                <w:sz w:val="18"/>
                <w:szCs w:val="18"/>
              </w:rPr>
              <w:t>0.007</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b/>
                <w:color w:val="000000"/>
                <w:sz w:val="18"/>
                <w:szCs w:val="18"/>
              </w:rPr>
            </w:pPr>
            <w:r w:rsidRPr="00DA7E4C">
              <w:rPr>
                <w:rFonts w:eastAsia="Times New Roman" w:cs="Times New Roman"/>
                <w:b/>
                <w:color w:val="000000"/>
                <w:sz w:val="18"/>
                <w:szCs w:val="18"/>
              </w:rPr>
              <w:t>0.002</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b/>
                <w:color w:val="000000"/>
                <w:sz w:val="18"/>
                <w:szCs w:val="18"/>
              </w:rPr>
            </w:pPr>
            <w:r w:rsidRPr="00DA7E4C">
              <w:rPr>
                <w:rFonts w:eastAsia="Times New Roman" w:cs="Times New Roman"/>
                <w:b/>
                <w:color w:val="000000"/>
                <w:sz w:val="18"/>
                <w:szCs w:val="18"/>
              </w:rPr>
              <w:t>0.084</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b/>
                <w:color w:val="000000"/>
                <w:sz w:val="18"/>
                <w:szCs w:val="18"/>
              </w:rPr>
            </w:pPr>
            <w:r w:rsidRPr="00DA7E4C">
              <w:rPr>
                <w:rFonts w:eastAsia="Times New Roman" w:cs="Times New Roman"/>
                <w:b/>
                <w:color w:val="000000"/>
                <w:sz w:val="18"/>
                <w:szCs w:val="18"/>
              </w:rPr>
              <w:t>0.035</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b/>
                <w:color w:val="000000"/>
                <w:sz w:val="18"/>
                <w:szCs w:val="18"/>
              </w:rPr>
            </w:pPr>
            <w:r w:rsidRPr="00DA7E4C">
              <w:rPr>
                <w:rFonts w:eastAsia="Times New Roman" w:cs="Times New Roman"/>
                <w:b/>
                <w:color w:val="000000"/>
                <w:sz w:val="18"/>
                <w:szCs w:val="18"/>
              </w:rPr>
              <w:t>0.001</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b/>
                <w:color w:val="000000"/>
                <w:sz w:val="18"/>
                <w:szCs w:val="18"/>
              </w:rPr>
            </w:pPr>
            <w:r w:rsidRPr="00DA7E4C">
              <w:rPr>
                <w:rFonts w:eastAsia="Times New Roman" w:cs="Times New Roman"/>
                <w:b/>
                <w:color w:val="000000"/>
                <w:sz w:val="18"/>
                <w:szCs w:val="18"/>
              </w:rPr>
              <w:t>0.000</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b/>
                <w:color w:val="000000"/>
                <w:sz w:val="18"/>
                <w:szCs w:val="18"/>
              </w:rPr>
            </w:pPr>
            <w:r w:rsidRPr="00DA7E4C">
              <w:rPr>
                <w:rFonts w:eastAsia="Times New Roman" w:cs="Times New Roman"/>
                <w:b/>
                <w:color w:val="000000"/>
                <w:sz w:val="18"/>
                <w:szCs w:val="18"/>
              </w:rPr>
              <w:t>0.000</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b/>
                <w:color w:val="000000"/>
                <w:sz w:val="18"/>
                <w:szCs w:val="18"/>
              </w:rPr>
            </w:pPr>
            <w:r w:rsidRPr="00DA7E4C">
              <w:rPr>
                <w:rFonts w:eastAsia="Times New Roman" w:cs="Times New Roman"/>
                <w:b/>
                <w:color w:val="000000"/>
                <w:sz w:val="18"/>
                <w:szCs w:val="18"/>
              </w:rPr>
              <w:t>0.000</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b/>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b/>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b/>
                <w:color w:val="000000"/>
                <w:sz w:val="18"/>
                <w:szCs w:val="18"/>
              </w:rPr>
            </w:pPr>
          </w:p>
        </w:tc>
      </w:tr>
      <w:tr w:rsidR="000A22AE" w:rsidRPr="00DA7E4C" w:rsidTr="000A22AE">
        <w:trPr>
          <w:trHeight w:val="240"/>
        </w:trPr>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center"/>
              <w:rPr>
                <w:rFonts w:eastAsia="Times New Roman" w:cs="Times New Roman"/>
                <w:sz w:val="18"/>
                <w:szCs w:val="18"/>
              </w:rPr>
            </w:pPr>
            <w:r w:rsidRPr="00DA7E4C">
              <w:rPr>
                <w:rFonts w:eastAsia="Times New Roman" w:cs="Times New Roman"/>
                <w:sz w:val="18"/>
                <w:szCs w:val="18"/>
              </w:rPr>
              <w:t>2</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44.281</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145.886</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0.733</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161.671</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0.670</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1.252</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18.700</w:t>
            </w:r>
          </w:p>
        </w:tc>
      </w:tr>
      <w:tr w:rsidR="000A22AE" w:rsidRPr="00DA7E4C" w:rsidTr="000A22AE">
        <w:trPr>
          <w:trHeight w:val="240"/>
        </w:trPr>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center"/>
              <w:rPr>
                <w:rFonts w:eastAsia="Times New Roman" w:cs="Times New Roman"/>
                <w:b/>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b/>
                <w:color w:val="000000"/>
                <w:sz w:val="18"/>
                <w:szCs w:val="18"/>
              </w:rPr>
            </w:pPr>
            <w:r w:rsidRPr="00DA7E4C">
              <w:rPr>
                <w:rFonts w:eastAsia="Times New Roman" w:cs="Times New Roman"/>
                <w:b/>
                <w:color w:val="000000"/>
                <w:sz w:val="18"/>
                <w:szCs w:val="18"/>
              </w:rPr>
              <w:t>0.957</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b/>
                <w:color w:val="000000"/>
                <w:sz w:val="18"/>
                <w:szCs w:val="18"/>
              </w:rPr>
            </w:pPr>
            <w:r w:rsidRPr="00DA7E4C">
              <w:rPr>
                <w:rFonts w:eastAsia="Times New Roman" w:cs="Times New Roman"/>
                <w:b/>
                <w:color w:val="000000"/>
                <w:sz w:val="18"/>
                <w:szCs w:val="18"/>
              </w:rPr>
              <w:t>0.000</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b/>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b/>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b/>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b/>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b/>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b/>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b/>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b/>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b/>
                <w:color w:val="000000"/>
                <w:sz w:val="18"/>
                <w:szCs w:val="18"/>
              </w:rPr>
            </w:pPr>
            <w:r w:rsidRPr="00DA7E4C">
              <w:rPr>
                <w:rFonts w:eastAsia="Times New Roman" w:cs="Times New Roman"/>
                <w:b/>
                <w:color w:val="000000"/>
                <w:sz w:val="18"/>
                <w:szCs w:val="18"/>
              </w:rPr>
              <w:t>0.000</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b/>
                <w:color w:val="000000"/>
                <w:sz w:val="18"/>
                <w:szCs w:val="18"/>
              </w:rPr>
            </w:pPr>
            <w:r w:rsidRPr="00DA7E4C">
              <w:rPr>
                <w:rFonts w:eastAsia="Times New Roman" w:cs="Times New Roman"/>
                <w:b/>
                <w:color w:val="000000"/>
                <w:sz w:val="18"/>
                <w:szCs w:val="18"/>
              </w:rPr>
              <w:t>0.000</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b/>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b/>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b/>
                <w:color w:val="000000"/>
                <w:sz w:val="18"/>
                <w:szCs w:val="18"/>
              </w:rPr>
            </w:pPr>
          </w:p>
        </w:tc>
      </w:tr>
      <w:tr w:rsidR="000A22AE" w:rsidRPr="00DA7E4C" w:rsidTr="000A22AE">
        <w:trPr>
          <w:trHeight w:val="240"/>
        </w:trPr>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center"/>
              <w:rPr>
                <w:rFonts w:eastAsia="Times New Roman" w:cs="Times New Roman"/>
                <w:sz w:val="18"/>
                <w:szCs w:val="18"/>
              </w:rPr>
            </w:pPr>
            <w:r w:rsidRPr="00DA7E4C">
              <w:rPr>
                <w:rFonts w:eastAsia="Times New Roman" w:cs="Times New Roman"/>
                <w:sz w:val="18"/>
                <w:szCs w:val="18"/>
              </w:rPr>
              <w:t>3</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107.417</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73.264</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0.758</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140.495</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0.640</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1.380</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18.795</w:t>
            </w:r>
          </w:p>
        </w:tc>
      </w:tr>
      <w:tr w:rsidR="000A22AE" w:rsidRPr="00DA7E4C" w:rsidTr="000A22AE">
        <w:trPr>
          <w:trHeight w:val="240"/>
        </w:trPr>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center"/>
              <w:rPr>
                <w:rFonts w:eastAsia="Times New Roman" w:cs="Times New Roman"/>
                <w:b/>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b/>
                <w:color w:val="000000"/>
                <w:sz w:val="18"/>
                <w:szCs w:val="18"/>
              </w:rPr>
            </w:pPr>
            <w:r w:rsidRPr="00DA7E4C">
              <w:rPr>
                <w:rFonts w:eastAsia="Times New Roman" w:cs="Times New Roman"/>
                <w:b/>
                <w:color w:val="000000"/>
                <w:sz w:val="18"/>
                <w:szCs w:val="18"/>
              </w:rPr>
              <w:t>0.909</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b/>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b/>
                <w:color w:val="000000"/>
                <w:sz w:val="18"/>
                <w:szCs w:val="18"/>
              </w:rPr>
            </w:pPr>
            <w:r w:rsidRPr="00DA7E4C">
              <w:rPr>
                <w:rFonts w:eastAsia="Times New Roman" w:cs="Times New Roman"/>
                <w:b/>
                <w:color w:val="000000"/>
                <w:sz w:val="18"/>
                <w:szCs w:val="18"/>
              </w:rPr>
              <w:t>0.014</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b/>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b/>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b/>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b/>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b/>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b/>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b/>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b/>
                <w:color w:val="000000"/>
                <w:sz w:val="18"/>
                <w:szCs w:val="18"/>
              </w:rPr>
            </w:pPr>
            <w:r w:rsidRPr="00DA7E4C">
              <w:rPr>
                <w:rFonts w:eastAsia="Times New Roman" w:cs="Times New Roman"/>
                <w:b/>
                <w:color w:val="000000"/>
                <w:sz w:val="18"/>
                <w:szCs w:val="18"/>
              </w:rPr>
              <w:t>0.000</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b/>
                <w:color w:val="000000"/>
                <w:sz w:val="18"/>
                <w:szCs w:val="18"/>
              </w:rPr>
            </w:pPr>
            <w:r w:rsidRPr="00DA7E4C">
              <w:rPr>
                <w:rFonts w:eastAsia="Times New Roman" w:cs="Times New Roman"/>
                <w:b/>
                <w:color w:val="000000"/>
                <w:sz w:val="18"/>
                <w:szCs w:val="18"/>
              </w:rPr>
              <w:t>0.000</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b/>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b/>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b/>
                <w:color w:val="000000"/>
                <w:sz w:val="18"/>
                <w:szCs w:val="18"/>
              </w:rPr>
            </w:pPr>
          </w:p>
        </w:tc>
      </w:tr>
      <w:tr w:rsidR="000A22AE" w:rsidRPr="00DA7E4C" w:rsidTr="000A22AE">
        <w:trPr>
          <w:trHeight w:val="240"/>
        </w:trPr>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center"/>
              <w:rPr>
                <w:rFonts w:eastAsia="Times New Roman" w:cs="Times New Roman"/>
                <w:sz w:val="18"/>
                <w:szCs w:val="18"/>
              </w:rPr>
            </w:pPr>
            <w:r w:rsidRPr="00DA7E4C">
              <w:rPr>
                <w:rFonts w:eastAsia="Times New Roman" w:cs="Times New Roman"/>
                <w:sz w:val="18"/>
                <w:szCs w:val="18"/>
              </w:rPr>
              <w:t>4</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136.306</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80.409</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0.776</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142.864</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0.645</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1.211</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18.786</w:t>
            </w:r>
          </w:p>
        </w:tc>
      </w:tr>
      <w:tr w:rsidR="000A22AE" w:rsidRPr="00DA7E4C" w:rsidTr="000A22AE">
        <w:trPr>
          <w:trHeight w:val="240"/>
        </w:trPr>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center"/>
              <w:rPr>
                <w:rFonts w:eastAsia="Times New Roman" w:cs="Times New Roman"/>
                <w:b/>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b/>
                <w:color w:val="000000"/>
                <w:sz w:val="18"/>
                <w:szCs w:val="18"/>
              </w:rPr>
            </w:pPr>
            <w:r w:rsidRPr="00DA7E4C">
              <w:rPr>
                <w:rFonts w:eastAsia="Times New Roman" w:cs="Times New Roman"/>
                <w:b/>
                <w:color w:val="000000"/>
                <w:sz w:val="18"/>
                <w:szCs w:val="18"/>
              </w:rPr>
              <w:t>0.893</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b/>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b/>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b/>
                <w:color w:val="000000"/>
                <w:sz w:val="18"/>
                <w:szCs w:val="18"/>
              </w:rPr>
            </w:pPr>
            <w:r w:rsidRPr="00DA7E4C">
              <w:rPr>
                <w:rFonts w:eastAsia="Times New Roman" w:cs="Times New Roman"/>
                <w:b/>
                <w:color w:val="000000"/>
                <w:sz w:val="18"/>
                <w:szCs w:val="18"/>
              </w:rPr>
              <w:t>0.006</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b/>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b/>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b/>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b/>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b/>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b/>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b/>
                <w:color w:val="000000"/>
                <w:sz w:val="18"/>
                <w:szCs w:val="18"/>
              </w:rPr>
            </w:pPr>
            <w:r w:rsidRPr="00DA7E4C">
              <w:rPr>
                <w:rFonts w:eastAsia="Times New Roman" w:cs="Times New Roman"/>
                <w:b/>
                <w:color w:val="000000"/>
                <w:sz w:val="18"/>
                <w:szCs w:val="18"/>
              </w:rPr>
              <w:t>0.000</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b/>
                <w:color w:val="000000"/>
                <w:sz w:val="18"/>
                <w:szCs w:val="18"/>
              </w:rPr>
            </w:pPr>
            <w:r w:rsidRPr="00DA7E4C">
              <w:rPr>
                <w:rFonts w:eastAsia="Times New Roman" w:cs="Times New Roman"/>
                <w:b/>
                <w:color w:val="000000"/>
                <w:sz w:val="18"/>
                <w:szCs w:val="18"/>
              </w:rPr>
              <w:t>0.000</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b/>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b/>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b/>
                <w:color w:val="000000"/>
                <w:sz w:val="18"/>
                <w:szCs w:val="18"/>
              </w:rPr>
            </w:pPr>
          </w:p>
        </w:tc>
      </w:tr>
      <w:tr w:rsidR="000A22AE" w:rsidRPr="00DA7E4C" w:rsidTr="000A22AE">
        <w:trPr>
          <w:trHeight w:val="240"/>
        </w:trPr>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center"/>
              <w:rPr>
                <w:rFonts w:eastAsia="Times New Roman" w:cs="Times New Roman"/>
                <w:sz w:val="18"/>
                <w:szCs w:val="18"/>
              </w:rPr>
            </w:pPr>
            <w:r w:rsidRPr="00DA7E4C">
              <w:rPr>
                <w:rFonts w:eastAsia="Times New Roman" w:cs="Times New Roman"/>
                <w:sz w:val="18"/>
                <w:szCs w:val="18"/>
              </w:rPr>
              <w:t>5</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129.781</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-15.096</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0.794</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131.083</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0.627</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1.200</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18.844</w:t>
            </w:r>
          </w:p>
        </w:tc>
      </w:tr>
      <w:tr w:rsidR="000A22AE" w:rsidRPr="00DA7E4C" w:rsidTr="000A22AE">
        <w:trPr>
          <w:trHeight w:val="240"/>
        </w:trPr>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center"/>
              <w:rPr>
                <w:rFonts w:eastAsia="Times New Roman" w:cs="Times New Roman"/>
                <w:b/>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b/>
                <w:color w:val="000000"/>
                <w:sz w:val="18"/>
                <w:szCs w:val="18"/>
              </w:rPr>
            </w:pPr>
            <w:r w:rsidRPr="00DA7E4C">
              <w:rPr>
                <w:rFonts w:eastAsia="Times New Roman" w:cs="Times New Roman"/>
                <w:b/>
                <w:color w:val="000000"/>
                <w:sz w:val="18"/>
                <w:szCs w:val="18"/>
              </w:rPr>
              <w:t>0.909</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b/>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b/>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b/>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b/>
                <w:color w:val="000000"/>
                <w:sz w:val="18"/>
                <w:szCs w:val="18"/>
              </w:rPr>
            </w:pPr>
            <w:r w:rsidRPr="00DA7E4C">
              <w:rPr>
                <w:rFonts w:eastAsia="Times New Roman" w:cs="Times New Roman"/>
                <w:b/>
                <w:color w:val="000000"/>
                <w:sz w:val="18"/>
                <w:szCs w:val="18"/>
              </w:rPr>
              <w:t>0.608</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b/>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b/>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b/>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b/>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b/>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b/>
                <w:color w:val="000000"/>
                <w:sz w:val="18"/>
                <w:szCs w:val="18"/>
              </w:rPr>
            </w:pPr>
            <w:r w:rsidRPr="00DA7E4C">
              <w:rPr>
                <w:rFonts w:eastAsia="Times New Roman" w:cs="Times New Roman"/>
                <w:b/>
                <w:color w:val="000000"/>
                <w:sz w:val="18"/>
                <w:szCs w:val="18"/>
              </w:rPr>
              <w:t>0.000</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b/>
                <w:color w:val="000000"/>
                <w:sz w:val="18"/>
                <w:szCs w:val="18"/>
              </w:rPr>
            </w:pPr>
            <w:r w:rsidRPr="00DA7E4C">
              <w:rPr>
                <w:rFonts w:eastAsia="Times New Roman" w:cs="Times New Roman"/>
                <w:b/>
                <w:color w:val="000000"/>
                <w:sz w:val="18"/>
                <w:szCs w:val="18"/>
              </w:rPr>
              <w:t>0.000</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b/>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b/>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b/>
                <w:color w:val="000000"/>
                <w:sz w:val="18"/>
                <w:szCs w:val="18"/>
              </w:rPr>
            </w:pPr>
          </w:p>
        </w:tc>
      </w:tr>
      <w:tr w:rsidR="000A22AE" w:rsidRPr="00DA7E4C" w:rsidTr="000A22AE">
        <w:trPr>
          <w:trHeight w:val="240"/>
        </w:trPr>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center"/>
              <w:rPr>
                <w:rFonts w:eastAsia="Times New Roman" w:cs="Times New Roman"/>
                <w:sz w:val="18"/>
                <w:szCs w:val="18"/>
              </w:rPr>
            </w:pPr>
            <w:r w:rsidRPr="00DA7E4C">
              <w:rPr>
                <w:rFonts w:eastAsia="Times New Roman" w:cs="Times New Roman"/>
                <w:sz w:val="18"/>
                <w:szCs w:val="18"/>
              </w:rPr>
              <w:t>6</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63.760</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-79.617</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0.798</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140.668</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0.645</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1.339</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18.801</w:t>
            </w:r>
          </w:p>
        </w:tc>
      </w:tr>
      <w:tr w:rsidR="000A22AE" w:rsidRPr="00DA7E4C" w:rsidTr="000A22AE">
        <w:trPr>
          <w:trHeight w:val="240"/>
        </w:trPr>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center"/>
              <w:rPr>
                <w:rFonts w:eastAsia="Times New Roman" w:cs="Times New Roman"/>
                <w:b/>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b/>
                <w:color w:val="000000"/>
                <w:sz w:val="18"/>
                <w:szCs w:val="18"/>
              </w:rPr>
            </w:pPr>
            <w:r w:rsidRPr="00DA7E4C">
              <w:rPr>
                <w:rFonts w:eastAsia="Times New Roman" w:cs="Times New Roman"/>
                <w:b/>
                <w:color w:val="000000"/>
                <w:sz w:val="18"/>
                <w:szCs w:val="18"/>
              </w:rPr>
              <w:t>0.956</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b/>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b/>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b/>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b/>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b/>
                <w:color w:val="000000"/>
                <w:sz w:val="18"/>
                <w:szCs w:val="18"/>
              </w:rPr>
            </w:pPr>
            <w:r w:rsidRPr="00DA7E4C">
              <w:rPr>
                <w:rFonts w:eastAsia="Times New Roman" w:cs="Times New Roman"/>
                <w:b/>
                <w:color w:val="000000"/>
                <w:sz w:val="18"/>
                <w:szCs w:val="18"/>
              </w:rPr>
              <w:t>0.006</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b/>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b/>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b/>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b/>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b/>
                <w:color w:val="000000"/>
                <w:sz w:val="18"/>
                <w:szCs w:val="18"/>
              </w:rPr>
            </w:pPr>
            <w:r w:rsidRPr="00DA7E4C">
              <w:rPr>
                <w:rFonts w:eastAsia="Times New Roman" w:cs="Times New Roman"/>
                <w:b/>
                <w:color w:val="000000"/>
                <w:sz w:val="18"/>
                <w:szCs w:val="18"/>
              </w:rPr>
              <w:t>0.000</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b/>
                <w:color w:val="000000"/>
                <w:sz w:val="18"/>
                <w:szCs w:val="18"/>
              </w:rPr>
            </w:pPr>
            <w:r w:rsidRPr="00DA7E4C">
              <w:rPr>
                <w:rFonts w:eastAsia="Times New Roman" w:cs="Times New Roman"/>
                <w:b/>
                <w:color w:val="000000"/>
                <w:sz w:val="18"/>
                <w:szCs w:val="18"/>
              </w:rPr>
              <w:t>0.000</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b/>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b/>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b/>
                <w:color w:val="000000"/>
                <w:sz w:val="18"/>
                <w:szCs w:val="18"/>
              </w:rPr>
            </w:pPr>
          </w:p>
        </w:tc>
      </w:tr>
      <w:tr w:rsidR="000A22AE" w:rsidRPr="00DA7E4C" w:rsidTr="000A22AE">
        <w:trPr>
          <w:trHeight w:val="240"/>
        </w:trPr>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center"/>
              <w:rPr>
                <w:rFonts w:eastAsia="Times New Roman" w:cs="Times New Roman"/>
                <w:sz w:val="18"/>
                <w:szCs w:val="18"/>
              </w:rPr>
            </w:pPr>
            <w:r w:rsidRPr="00DA7E4C">
              <w:rPr>
                <w:rFonts w:eastAsia="Times New Roman" w:cs="Times New Roman"/>
                <w:sz w:val="18"/>
                <w:szCs w:val="18"/>
              </w:rPr>
              <w:t>7</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-11.834</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-126.886</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0.801</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154.774</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0.668</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1.376</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18.741</w:t>
            </w:r>
          </w:p>
        </w:tc>
      </w:tr>
      <w:tr w:rsidR="000A22AE" w:rsidRPr="00DA7E4C" w:rsidTr="000A22AE">
        <w:trPr>
          <w:trHeight w:val="240"/>
        </w:trPr>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center"/>
              <w:rPr>
                <w:rFonts w:eastAsia="Times New Roman" w:cs="Times New Roman"/>
                <w:b/>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b/>
                <w:color w:val="000000"/>
                <w:sz w:val="18"/>
                <w:szCs w:val="18"/>
              </w:rPr>
            </w:pPr>
            <w:r w:rsidRPr="00DA7E4C">
              <w:rPr>
                <w:rFonts w:eastAsia="Times New Roman" w:cs="Times New Roman"/>
                <w:b/>
                <w:color w:val="000000"/>
                <w:sz w:val="18"/>
                <w:szCs w:val="18"/>
              </w:rPr>
              <w:t>0.992</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b/>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b/>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b/>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b/>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b/>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b/>
                <w:color w:val="000000"/>
                <w:sz w:val="18"/>
                <w:szCs w:val="18"/>
              </w:rPr>
            </w:pPr>
            <w:r w:rsidRPr="00DA7E4C">
              <w:rPr>
                <w:rFonts w:eastAsia="Times New Roman" w:cs="Times New Roman"/>
                <w:b/>
                <w:color w:val="000000"/>
                <w:sz w:val="18"/>
                <w:szCs w:val="18"/>
              </w:rPr>
              <w:t>0.000</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b/>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b/>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b/>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b/>
                <w:color w:val="000000"/>
                <w:sz w:val="18"/>
                <w:szCs w:val="18"/>
              </w:rPr>
            </w:pPr>
            <w:r w:rsidRPr="00DA7E4C">
              <w:rPr>
                <w:rFonts w:eastAsia="Times New Roman" w:cs="Times New Roman"/>
                <w:b/>
                <w:color w:val="000000"/>
                <w:sz w:val="18"/>
                <w:szCs w:val="18"/>
              </w:rPr>
              <w:t>0.000</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b/>
                <w:color w:val="000000"/>
                <w:sz w:val="18"/>
                <w:szCs w:val="18"/>
              </w:rPr>
            </w:pPr>
            <w:r w:rsidRPr="00DA7E4C">
              <w:rPr>
                <w:rFonts w:eastAsia="Times New Roman" w:cs="Times New Roman"/>
                <w:b/>
                <w:color w:val="000000"/>
                <w:sz w:val="18"/>
                <w:szCs w:val="18"/>
              </w:rPr>
              <w:t>0.000</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b/>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b/>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b/>
                <w:color w:val="000000"/>
                <w:sz w:val="18"/>
                <w:szCs w:val="18"/>
              </w:rPr>
            </w:pPr>
          </w:p>
        </w:tc>
      </w:tr>
      <w:tr w:rsidR="000A22AE" w:rsidRPr="00DA7E4C" w:rsidTr="000A22AE">
        <w:trPr>
          <w:trHeight w:val="240"/>
        </w:trPr>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center"/>
              <w:rPr>
                <w:rFonts w:eastAsia="Times New Roman" w:cs="Times New Roman"/>
                <w:sz w:val="18"/>
                <w:szCs w:val="18"/>
              </w:rPr>
            </w:pPr>
            <w:r w:rsidRPr="00DA7E4C">
              <w:rPr>
                <w:rFonts w:eastAsia="Times New Roman" w:cs="Times New Roman"/>
                <w:sz w:val="18"/>
                <w:szCs w:val="18"/>
              </w:rPr>
              <w:t>8</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143.778</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6.663</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0.792</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128.320</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0.627</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1.186</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18.865</w:t>
            </w:r>
          </w:p>
        </w:tc>
      </w:tr>
      <w:tr w:rsidR="000A22AE" w:rsidRPr="00DA7E4C" w:rsidTr="000A22AE">
        <w:trPr>
          <w:trHeight w:val="240"/>
        </w:trPr>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center"/>
              <w:rPr>
                <w:rFonts w:eastAsia="Times New Roman" w:cs="Times New Roman"/>
                <w:b/>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b/>
                <w:color w:val="000000"/>
                <w:sz w:val="18"/>
                <w:szCs w:val="18"/>
              </w:rPr>
            </w:pPr>
            <w:r w:rsidRPr="00DA7E4C">
              <w:rPr>
                <w:rFonts w:eastAsia="Times New Roman" w:cs="Times New Roman"/>
                <w:b/>
                <w:color w:val="000000"/>
                <w:sz w:val="18"/>
                <w:szCs w:val="18"/>
              </w:rPr>
              <w:t>0.901</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b/>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b/>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b/>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b/>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b/>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b/>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b/>
                <w:color w:val="000000"/>
                <w:sz w:val="18"/>
                <w:szCs w:val="18"/>
              </w:rPr>
            </w:pPr>
            <w:r w:rsidRPr="00DA7E4C">
              <w:rPr>
                <w:rFonts w:eastAsia="Times New Roman" w:cs="Times New Roman"/>
                <w:b/>
                <w:color w:val="000000"/>
                <w:sz w:val="18"/>
                <w:szCs w:val="18"/>
              </w:rPr>
              <w:t>0.748</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b/>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b/>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b/>
                <w:color w:val="000000"/>
                <w:sz w:val="18"/>
                <w:szCs w:val="18"/>
              </w:rPr>
            </w:pPr>
            <w:r w:rsidRPr="00DA7E4C">
              <w:rPr>
                <w:rFonts w:eastAsia="Times New Roman" w:cs="Times New Roman"/>
                <w:b/>
                <w:color w:val="000000"/>
                <w:sz w:val="18"/>
                <w:szCs w:val="18"/>
              </w:rPr>
              <w:t>0.000</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b/>
                <w:color w:val="000000"/>
                <w:sz w:val="18"/>
                <w:szCs w:val="18"/>
              </w:rPr>
            </w:pPr>
            <w:r w:rsidRPr="00DA7E4C">
              <w:rPr>
                <w:rFonts w:eastAsia="Times New Roman" w:cs="Times New Roman"/>
                <w:b/>
                <w:color w:val="000000"/>
                <w:sz w:val="18"/>
                <w:szCs w:val="18"/>
              </w:rPr>
              <w:t>0.000</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b/>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b/>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b/>
                <w:color w:val="000000"/>
                <w:sz w:val="18"/>
                <w:szCs w:val="18"/>
              </w:rPr>
            </w:pPr>
          </w:p>
        </w:tc>
      </w:tr>
      <w:tr w:rsidR="000A22AE" w:rsidRPr="00DA7E4C" w:rsidTr="000A22AE">
        <w:trPr>
          <w:trHeight w:val="240"/>
        </w:trPr>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center"/>
              <w:rPr>
                <w:rFonts w:eastAsia="Times New Roman" w:cs="Times New Roman"/>
                <w:sz w:val="18"/>
                <w:szCs w:val="18"/>
              </w:rPr>
            </w:pPr>
            <w:r w:rsidRPr="00DA7E4C">
              <w:rPr>
                <w:rFonts w:eastAsia="Times New Roman" w:cs="Times New Roman"/>
                <w:sz w:val="18"/>
                <w:szCs w:val="18"/>
              </w:rPr>
              <w:t>9</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152.365</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37.959</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0.793</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131.614</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0.634</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1.244</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18.851</w:t>
            </w:r>
          </w:p>
        </w:tc>
      </w:tr>
      <w:tr w:rsidR="000A22AE" w:rsidRPr="00DA7E4C" w:rsidTr="000A22AE">
        <w:trPr>
          <w:trHeight w:val="240"/>
        </w:trPr>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center"/>
              <w:rPr>
                <w:rFonts w:eastAsia="Times New Roman" w:cs="Times New Roman"/>
                <w:b/>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b/>
                <w:color w:val="000000"/>
                <w:sz w:val="18"/>
                <w:szCs w:val="18"/>
              </w:rPr>
            </w:pPr>
            <w:r w:rsidRPr="00DA7E4C">
              <w:rPr>
                <w:rFonts w:eastAsia="Times New Roman" w:cs="Times New Roman"/>
                <w:b/>
                <w:color w:val="000000"/>
                <w:sz w:val="18"/>
                <w:szCs w:val="18"/>
              </w:rPr>
              <w:t>0.895</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b/>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b/>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b/>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b/>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b/>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b/>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b/>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b/>
                <w:color w:val="000000"/>
                <w:sz w:val="18"/>
                <w:szCs w:val="18"/>
              </w:rPr>
            </w:pPr>
            <w:r w:rsidRPr="00DA7E4C">
              <w:rPr>
                <w:rFonts w:eastAsia="Times New Roman" w:cs="Times New Roman"/>
                <w:b/>
                <w:color w:val="000000"/>
                <w:sz w:val="18"/>
                <w:szCs w:val="18"/>
              </w:rPr>
              <w:t>0.080</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b/>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b/>
                <w:color w:val="000000"/>
                <w:sz w:val="18"/>
                <w:szCs w:val="18"/>
              </w:rPr>
            </w:pPr>
            <w:r w:rsidRPr="00DA7E4C">
              <w:rPr>
                <w:rFonts w:eastAsia="Times New Roman" w:cs="Times New Roman"/>
                <w:b/>
                <w:color w:val="000000"/>
                <w:sz w:val="18"/>
                <w:szCs w:val="18"/>
              </w:rPr>
              <w:t>0.000</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b/>
                <w:color w:val="000000"/>
                <w:sz w:val="18"/>
                <w:szCs w:val="18"/>
              </w:rPr>
            </w:pPr>
            <w:r w:rsidRPr="00DA7E4C">
              <w:rPr>
                <w:rFonts w:eastAsia="Times New Roman" w:cs="Times New Roman"/>
                <w:b/>
                <w:color w:val="000000"/>
                <w:sz w:val="18"/>
                <w:szCs w:val="18"/>
              </w:rPr>
              <w:t>0.000</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b/>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b/>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b/>
                <w:color w:val="000000"/>
                <w:sz w:val="18"/>
                <w:szCs w:val="18"/>
              </w:rPr>
            </w:pPr>
          </w:p>
        </w:tc>
      </w:tr>
      <w:tr w:rsidR="000A22AE" w:rsidRPr="00DA7E4C" w:rsidTr="000A22AE">
        <w:trPr>
          <w:trHeight w:val="240"/>
        </w:trPr>
        <w:tc>
          <w:tcPr>
            <w:tcW w:w="0" w:type="auto"/>
            <w:tcBorders>
              <w:top w:val="nil"/>
              <w:left w:val="nil"/>
              <w:bottom w:val="nil"/>
              <w:right w:val="nil"/>
            </w:tcBorders>
            <w:shd w:val="clear" w:color="auto" w:fill="auto"/>
            <w:noWrap/>
            <w:vAlign w:val="center"/>
            <w:hideMark/>
          </w:tcPr>
          <w:p w:rsidR="000A22AE" w:rsidRPr="00DA7E4C" w:rsidRDefault="000A22AE" w:rsidP="000A22AE">
            <w:pPr>
              <w:spacing w:before="0" w:after="0" w:line="240" w:lineRule="auto"/>
              <w:jc w:val="center"/>
              <w:rPr>
                <w:rFonts w:eastAsia="Times New Roman" w:cs="Times New Roman"/>
                <w:color w:val="000000"/>
                <w:sz w:val="18"/>
                <w:szCs w:val="18"/>
              </w:rPr>
            </w:pPr>
            <w:r w:rsidRPr="00DA7E4C">
              <w:rPr>
                <w:rFonts w:eastAsia="Times New Roman" w:cs="Times New Roman"/>
                <w:color w:val="000000"/>
                <w:sz w:val="18"/>
                <w:szCs w:val="18"/>
              </w:rPr>
              <w:t>10</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142.131</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83.381</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0.798</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147.543</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0.662</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1.295</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18.780</w:t>
            </w:r>
          </w:p>
        </w:tc>
      </w:tr>
      <w:tr w:rsidR="000A22AE" w:rsidRPr="00DA7E4C" w:rsidTr="000A22AE">
        <w:trPr>
          <w:trHeight w:val="240"/>
        </w:trPr>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b/>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b/>
                <w:color w:val="000000"/>
                <w:sz w:val="18"/>
                <w:szCs w:val="18"/>
              </w:rPr>
            </w:pPr>
            <w:r w:rsidRPr="00DA7E4C">
              <w:rPr>
                <w:rFonts w:eastAsia="Times New Roman" w:cs="Times New Roman"/>
                <w:b/>
                <w:color w:val="000000"/>
                <w:sz w:val="18"/>
                <w:szCs w:val="18"/>
              </w:rPr>
              <w:t>0.902</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b/>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b/>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b/>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b/>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b/>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b/>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b/>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b/>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b/>
                <w:color w:val="000000"/>
                <w:sz w:val="18"/>
                <w:szCs w:val="18"/>
              </w:rPr>
            </w:pPr>
            <w:r w:rsidRPr="00DA7E4C">
              <w:rPr>
                <w:rFonts w:eastAsia="Times New Roman" w:cs="Times New Roman"/>
                <w:b/>
                <w:color w:val="000000"/>
                <w:sz w:val="18"/>
                <w:szCs w:val="18"/>
              </w:rPr>
              <w:t>0.000</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b/>
                <w:color w:val="000000"/>
                <w:sz w:val="18"/>
                <w:szCs w:val="18"/>
              </w:rPr>
            </w:pPr>
            <w:r w:rsidRPr="00DA7E4C">
              <w:rPr>
                <w:rFonts w:eastAsia="Times New Roman" w:cs="Times New Roman"/>
                <w:b/>
                <w:color w:val="000000"/>
                <w:sz w:val="18"/>
                <w:szCs w:val="18"/>
              </w:rPr>
              <w:t>0.000</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b/>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b/>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b/>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b/>
                <w:color w:val="000000"/>
                <w:sz w:val="18"/>
                <w:szCs w:val="18"/>
              </w:rPr>
            </w:pPr>
          </w:p>
        </w:tc>
      </w:tr>
    </w:tbl>
    <w:p w:rsidR="000A22AE" w:rsidRPr="00762161" w:rsidRDefault="000A22AE" w:rsidP="000A22AE">
      <w:pPr>
        <w:pStyle w:val="Heading2"/>
      </w:pPr>
      <w:bookmarkStart w:id="362" w:name="_Toc286616340"/>
      <w:r w:rsidRPr="00762161">
        <w:t xml:space="preserve">Table 6: The Relationship between Industrial Production and </w:t>
      </w:r>
      <w:r w:rsidR="00627488">
        <w:t>Real Stock Price</w:t>
      </w:r>
      <w:r w:rsidRPr="00762161">
        <w:t>s (Quarterly 1997-2010)</w:t>
      </w:r>
      <w:bookmarkEnd w:id="362"/>
    </w:p>
    <w:tbl>
      <w:tblPr>
        <w:tblW w:w="0" w:type="auto"/>
        <w:tblInd w:w="93" w:type="dxa"/>
        <w:tblLook w:val="04A0"/>
      </w:tblPr>
      <w:tblGrid>
        <w:gridCol w:w="756"/>
        <w:gridCol w:w="996"/>
        <w:gridCol w:w="767"/>
        <w:gridCol w:w="767"/>
        <w:gridCol w:w="867"/>
        <w:gridCol w:w="767"/>
        <w:gridCol w:w="767"/>
        <w:gridCol w:w="667"/>
        <w:gridCol w:w="827"/>
        <w:gridCol w:w="827"/>
        <w:gridCol w:w="827"/>
        <w:gridCol w:w="667"/>
        <w:gridCol w:w="867"/>
        <w:gridCol w:w="866"/>
        <w:gridCol w:w="667"/>
        <w:gridCol w:w="767"/>
      </w:tblGrid>
      <w:tr w:rsidR="000A22AE" w:rsidRPr="00DA7E4C" w:rsidTr="000A22AE">
        <w:trPr>
          <w:trHeight w:val="300"/>
        </w:trPr>
        <w:tc>
          <w:tcPr>
            <w:tcW w:w="0" w:type="auto"/>
            <w:tcBorders>
              <w:top w:val="single" w:sz="8" w:space="0" w:color="auto"/>
              <w:left w:val="single" w:sz="8" w:space="0" w:color="auto"/>
              <w:bottom w:val="single" w:sz="8" w:space="0" w:color="auto"/>
              <w:right w:val="nil"/>
            </w:tcBorders>
            <w:shd w:val="clear" w:color="auto" w:fill="auto"/>
            <w:noWrap/>
            <w:vAlign w:val="bottom"/>
            <w:hideMark/>
          </w:tcPr>
          <w:p w:rsidR="000A22AE" w:rsidRPr="00DA7E4C" w:rsidRDefault="000A22AE" w:rsidP="000A22AE">
            <w:pPr>
              <w:spacing w:before="0" w:after="0" w:line="240" w:lineRule="auto"/>
              <w:jc w:val="center"/>
              <w:rPr>
                <w:rFonts w:eastAsia="Times New Roman" w:cs="Times New Roman"/>
                <w:sz w:val="18"/>
                <w:szCs w:val="18"/>
              </w:rPr>
            </w:pPr>
            <w:r w:rsidRPr="00DA7E4C">
              <w:rPr>
                <w:rFonts w:eastAsia="Times New Roman" w:cs="Times New Roman"/>
                <w:sz w:val="18"/>
                <w:szCs w:val="18"/>
              </w:rPr>
              <w:t>Sample</w:t>
            </w:r>
          </w:p>
        </w:tc>
        <w:tc>
          <w:tcPr>
            <w:tcW w:w="0" w:type="auto"/>
            <w:tcBorders>
              <w:top w:val="single" w:sz="8" w:space="0" w:color="auto"/>
              <w:left w:val="nil"/>
              <w:bottom w:val="single" w:sz="8" w:space="0" w:color="auto"/>
              <w:right w:val="single" w:sz="8" w:space="0" w:color="auto"/>
            </w:tcBorders>
            <w:shd w:val="clear" w:color="auto" w:fill="auto"/>
            <w:noWrap/>
            <w:vAlign w:val="bottom"/>
            <w:hideMark/>
          </w:tcPr>
          <w:p w:rsidR="000A22AE" w:rsidRPr="00DA7E4C" w:rsidRDefault="000A22AE" w:rsidP="000A22AE">
            <w:pPr>
              <w:spacing w:before="0" w:after="0" w:line="240" w:lineRule="auto"/>
              <w:jc w:val="center"/>
              <w:rPr>
                <w:rFonts w:eastAsia="Times New Roman" w:cs="Times New Roman"/>
                <w:sz w:val="18"/>
                <w:szCs w:val="18"/>
              </w:rPr>
            </w:pPr>
            <w:r w:rsidRPr="00DA7E4C">
              <w:rPr>
                <w:rFonts w:eastAsia="Times New Roman" w:cs="Times New Roman"/>
                <w:sz w:val="18"/>
                <w:szCs w:val="18"/>
              </w:rPr>
              <w:t>1997-2010</w:t>
            </w:r>
          </w:p>
        </w:tc>
        <w:tc>
          <w:tcPr>
            <w:tcW w:w="0" w:type="auto"/>
            <w:gridSpan w:val="9"/>
            <w:tcBorders>
              <w:top w:val="single" w:sz="8" w:space="0" w:color="auto"/>
              <w:left w:val="nil"/>
              <w:bottom w:val="nil"/>
              <w:right w:val="single" w:sz="8" w:space="0" w:color="000000"/>
            </w:tcBorders>
            <w:shd w:val="clear" w:color="auto" w:fill="auto"/>
            <w:vAlign w:val="bottom"/>
            <w:hideMark/>
          </w:tcPr>
          <w:p w:rsidR="000A22AE" w:rsidRPr="00DA7E4C" w:rsidRDefault="000A22AE" w:rsidP="000A22AE">
            <w:pPr>
              <w:spacing w:before="0" w:after="0" w:line="240" w:lineRule="auto"/>
              <w:jc w:val="center"/>
              <w:rPr>
                <w:rFonts w:ascii="Calibri" w:eastAsia="Times New Roman" w:hAnsi="Calibri" w:cs="Times New Roman"/>
                <w:color w:val="000000"/>
                <w:sz w:val="18"/>
                <w:szCs w:val="18"/>
              </w:rPr>
            </w:pPr>
            <w:r w:rsidRPr="00DA7E4C">
              <w:rPr>
                <w:rFonts w:ascii="Calibri" w:eastAsia="Times New Roman" w:hAnsi="Calibri" w:cs="Times New Roman"/>
                <w:color w:val="000000"/>
                <w:sz w:val="18"/>
                <w:szCs w:val="18"/>
              </w:rPr>
              <w:t xml:space="preserve">Real Stock </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ascii="Calibri" w:eastAsia="Times New Roman" w:hAnsi="Calibri" w:cs="Times New Roman"/>
                <w:color w:val="000000"/>
                <w:sz w:val="18"/>
                <w:szCs w:val="18"/>
              </w:rPr>
            </w:pPr>
          </w:p>
        </w:tc>
        <w:tc>
          <w:tcPr>
            <w:tcW w:w="0" w:type="auto"/>
            <w:tcBorders>
              <w:top w:val="nil"/>
              <w:left w:val="nil"/>
              <w:bottom w:val="nil"/>
              <w:right w:val="single" w:sz="4" w:space="0" w:color="auto"/>
            </w:tcBorders>
            <w:shd w:val="clear" w:color="auto" w:fill="auto"/>
            <w:noWrap/>
            <w:vAlign w:val="bottom"/>
            <w:hideMark/>
          </w:tcPr>
          <w:p w:rsidR="000A22AE" w:rsidRPr="00DA7E4C" w:rsidRDefault="000A22AE" w:rsidP="000A22AE">
            <w:pPr>
              <w:spacing w:before="0" w:after="0" w:line="240" w:lineRule="auto"/>
              <w:jc w:val="left"/>
              <w:rPr>
                <w:rFonts w:ascii="Calibri" w:eastAsia="Times New Roman" w:hAnsi="Calibri" w:cs="Times New Roman"/>
                <w:color w:val="000000"/>
                <w:sz w:val="18"/>
                <w:szCs w:val="18"/>
              </w:rPr>
            </w:pPr>
          </w:p>
        </w:tc>
        <w:tc>
          <w:tcPr>
            <w:tcW w:w="0" w:type="auto"/>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A22AE" w:rsidRPr="00DA7E4C" w:rsidRDefault="000A22AE" w:rsidP="000A22AE">
            <w:pPr>
              <w:spacing w:before="0" w:after="0" w:line="240" w:lineRule="auto"/>
              <w:jc w:val="center"/>
              <w:rPr>
                <w:rFonts w:eastAsia="Times New Roman" w:cs="Times New Roman"/>
                <w:sz w:val="18"/>
                <w:szCs w:val="18"/>
              </w:rPr>
            </w:pPr>
            <w:r w:rsidRPr="00DA7E4C">
              <w:rPr>
                <w:rFonts w:eastAsia="Times New Roman" w:cs="Times New Roman"/>
                <w:sz w:val="18"/>
                <w:szCs w:val="18"/>
              </w:rPr>
              <w:t>Adjusted</w:t>
            </w:r>
          </w:p>
          <w:p w:rsidR="000A22AE" w:rsidRPr="00DA7E4C" w:rsidRDefault="000A22AE" w:rsidP="000A22AE">
            <w:pPr>
              <w:spacing w:before="0" w:after="0" w:line="240" w:lineRule="auto"/>
              <w:jc w:val="center"/>
              <w:rPr>
                <w:rFonts w:eastAsia="Times New Roman" w:cs="Times New Roman"/>
                <w:color w:val="000000"/>
                <w:sz w:val="18"/>
                <w:szCs w:val="18"/>
              </w:rPr>
            </w:pPr>
            <w:r w:rsidRPr="00DA7E4C">
              <w:rPr>
                <w:rFonts w:eastAsia="Times New Roman" w:cs="Times New Roman"/>
                <w:sz w:val="18"/>
                <w:szCs w:val="18"/>
              </w:rPr>
              <w:t>R-square</w:t>
            </w:r>
          </w:p>
        </w:tc>
        <w:tc>
          <w:tcPr>
            <w:tcW w:w="0" w:type="auto"/>
            <w:tcBorders>
              <w:top w:val="nil"/>
              <w:left w:val="single" w:sz="4" w:space="0" w:color="auto"/>
              <w:bottom w:val="nil"/>
              <w:right w:val="nil"/>
            </w:tcBorders>
            <w:shd w:val="clear" w:color="auto" w:fill="auto"/>
            <w:noWrap/>
            <w:vAlign w:val="bottom"/>
            <w:hideMark/>
          </w:tcPr>
          <w:p w:rsidR="000A22AE" w:rsidRPr="00DA7E4C" w:rsidRDefault="000A22AE" w:rsidP="000A22AE">
            <w:pPr>
              <w:spacing w:before="0" w:after="0" w:line="240" w:lineRule="auto"/>
              <w:jc w:val="left"/>
              <w:rPr>
                <w:rFonts w:ascii="Calibri" w:eastAsia="Times New Roman" w:hAnsi="Calibri" w:cs="Times New Roman"/>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ascii="Calibri" w:eastAsia="Times New Roman" w:hAnsi="Calibri" w:cs="Times New Roman"/>
                <w:color w:val="000000"/>
                <w:sz w:val="18"/>
                <w:szCs w:val="18"/>
              </w:rPr>
            </w:pPr>
          </w:p>
        </w:tc>
      </w:tr>
      <w:tr w:rsidR="000A22AE" w:rsidRPr="00DA7E4C" w:rsidTr="000A22AE">
        <w:trPr>
          <w:trHeight w:val="255"/>
        </w:trPr>
        <w:tc>
          <w:tcPr>
            <w:tcW w:w="0" w:type="auto"/>
            <w:tcBorders>
              <w:top w:val="nil"/>
              <w:left w:val="single" w:sz="8" w:space="0" w:color="auto"/>
              <w:bottom w:val="single" w:sz="8" w:space="0" w:color="auto"/>
              <w:right w:val="single" w:sz="8" w:space="0" w:color="auto"/>
            </w:tcBorders>
            <w:shd w:val="clear" w:color="auto" w:fill="auto"/>
            <w:noWrap/>
            <w:vAlign w:val="center"/>
            <w:hideMark/>
          </w:tcPr>
          <w:p w:rsidR="000A22AE" w:rsidRPr="00DA7E4C" w:rsidRDefault="000A22AE" w:rsidP="000A22AE">
            <w:pPr>
              <w:spacing w:before="0" w:after="0" w:line="240" w:lineRule="auto"/>
              <w:jc w:val="center"/>
              <w:rPr>
                <w:rFonts w:ascii="Arial" w:eastAsia="Times New Roman" w:hAnsi="Arial" w:cs="Arial"/>
                <w:sz w:val="18"/>
                <w:szCs w:val="18"/>
              </w:rPr>
            </w:pPr>
            <w:r w:rsidRPr="00DA7E4C">
              <w:rPr>
                <w:rFonts w:ascii="Arial" w:eastAsia="Times New Roman" w:hAnsi="Arial" w:cs="Arial"/>
                <w:sz w:val="18"/>
                <w:szCs w:val="18"/>
              </w:rPr>
              <w:t>No</w:t>
            </w:r>
          </w:p>
        </w:tc>
        <w:tc>
          <w:tcPr>
            <w:tcW w:w="0" w:type="auto"/>
            <w:tcBorders>
              <w:top w:val="nil"/>
              <w:left w:val="nil"/>
              <w:bottom w:val="single" w:sz="8" w:space="0" w:color="auto"/>
              <w:right w:val="single" w:sz="8" w:space="0" w:color="auto"/>
            </w:tcBorders>
            <w:shd w:val="clear" w:color="auto" w:fill="auto"/>
            <w:noWrap/>
            <w:vAlign w:val="center"/>
            <w:hideMark/>
          </w:tcPr>
          <w:p w:rsidR="000A22AE" w:rsidRPr="00DA7E4C" w:rsidRDefault="000A22AE" w:rsidP="000A22AE">
            <w:pPr>
              <w:spacing w:before="0" w:after="0" w:line="240" w:lineRule="auto"/>
              <w:jc w:val="center"/>
              <w:rPr>
                <w:rFonts w:ascii="Arial" w:eastAsia="Times New Roman" w:hAnsi="Arial" w:cs="Arial"/>
                <w:sz w:val="18"/>
                <w:szCs w:val="18"/>
              </w:rPr>
            </w:pPr>
            <w:r w:rsidRPr="00DA7E4C">
              <w:rPr>
                <w:rFonts w:ascii="Arial" w:eastAsia="Times New Roman" w:hAnsi="Arial" w:cs="Arial"/>
                <w:sz w:val="18"/>
                <w:szCs w:val="18"/>
              </w:rPr>
              <w:t>Intercept</w:t>
            </w:r>
          </w:p>
        </w:tc>
        <w:tc>
          <w:tcPr>
            <w:tcW w:w="0" w:type="auto"/>
            <w:tcBorders>
              <w:top w:val="nil"/>
              <w:left w:val="nil"/>
              <w:bottom w:val="single" w:sz="8" w:space="0" w:color="auto"/>
              <w:right w:val="single" w:sz="8" w:space="0" w:color="auto"/>
            </w:tcBorders>
            <w:shd w:val="clear" w:color="auto" w:fill="auto"/>
            <w:vAlign w:val="center"/>
            <w:hideMark/>
          </w:tcPr>
          <w:p w:rsidR="000A22AE" w:rsidRPr="00DA7E4C" w:rsidRDefault="000A22AE" w:rsidP="000A22AE">
            <w:pPr>
              <w:spacing w:before="0" w:after="0" w:line="240" w:lineRule="auto"/>
              <w:jc w:val="center"/>
              <w:rPr>
                <w:rFonts w:ascii="Arial" w:eastAsia="Times New Roman" w:hAnsi="Arial" w:cs="Arial"/>
                <w:sz w:val="18"/>
                <w:szCs w:val="18"/>
              </w:rPr>
            </w:pPr>
            <w:r w:rsidRPr="00DA7E4C">
              <w:rPr>
                <w:rFonts w:ascii="Arial" w:eastAsia="Times New Roman" w:hAnsi="Arial" w:cs="Arial"/>
                <w:sz w:val="18"/>
                <w:szCs w:val="18"/>
              </w:rPr>
              <w:t>t</w:t>
            </w:r>
          </w:p>
        </w:tc>
        <w:tc>
          <w:tcPr>
            <w:tcW w:w="0" w:type="auto"/>
            <w:tcBorders>
              <w:top w:val="nil"/>
              <w:left w:val="nil"/>
              <w:bottom w:val="single" w:sz="8" w:space="0" w:color="auto"/>
              <w:right w:val="single" w:sz="8" w:space="0" w:color="auto"/>
            </w:tcBorders>
            <w:shd w:val="clear" w:color="auto" w:fill="auto"/>
            <w:vAlign w:val="center"/>
            <w:hideMark/>
          </w:tcPr>
          <w:p w:rsidR="000A22AE" w:rsidRPr="00DA7E4C" w:rsidRDefault="000A22AE" w:rsidP="000A22AE">
            <w:pPr>
              <w:spacing w:before="0" w:after="0" w:line="240" w:lineRule="auto"/>
              <w:jc w:val="center"/>
              <w:rPr>
                <w:rFonts w:ascii="Arial" w:eastAsia="Times New Roman" w:hAnsi="Arial" w:cs="Arial"/>
                <w:sz w:val="18"/>
                <w:szCs w:val="18"/>
              </w:rPr>
            </w:pPr>
            <w:r w:rsidRPr="00DA7E4C">
              <w:rPr>
                <w:rFonts w:ascii="Arial" w:eastAsia="Times New Roman" w:hAnsi="Arial" w:cs="Arial"/>
                <w:sz w:val="18"/>
                <w:szCs w:val="18"/>
              </w:rPr>
              <w:t>t-1</w:t>
            </w:r>
          </w:p>
        </w:tc>
        <w:tc>
          <w:tcPr>
            <w:tcW w:w="0" w:type="auto"/>
            <w:tcBorders>
              <w:top w:val="nil"/>
              <w:left w:val="nil"/>
              <w:bottom w:val="single" w:sz="8" w:space="0" w:color="auto"/>
              <w:right w:val="single" w:sz="8" w:space="0" w:color="auto"/>
            </w:tcBorders>
            <w:shd w:val="clear" w:color="auto" w:fill="auto"/>
            <w:vAlign w:val="center"/>
            <w:hideMark/>
          </w:tcPr>
          <w:p w:rsidR="000A22AE" w:rsidRPr="00DA7E4C" w:rsidRDefault="000A22AE" w:rsidP="000A22AE">
            <w:pPr>
              <w:spacing w:before="0" w:after="0" w:line="240" w:lineRule="auto"/>
              <w:jc w:val="center"/>
              <w:rPr>
                <w:rFonts w:ascii="Arial" w:eastAsia="Times New Roman" w:hAnsi="Arial" w:cs="Arial"/>
                <w:sz w:val="18"/>
                <w:szCs w:val="18"/>
              </w:rPr>
            </w:pPr>
            <w:r w:rsidRPr="00DA7E4C">
              <w:rPr>
                <w:rFonts w:ascii="Arial" w:eastAsia="Times New Roman" w:hAnsi="Arial" w:cs="Arial"/>
                <w:sz w:val="18"/>
                <w:szCs w:val="18"/>
              </w:rPr>
              <w:t>t-2</w:t>
            </w:r>
          </w:p>
        </w:tc>
        <w:tc>
          <w:tcPr>
            <w:tcW w:w="0" w:type="auto"/>
            <w:tcBorders>
              <w:top w:val="nil"/>
              <w:left w:val="nil"/>
              <w:bottom w:val="single" w:sz="8" w:space="0" w:color="auto"/>
              <w:right w:val="single" w:sz="8" w:space="0" w:color="auto"/>
            </w:tcBorders>
            <w:shd w:val="clear" w:color="auto" w:fill="auto"/>
            <w:vAlign w:val="center"/>
            <w:hideMark/>
          </w:tcPr>
          <w:p w:rsidR="000A22AE" w:rsidRPr="00DA7E4C" w:rsidRDefault="000A22AE" w:rsidP="000A22AE">
            <w:pPr>
              <w:spacing w:before="0" w:after="0" w:line="240" w:lineRule="auto"/>
              <w:jc w:val="center"/>
              <w:rPr>
                <w:rFonts w:ascii="Arial" w:eastAsia="Times New Roman" w:hAnsi="Arial" w:cs="Arial"/>
                <w:sz w:val="18"/>
                <w:szCs w:val="18"/>
              </w:rPr>
            </w:pPr>
            <w:r w:rsidRPr="00DA7E4C">
              <w:rPr>
                <w:rFonts w:ascii="Arial" w:eastAsia="Times New Roman" w:hAnsi="Arial" w:cs="Arial"/>
                <w:sz w:val="18"/>
                <w:szCs w:val="18"/>
              </w:rPr>
              <w:t>t-3</w:t>
            </w:r>
          </w:p>
        </w:tc>
        <w:tc>
          <w:tcPr>
            <w:tcW w:w="0" w:type="auto"/>
            <w:tcBorders>
              <w:top w:val="nil"/>
              <w:left w:val="nil"/>
              <w:bottom w:val="single" w:sz="8" w:space="0" w:color="auto"/>
              <w:right w:val="single" w:sz="8" w:space="0" w:color="auto"/>
            </w:tcBorders>
            <w:shd w:val="clear" w:color="auto" w:fill="auto"/>
            <w:vAlign w:val="center"/>
            <w:hideMark/>
          </w:tcPr>
          <w:p w:rsidR="000A22AE" w:rsidRPr="00DA7E4C" w:rsidRDefault="000A22AE" w:rsidP="000A22AE">
            <w:pPr>
              <w:spacing w:before="0" w:after="0" w:line="240" w:lineRule="auto"/>
              <w:jc w:val="center"/>
              <w:rPr>
                <w:rFonts w:ascii="Arial" w:eastAsia="Times New Roman" w:hAnsi="Arial" w:cs="Arial"/>
                <w:sz w:val="18"/>
                <w:szCs w:val="18"/>
              </w:rPr>
            </w:pPr>
            <w:r w:rsidRPr="00DA7E4C">
              <w:rPr>
                <w:rFonts w:ascii="Arial" w:eastAsia="Times New Roman" w:hAnsi="Arial" w:cs="Arial"/>
                <w:sz w:val="18"/>
                <w:szCs w:val="18"/>
              </w:rPr>
              <w:t>t-4</w:t>
            </w:r>
          </w:p>
        </w:tc>
        <w:tc>
          <w:tcPr>
            <w:tcW w:w="0" w:type="auto"/>
            <w:tcBorders>
              <w:top w:val="nil"/>
              <w:left w:val="nil"/>
              <w:bottom w:val="single" w:sz="8" w:space="0" w:color="auto"/>
              <w:right w:val="single" w:sz="8" w:space="0" w:color="auto"/>
            </w:tcBorders>
            <w:shd w:val="clear" w:color="auto" w:fill="auto"/>
            <w:vAlign w:val="center"/>
            <w:hideMark/>
          </w:tcPr>
          <w:p w:rsidR="000A22AE" w:rsidRPr="00DA7E4C" w:rsidRDefault="000A22AE" w:rsidP="000A22AE">
            <w:pPr>
              <w:spacing w:before="0" w:after="0" w:line="240" w:lineRule="auto"/>
              <w:jc w:val="center"/>
              <w:rPr>
                <w:rFonts w:ascii="Arial" w:eastAsia="Times New Roman" w:hAnsi="Arial" w:cs="Arial"/>
                <w:sz w:val="18"/>
                <w:szCs w:val="18"/>
              </w:rPr>
            </w:pPr>
            <w:r w:rsidRPr="00DA7E4C">
              <w:rPr>
                <w:rFonts w:ascii="Arial" w:eastAsia="Times New Roman" w:hAnsi="Arial" w:cs="Arial"/>
                <w:sz w:val="18"/>
                <w:szCs w:val="18"/>
              </w:rPr>
              <w:t>t-5</w:t>
            </w:r>
          </w:p>
        </w:tc>
        <w:tc>
          <w:tcPr>
            <w:tcW w:w="0" w:type="auto"/>
            <w:tcBorders>
              <w:top w:val="nil"/>
              <w:left w:val="nil"/>
              <w:bottom w:val="single" w:sz="8" w:space="0" w:color="auto"/>
              <w:right w:val="single" w:sz="8" w:space="0" w:color="auto"/>
            </w:tcBorders>
            <w:shd w:val="clear" w:color="auto" w:fill="auto"/>
            <w:vAlign w:val="center"/>
            <w:hideMark/>
          </w:tcPr>
          <w:p w:rsidR="000A22AE" w:rsidRPr="00DA7E4C" w:rsidRDefault="000A22AE" w:rsidP="000A22AE">
            <w:pPr>
              <w:spacing w:before="0" w:after="0" w:line="240" w:lineRule="auto"/>
              <w:jc w:val="center"/>
              <w:rPr>
                <w:rFonts w:ascii="Arial" w:eastAsia="Times New Roman" w:hAnsi="Arial" w:cs="Arial"/>
                <w:sz w:val="18"/>
                <w:szCs w:val="18"/>
              </w:rPr>
            </w:pPr>
            <w:r w:rsidRPr="00DA7E4C">
              <w:rPr>
                <w:rFonts w:ascii="Arial" w:eastAsia="Times New Roman" w:hAnsi="Arial" w:cs="Arial"/>
                <w:sz w:val="18"/>
                <w:szCs w:val="18"/>
              </w:rPr>
              <w:t>t-6</w:t>
            </w:r>
          </w:p>
        </w:tc>
        <w:tc>
          <w:tcPr>
            <w:tcW w:w="0" w:type="auto"/>
            <w:tcBorders>
              <w:top w:val="nil"/>
              <w:left w:val="nil"/>
              <w:bottom w:val="single" w:sz="8" w:space="0" w:color="auto"/>
              <w:right w:val="single" w:sz="8" w:space="0" w:color="auto"/>
            </w:tcBorders>
            <w:shd w:val="clear" w:color="auto" w:fill="auto"/>
            <w:vAlign w:val="center"/>
            <w:hideMark/>
          </w:tcPr>
          <w:p w:rsidR="000A22AE" w:rsidRPr="00DA7E4C" w:rsidRDefault="000A22AE" w:rsidP="000A22AE">
            <w:pPr>
              <w:spacing w:before="0" w:after="0" w:line="240" w:lineRule="auto"/>
              <w:jc w:val="center"/>
              <w:rPr>
                <w:rFonts w:ascii="Arial" w:eastAsia="Times New Roman" w:hAnsi="Arial" w:cs="Arial"/>
                <w:sz w:val="18"/>
                <w:szCs w:val="18"/>
              </w:rPr>
            </w:pPr>
            <w:r w:rsidRPr="00DA7E4C">
              <w:rPr>
                <w:rFonts w:ascii="Arial" w:eastAsia="Times New Roman" w:hAnsi="Arial" w:cs="Arial"/>
                <w:sz w:val="18"/>
                <w:szCs w:val="18"/>
              </w:rPr>
              <w:t>t-7</w:t>
            </w:r>
          </w:p>
        </w:tc>
        <w:tc>
          <w:tcPr>
            <w:tcW w:w="0" w:type="auto"/>
            <w:tcBorders>
              <w:top w:val="nil"/>
              <w:left w:val="nil"/>
              <w:bottom w:val="single" w:sz="8" w:space="0" w:color="auto"/>
              <w:right w:val="single" w:sz="8" w:space="0" w:color="auto"/>
            </w:tcBorders>
            <w:shd w:val="clear" w:color="auto" w:fill="auto"/>
            <w:vAlign w:val="center"/>
            <w:hideMark/>
          </w:tcPr>
          <w:p w:rsidR="000A22AE" w:rsidRPr="00DA7E4C" w:rsidRDefault="000A22AE" w:rsidP="000A22AE">
            <w:pPr>
              <w:spacing w:before="0" w:after="0" w:line="240" w:lineRule="auto"/>
              <w:jc w:val="center"/>
              <w:rPr>
                <w:rFonts w:ascii="Arial" w:eastAsia="Times New Roman" w:hAnsi="Arial" w:cs="Arial"/>
                <w:sz w:val="18"/>
                <w:szCs w:val="18"/>
              </w:rPr>
            </w:pPr>
            <w:r w:rsidRPr="00DA7E4C">
              <w:rPr>
                <w:rFonts w:ascii="Arial" w:eastAsia="Times New Roman" w:hAnsi="Arial" w:cs="Arial"/>
                <w:sz w:val="18"/>
                <w:szCs w:val="18"/>
              </w:rPr>
              <w:t>t-8</w:t>
            </w:r>
          </w:p>
        </w:tc>
        <w:tc>
          <w:tcPr>
            <w:tcW w:w="0" w:type="auto"/>
            <w:tcBorders>
              <w:top w:val="single" w:sz="8" w:space="0" w:color="auto"/>
              <w:left w:val="nil"/>
              <w:bottom w:val="single" w:sz="8" w:space="0" w:color="auto"/>
              <w:right w:val="single" w:sz="8" w:space="0" w:color="auto"/>
            </w:tcBorders>
            <w:shd w:val="clear" w:color="auto" w:fill="auto"/>
            <w:vAlign w:val="center"/>
            <w:hideMark/>
          </w:tcPr>
          <w:p w:rsidR="000A22AE" w:rsidRPr="00DA7E4C" w:rsidRDefault="000A22AE" w:rsidP="000A22AE">
            <w:pPr>
              <w:spacing w:before="0" w:after="0" w:line="240" w:lineRule="auto"/>
              <w:jc w:val="center"/>
              <w:rPr>
                <w:rFonts w:ascii="Arial" w:eastAsia="Times New Roman" w:hAnsi="Arial" w:cs="Arial"/>
                <w:sz w:val="18"/>
                <w:szCs w:val="18"/>
              </w:rPr>
            </w:pPr>
            <w:r w:rsidRPr="00DA7E4C">
              <w:rPr>
                <w:rFonts w:ascii="Arial" w:eastAsia="Times New Roman" w:hAnsi="Arial" w:cs="Arial"/>
                <w:sz w:val="18"/>
                <w:szCs w:val="18"/>
              </w:rPr>
              <w:t>AR</w:t>
            </w:r>
          </w:p>
        </w:tc>
        <w:tc>
          <w:tcPr>
            <w:tcW w:w="0" w:type="auto"/>
            <w:tcBorders>
              <w:top w:val="single" w:sz="8" w:space="0" w:color="auto"/>
              <w:left w:val="nil"/>
              <w:bottom w:val="single" w:sz="8" w:space="0" w:color="auto"/>
              <w:right w:val="single" w:sz="4" w:space="0" w:color="auto"/>
            </w:tcBorders>
            <w:shd w:val="clear" w:color="auto" w:fill="auto"/>
            <w:noWrap/>
            <w:vAlign w:val="center"/>
            <w:hideMark/>
          </w:tcPr>
          <w:p w:rsidR="000A22AE" w:rsidRPr="00DA7E4C" w:rsidRDefault="000A22AE" w:rsidP="000A22AE">
            <w:pPr>
              <w:spacing w:before="0" w:after="0" w:line="240" w:lineRule="auto"/>
              <w:jc w:val="center"/>
              <w:rPr>
                <w:rFonts w:ascii="Arial" w:eastAsia="Times New Roman" w:hAnsi="Arial" w:cs="Arial"/>
                <w:sz w:val="18"/>
                <w:szCs w:val="18"/>
              </w:rPr>
            </w:pPr>
            <w:r w:rsidRPr="00DA7E4C">
              <w:rPr>
                <w:rFonts w:ascii="Arial" w:eastAsia="Times New Roman" w:hAnsi="Arial" w:cs="Arial"/>
                <w:sz w:val="18"/>
                <w:szCs w:val="18"/>
              </w:rPr>
              <w:t>F Value</w:t>
            </w:r>
          </w:p>
        </w:tc>
        <w:tc>
          <w:tcPr>
            <w:tcW w:w="0" w:type="auto"/>
            <w:vMerge/>
            <w:tcBorders>
              <w:left w:val="single" w:sz="4" w:space="0" w:color="auto"/>
              <w:bottom w:val="single" w:sz="4" w:space="0" w:color="auto"/>
              <w:right w:val="single" w:sz="4" w:space="0" w:color="auto"/>
            </w:tcBorders>
            <w:shd w:val="clear" w:color="auto" w:fill="auto"/>
            <w:noWrap/>
            <w:vAlign w:val="center"/>
            <w:hideMark/>
          </w:tcPr>
          <w:p w:rsidR="000A22AE" w:rsidRPr="00DA7E4C" w:rsidRDefault="000A22AE" w:rsidP="000A22AE">
            <w:pPr>
              <w:spacing w:before="0" w:after="0" w:line="240" w:lineRule="auto"/>
              <w:jc w:val="center"/>
              <w:rPr>
                <w:rFonts w:ascii="Arial" w:eastAsia="Times New Roman" w:hAnsi="Arial" w:cs="Arial"/>
                <w:sz w:val="18"/>
                <w:szCs w:val="18"/>
              </w:rPr>
            </w:pPr>
          </w:p>
        </w:tc>
        <w:tc>
          <w:tcPr>
            <w:tcW w:w="0" w:type="auto"/>
            <w:tcBorders>
              <w:top w:val="single" w:sz="8" w:space="0" w:color="auto"/>
              <w:left w:val="single" w:sz="4" w:space="0" w:color="auto"/>
              <w:bottom w:val="single" w:sz="8" w:space="0" w:color="auto"/>
              <w:right w:val="single" w:sz="8" w:space="0" w:color="auto"/>
            </w:tcBorders>
            <w:shd w:val="clear" w:color="auto" w:fill="auto"/>
            <w:noWrap/>
            <w:vAlign w:val="center"/>
            <w:hideMark/>
          </w:tcPr>
          <w:p w:rsidR="000A22AE" w:rsidRPr="00DA7E4C" w:rsidRDefault="000A22AE" w:rsidP="000A22AE">
            <w:pPr>
              <w:spacing w:before="0" w:after="0" w:line="240" w:lineRule="auto"/>
              <w:jc w:val="center"/>
              <w:rPr>
                <w:rFonts w:ascii="Arial" w:eastAsia="Times New Roman" w:hAnsi="Arial" w:cs="Arial"/>
                <w:sz w:val="18"/>
                <w:szCs w:val="18"/>
              </w:rPr>
            </w:pPr>
            <w:r w:rsidRPr="00DA7E4C">
              <w:rPr>
                <w:rFonts w:ascii="Arial" w:eastAsia="Times New Roman" w:hAnsi="Arial" w:cs="Arial"/>
                <w:sz w:val="18"/>
                <w:szCs w:val="18"/>
              </w:rPr>
              <w:t>DW</w:t>
            </w:r>
          </w:p>
        </w:tc>
        <w:tc>
          <w:tcPr>
            <w:tcW w:w="0" w:type="auto"/>
            <w:tcBorders>
              <w:top w:val="single" w:sz="8" w:space="0" w:color="auto"/>
              <w:left w:val="nil"/>
              <w:bottom w:val="single" w:sz="8" w:space="0" w:color="auto"/>
              <w:right w:val="single" w:sz="8" w:space="0" w:color="auto"/>
            </w:tcBorders>
            <w:shd w:val="clear" w:color="auto" w:fill="auto"/>
            <w:vAlign w:val="center"/>
            <w:hideMark/>
          </w:tcPr>
          <w:p w:rsidR="000A22AE" w:rsidRPr="00DA7E4C" w:rsidRDefault="000A22AE" w:rsidP="000A22AE">
            <w:pPr>
              <w:spacing w:before="0" w:after="0" w:line="240" w:lineRule="auto"/>
              <w:jc w:val="center"/>
              <w:rPr>
                <w:rFonts w:ascii="Arial" w:eastAsia="Times New Roman" w:hAnsi="Arial" w:cs="Arial"/>
                <w:color w:val="000000"/>
                <w:sz w:val="18"/>
                <w:szCs w:val="18"/>
              </w:rPr>
            </w:pPr>
            <w:r w:rsidRPr="00DA7E4C">
              <w:rPr>
                <w:rFonts w:ascii="Arial" w:eastAsia="Times New Roman" w:hAnsi="Arial" w:cs="Arial"/>
                <w:color w:val="000000"/>
                <w:sz w:val="18"/>
                <w:szCs w:val="18"/>
              </w:rPr>
              <w:t>Akaike</w:t>
            </w:r>
          </w:p>
        </w:tc>
      </w:tr>
      <w:tr w:rsidR="000A22AE" w:rsidRPr="00DA7E4C" w:rsidTr="000A22AE">
        <w:trPr>
          <w:trHeight w:val="240"/>
        </w:trPr>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center"/>
              <w:rPr>
                <w:rFonts w:eastAsia="Times New Roman" w:cs="Times New Roman"/>
                <w:sz w:val="18"/>
                <w:szCs w:val="18"/>
              </w:rPr>
            </w:pPr>
            <w:r w:rsidRPr="00DA7E4C">
              <w:rPr>
                <w:rFonts w:eastAsia="Times New Roman" w:cs="Times New Roman"/>
                <w:sz w:val="18"/>
                <w:szCs w:val="18"/>
              </w:rPr>
              <w:t>1</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ascii="Arial" w:eastAsia="Times New Roman" w:hAnsi="Arial" w:cs="Arial"/>
                <w:color w:val="000000"/>
                <w:sz w:val="18"/>
                <w:szCs w:val="18"/>
              </w:rPr>
            </w:pPr>
            <w:r w:rsidRPr="00DA7E4C">
              <w:rPr>
                <w:rFonts w:ascii="Arial" w:eastAsia="Times New Roman" w:hAnsi="Arial" w:cs="Arial"/>
                <w:color w:val="000000"/>
                <w:sz w:val="18"/>
                <w:szCs w:val="18"/>
              </w:rPr>
              <w:t>138.687</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ascii="Arial" w:eastAsia="Times New Roman" w:hAnsi="Arial" w:cs="Arial"/>
                <w:color w:val="000000"/>
                <w:sz w:val="18"/>
                <w:szCs w:val="18"/>
              </w:rPr>
            </w:pPr>
            <w:r w:rsidRPr="00DA7E4C">
              <w:rPr>
                <w:rFonts w:ascii="Arial" w:eastAsia="Times New Roman" w:hAnsi="Arial" w:cs="Arial"/>
                <w:color w:val="000000"/>
                <w:sz w:val="18"/>
                <w:szCs w:val="18"/>
              </w:rPr>
              <w:t>27.391</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ascii="Arial" w:eastAsia="Times New Roman" w:hAnsi="Arial" w:cs="Arial"/>
                <w:color w:val="000000"/>
                <w:sz w:val="18"/>
                <w:szCs w:val="18"/>
              </w:rPr>
            </w:pPr>
            <w:r w:rsidRPr="00DA7E4C">
              <w:rPr>
                <w:rFonts w:ascii="Arial" w:eastAsia="Times New Roman" w:hAnsi="Arial" w:cs="Arial"/>
                <w:color w:val="000000"/>
                <w:sz w:val="18"/>
                <w:szCs w:val="18"/>
              </w:rPr>
              <w:t>48.247</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ascii="Arial" w:eastAsia="Times New Roman" w:hAnsi="Arial" w:cs="Arial"/>
                <w:color w:val="000000"/>
                <w:sz w:val="18"/>
                <w:szCs w:val="18"/>
              </w:rPr>
            </w:pPr>
            <w:r w:rsidRPr="00DA7E4C">
              <w:rPr>
                <w:rFonts w:ascii="Arial" w:eastAsia="Times New Roman" w:hAnsi="Arial" w:cs="Arial"/>
                <w:color w:val="000000"/>
                <w:sz w:val="18"/>
                <w:szCs w:val="18"/>
              </w:rPr>
              <w:t>53.210</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ascii="Arial" w:eastAsia="Times New Roman" w:hAnsi="Arial" w:cs="Arial"/>
                <w:color w:val="000000"/>
                <w:sz w:val="18"/>
                <w:szCs w:val="18"/>
              </w:rPr>
            </w:pPr>
            <w:r w:rsidRPr="00DA7E4C">
              <w:rPr>
                <w:rFonts w:ascii="Arial" w:eastAsia="Times New Roman" w:hAnsi="Arial" w:cs="Arial"/>
                <w:color w:val="000000"/>
                <w:sz w:val="18"/>
                <w:szCs w:val="18"/>
              </w:rPr>
              <w:t>35.678</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ascii="Arial" w:eastAsia="Times New Roman" w:hAnsi="Arial" w:cs="Arial"/>
                <w:color w:val="000000"/>
                <w:sz w:val="18"/>
                <w:szCs w:val="18"/>
              </w:rPr>
            </w:pPr>
            <w:r w:rsidRPr="00DA7E4C">
              <w:rPr>
                <w:rFonts w:ascii="Arial" w:eastAsia="Times New Roman" w:hAnsi="Arial" w:cs="Arial"/>
                <w:color w:val="000000"/>
                <w:sz w:val="18"/>
                <w:szCs w:val="18"/>
              </w:rPr>
              <w:t>1.791</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ascii="Arial" w:eastAsia="Times New Roman" w:hAnsi="Arial" w:cs="Arial"/>
                <w:color w:val="000000"/>
                <w:sz w:val="18"/>
                <w:szCs w:val="18"/>
              </w:rPr>
            </w:pPr>
            <w:r w:rsidRPr="00DA7E4C">
              <w:rPr>
                <w:rFonts w:ascii="Arial" w:eastAsia="Times New Roman" w:hAnsi="Arial" w:cs="Arial"/>
                <w:color w:val="000000"/>
                <w:sz w:val="18"/>
                <w:szCs w:val="18"/>
              </w:rPr>
              <w:t>7.630</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ascii="Arial" w:eastAsia="Times New Roman" w:hAnsi="Arial" w:cs="Arial"/>
                <w:color w:val="000000"/>
                <w:sz w:val="18"/>
                <w:szCs w:val="18"/>
              </w:rPr>
            </w:pPr>
            <w:r w:rsidRPr="00DA7E4C">
              <w:rPr>
                <w:rFonts w:ascii="Arial" w:eastAsia="Times New Roman" w:hAnsi="Arial" w:cs="Arial"/>
                <w:color w:val="000000"/>
                <w:sz w:val="18"/>
                <w:szCs w:val="18"/>
              </w:rPr>
              <w:t>-5.411</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ascii="Arial" w:eastAsia="Times New Roman" w:hAnsi="Arial" w:cs="Arial"/>
                <w:color w:val="000000"/>
                <w:sz w:val="18"/>
                <w:szCs w:val="18"/>
              </w:rPr>
            </w:pPr>
            <w:r w:rsidRPr="00DA7E4C">
              <w:rPr>
                <w:rFonts w:ascii="Arial" w:eastAsia="Times New Roman" w:hAnsi="Arial" w:cs="Arial"/>
                <w:color w:val="000000"/>
                <w:sz w:val="18"/>
                <w:szCs w:val="18"/>
              </w:rPr>
              <w:t>9.421</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ascii="Arial" w:eastAsia="Times New Roman" w:hAnsi="Arial" w:cs="Arial"/>
                <w:color w:val="000000"/>
                <w:sz w:val="18"/>
                <w:szCs w:val="18"/>
              </w:rPr>
            </w:pPr>
            <w:r w:rsidRPr="00DA7E4C">
              <w:rPr>
                <w:rFonts w:ascii="Arial" w:eastAsia="Times New Roman" w:hAnsi="Arial" w:cs="Arial"/>
                <w:color w:val="000000"/>
                <w:sz w:val="18"/>
                <w:szCs w:val="18"/>
              </w:rPr>
              <w:t>-38.694</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ascii="Arial" w:eastAsia="Times New Roman" w:hAnsi="Arial" w:cs="Arial"/>
                <w:color w:val="000000"/>
                <w:sz w:val="18"/>
                <w:szCs w:val="18"/>
              </w:rPr>
            </w:pPr>
            <w:r w:rsidRPr="00DA7E4C">
              <w:rPr>
                <w:rFonts w:ascii="Arial" w:eastAsia="Times New Roman" w:hAnsi="Arial" w:cs="Arial"/>
                <w:color w:val="000000"/>
                <w:sz w:val="18"/>
                <w:szCs w:val="18"/>
              </w:rPr>
              <w:t>0.599</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ascii="Arial" w:eastAsia="Times New Roman" w:hAnsi="Arial" w:cs="Arial"/>
                <w:color w:val="000000"/>
                <w:sz w:val="18"/>
                <w:szCs w:val="18"/>
              </w:rPr>
            </w:pPr>
            <w:r w:rsidRPr="00DA7E4C">
              <w:rPr>
                <w:rFonts w:ascii="Arial" w:eastAsia="Times New Roman" w:hAnsi="Arial" w:cs="Arial"/>
                <w:color w:val="000000"/>
                <w:sz w:val="18"/>
                <w:szCs w:val="18"/>
              </w:rPr>
              <w:t>90.498</w:t>
            </w:r>
          </w:p>
        </w:tc>
        <w:tc>
          <w:tcPr>
            <w:tcW w:w="0" w:type="auto"/>
            <w:tcBorders>
              <w:top w:val="single" w:sz="4" w:space="0" w:color="auto"/>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ascii="Arial" w:eastAsia="Times New Roman" w:hAnsi="Arial" w:cs="Arial"/>
                <w:color w:val="000000"/>
                <w:sz w:val="18"/>
                <w:szCs w:val="18"/>
              </w:rPr>
            </w:pPr>
            <w:r w:rsidRPr="00DA7E4C">
              <w:rPr>
                <w:rFonts w:ascii="Arial" w:eastAsia="Times New Roman" w:hAnsi="Arial" w:cs="Arial"/>
                <w:color w:val="000000"/>
                <w:sz w:val="18"/>
                <w:szCs w:val="18"/>
              </w:rPr>
              <w:t>0.864</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ascii="Arial" w:eastAsia="Times New Roman" w:hAnsi="Arial" w:cs="Arial"/>
                <w:color w:val="000000"/>
                <w:sz w:val="18"/>
                <w:szCs w:val="18"/>
              </w:rPr>
            </w:pPr>
            <w:r w:rsidRPr="00DA7E4C">
              <w:rPr>
                <w:rFonts w:ascii="Arial" w:eastAsia="Times New Roman" w:hAnsi="Arial" w:cs="Arial"/>
                <w:color w:val="000000"/>
                <w:sz w:val="18"/>
                <w:szCs w:val="18"/>
              </w:rPr>
              <w:t>1.527</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ascii="Arial" w:eastAsia="Times New Roman" w:hAnsi="Arial" w:cs="Arial"/>
                <w:color w:val="000000"/>
                <w:sz w:val="18"/>
                <w:szCs w:val="18"/>
              </w:rPr>
            </w:pPr>
            <w:r w:rsidRPr="00DA7E4C">
              <w:rPr>
                <w:rFonts w:ascii="Arial" w:eastAsia="Times New Roman" w:hAnsi="Arial" w:cs="Arial"/>
                <w:color w:val="000000"/>
                <w:sz w:val="18"/>
                <w:szCs w:val="18"/>
              </w:rPr>
              <w:t>18.438</w:t>
            </w:r>
          </w:p>
        </w:tc>
      </w:tr>
      <w:tr w:rsidR="000A22AE" w:rsidRPr="00DA7E4C" w:rsidTr="000A22AE">
        <w:trPr>
          <w:trHeight w:val="240"/>
        </w:trPr>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center"/>
              <w:rPr>
                <w:rFonts w:eastAsia="Times New Roman" w:cs="Times New Roman"/>
                <w:b/>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ascii="Arial" w:eastAsia="Times New Roman" w:hAnsi="Arial" w:cs="Arial"/>
                <w:b/>
                <w:color w:val="000000"/>
                <w:sz w:val="18"/>
                <w:szCs w:val="18"/>
              </w:rPr>
            </w:pPr>
            <w:r w:rsidRPr="00DA7E4C">
              <w:rPr>
                <w:rFonts w:ascii="Arial" w:eastAsia="Times New Roman" w:hAnsi="Arial" w:cs="Arial"/>
                <w:b/>
                <w:color w:val="000000"/>
                <w:sz w:val="18"/>
                <w:szCs w:val="18"/>
              </w:rPr>
              <w:t>0.771</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ascii="Arial" w:eastAsia="Times New Roman" w:hAnsi="Arial" w:cs="Arial"/>
                <w:b/>
                <w:color w:val="000000"/>
                <w:sz w:val="18"/>
                <w:szCs w:val="18"/>
              </w:rPr>
            </w:pPr>
            <w:r w:rsidRPr="00DA7E4C">
              <w:rPr>
                <w:rFonts w:ascii="Arial" w:eastAsia="Times New Roman" w:hAnsi="Arial" w:cs="Arial"/>
                <w:b/>
                <w:color w:val="000000"/>
                <w:sz w:val="18"/>
                <w:szCs w:val="18"/>
              </w:rPr>
              <w:t>0.011</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ascii="Arial" w:eastAsia="Times New Roman" w:hAnsi="Arial" w:cs="Arial"/>
                <w:b/>
                <w:color w:val="000000"/>
                <w:sz w:val="18"/>
                <w:szCs w:val="18"/>
              </w:rPr>
            </w:pPr>
            <w:r w:rsidRPr="00DA7E4C">
              <w:rPr>
                <w:rFonts w:ascii="Arial" w:eastAsia="Times New Roman" w:hAnsi="Arial" w:cs="Arial"/>
                <w:b/>
                <w:color w:val="000000"/>
                <w:sz w:val="18"/>
                <w:szCs w:val="18"/>
              </w:rPr>
              <w:t>0.000</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ascii="Arial" w:eastAsia="Times New Roman" w:hAnsi="Arial" w:cs="Arial"/>
                <w:b/>
                <w:color w:val="000000"/>
                <w:sz w:val="18"/>
                <w:szCs w:val="18"/>
              </w:rPr>
            </w:pPr>
            <w:r w:rsidRPr="00DA7E4C">
              <w:rPr>
                <w:rFonts w:ascii="Arial" w:eastAsia="Times New Roman" w:hAnsi="Arial" w:cs="Arial"/>
                <w:b/>
                <w:color w:val="000000"/>
                <w:sz w:val="18"/>
                <w:szCs w:val="18"/>
              </w:rPr>
              <w:t>0.000</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ascii="Arial" w:eastAsia="Times New Roman" w:hAnsi="Arial" w:cs="Arial"/>
                <w:b/>
                <w:color w:val="000000"/>
                <w:sz w:val="18"/>
                <w:szCs w:val="18"/>
              </w:rPr>
            </w:pPr>
            <w:r w:rsidRPr="00DA7E4C">
              <w:rPr>
                <w:rFonts w:ascii="Arial" w:eastAsia="Times New Roman" w:hAnsi="Arial" w:cs="Arial"/>
                <w:b/>
                <w:color w:val="000000"/>
                <w:sz w:val="18"/>
                <w:szCs w:val="18"/>
              </w:rPr>
              <w:t>0.002</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ascii="Arial" w:eastAsia="Times New Roman" w:hAnsi="Arial" w:cs="Arial"/>
                <w:b/>
                <w:color w:val="000000"/>
                <w:sz w:val="18"/>
                <w:szCs w:val="18"/>
              </w:rPr>
            </w:pPr>
            <w:r w:rsidRPr="00DA7E4C">
              <w:rPr>
                <w:rFonts w:ascii="Arial" w:eastAsia="Times New Roman" w:hAnsi="Arial" w:cs="Arial"/>
                <w:b/>
                <w:color w:val="000000"/>
                <w:sz w:val="18"/>
                <w:szCs w:val="18"/>
              </w:rPr>
              <w:t>0.871</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ascii="Arial" w:eastAsia="Times New Roman" w:hAnsi="Arial" w:cs="Arial"/>
                <w:b/>
                <w:color w:val="000000"/>
                <w:sz w:val="18"/>
                <w:szCs w:val="18"/>
              </w:rPr>
            </w:pPr>
            <w:r w:rsidRPr="00DA7E4C">
              <w:rPr>
                <w:rFonts w:ascii="Arial" w:eastAsia="Times New Roman" w:hAnsi="Arial" w:cs="Arial"/>
                <w:b/>
                <w:color w:val="000000"/>
                <w:sz w:val="18"/>
                <w:szCs w:val="18"/>
              </w:rPr>
              <w:t>0.493</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ascii="Arial" w:eastAsia="Times New Roman" w:hAnsi="Arial" w:cs="Arial"/>
                <w:b/>
                <w:color w:val="000000"/>
                <w:sz w:val="18"/>
                <w:szCs w:val="18"/>
              </w:rPr>
            </w:pPr>
            <w:r w:rsidRPr="00DA7E4C">
              <w:rPr>
                <w:rFonts w:ascii="Arial" w:eastAsia="Times New Roman" w:hAnsi="Arial" w:cs="Arial"/>
                <w:b/>
                <w:color w:val="000000"/>
                <w:sz w:val="18"/>
                <w:szCs w:val="18"/>
              </w:rPr>
              <w:t>0.625</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ascii="Arial" w:eastAsia="Times New Roman" w:hAnsi="Arial" w:cs="Arial"/>
                <w:b/>
                <w:color w:val="000000"/>
                <w:sz w:val="18"/>
                <w:szCs w:val="18"/>
              </w:rPr>
            </w:pPr>
            <w:r w:rsidRPr="00DA7E4C">
              <w:rPr>
                <w:rFonts w:ascii="Arial" w:eastAsia="Times New Roman" w:hAnsi="Arial" w:cs="Arial"/>
                <w:b/>
                <w:color w:val="000000"/>
                <w:sz w:val="18"/>
                <w:szCs w:val="18"/>
              </w:rPr>
              <w:t>0.405</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ascii="Arial" w:eastAsia="Times New Roman" w:hAnsi="Arial" w:cs="Arial"/>
                <w:b/>
                <w:color w:val="000000"/>
                <w:sz w:val="18"/>
                <w:szCs w:val="18"/>
              </w:rPr>
            </w:pPr>
            <w:r w:rsidRPr="00DA7E4C">
              <w:rPr>
                <w:rFonts w:ascii="Arial" w:eastAsia="Times New Roman" w:hAnsi="Arial" w:cs="Arial"/>
                <w:b/>
                <w:color w:val="000000"/>
                <w:sz w:val="18"/>
                <w:szCs w:val="18"/>
              </w:rPr>
              <w:t>0.001</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ascii="Arial" w:eastAsia="Times New Roman" w:hAnsi="Arial" w:cs="Arial"/>
                <w:b/>
                <w:color w:val="000000"/>
                <w:sz w:val="18"/>
                <w:szCs w:val="18"/>
              </w:rPr>
            </w:pPr>
            <w:r w:rsidRPr="00DA7E4C">
              <w:rPr>
                <w:rFonts w:ascii="Arial" w:eastAsia="Times New Roman" w:hAnsi="Arial" w:cs="Arial"/>
                <w:b/>
                <w:color w:val="000000"/>
                <w:sz w:val="18"/>
                <w:szCs w:val="18"/>
              </w:rPr>
              <w:t>0.000</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ascii="Calibri" w:eastAsia="Times New Roman" w:hAnsi="Calibri" w:cs="Times New Roman"/>
                <w:b/>
                <w:color w:val="000000"/>
                <w:sz w:val="18"/>
                <w:szCs w:val="18"/>
              </w:rPr>
            </w:pPr>
            <w:r w:rsidRPr="00DA7E4C">
              <w:rPr>
                <w:rFonts w:ascii="Calibri" w:eastAsia="Times New Roman" w:hAnsi="Calibri" w:cs="Times New Roman"/>
                <w:b/>
                <w:color w:val="000000"/>
                <w:sz w:val="18"/>
                <w:szCs w:val="18"/>
              </w:rPr>
              <w:t>0.000</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ascii="Calibri" w:eastAsia="Times New Roman" w:hAnsi="Calibri" w:cs="Times New Roman"/>
                <w:b/>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ascii="Calibri" w:eastAsia="Times New Roman" w:hAnsi="Calibri" w:cs="Times New Roman"/>
                <w:b/>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ascii="Calibri" w:eastAsia="Times New Roman" w:hAnsi="Calibri" w:cs="Times New Roman"/>
                <w:b/>
                <w:color w:val="000000"/>
                <w:sz w:val="18"/>
                <w:szCs w:val="18"/>
              </w:rPr>
            </w:pPr>
          </w:p>
        </w:tc>
      </w:tr>
      <w:tr w:rsidR="000A22AE" w:rsidRPr="00DA7E4C" w:rsidTr="000A22AE">
        <w:trPr>
          <w:trHeight w:val="240"/>
        </w:trPr>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center"/>
              <w:rPr>
                <w:rFonts w:eastAsia="Times New Roman" w:cs="Times New Roman"/>
                <w:sz w:val="18"/>
                <w:szCs w:val="18"/>
              </w:rPr>
            </w:pPr>
            <w:r w:rsidRPr="00DA7E4C">
              <w:rPr>
                <w:rFonts w:eastAsia="Times New Roman" w:cs="Times New Roman"/>
                <w:sz w:val="18"/>
                <w:szCs w:val="18"/>
              </w:rPr>
              <w:t>2</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ascii="Arial" w:eastAsia="Times New Roman" w:hAnsi="Arial" w:cs="Arial"/>
                <w:color w:val="000000"/>
                <w:sz w:val="18"/>
                <w:szCs w:val="18"/>
              </w:rPr>
            </w:pPr>
            <w:r w:rsidRPr="00DA7E4C">
              <w:rPr>
                <w:rFonts w:ascii="Arial" w:eastAsia="Times New Roman" w:hAnsi="Arial" w:cs="Arial"/>
                <w:color w:val="000000"/>
                <w:sz w:val="18"/>
                <w:szCs w:val="18"/>
              </w:rPr>
              <w:t>-18.269</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ascii="Arial" w:eastAsia="Times New Roman" w:hAnsi="Arial" w:cs="Arial"/>
                <w:color w:val="000000"/>
                <w:sz w:val="18"/>
                <w:szCs w:val="18"/>
              </w:rPr>
            </w:pPr>
            <w:r w:rsidRPr="00DA7E4C">
              <w:rPr>
                <w:rFonts w:ascii="Arial" w:eastAsia="Times New Roman" w:hAnsi="Arial" w:cs="Arial"/>
                <w:color w:val="000000"/>
                <w:sz w:val="18"/>
                <w:szCs w:val="18"/>
              </w:rPr>
              <w:t>63.361</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ascii="Calibri" w:eastAsia="Times New Roman" w:hAnsi="Calibri" w:cs="Times New Roman"/>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ascii="Calibri" w:eastAsia="Times New Roman" w:hAnsi="Calibri" w:cs="Times New Roman"/>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ascii="Calibri" w:eastAsia="Times New Roman" w:hAnsi="Calibri" w:cs="Times New Roman"/>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ascii="Calibri" w:eastAsia="Times New Roman" w:hAnsi="Calibri" w:cs="Times New Roman"/>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ascii="Calibri" w:eastAsia="Times New Roman" w:hAnsi="Calibri" w:cs="Times New Roman"/>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ascii="Calibri" w:eastAsia="Times New Roman" w:hAnsi="Calibri" w:cs="Times New Roman"/>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ascii="Calibri" w:eastAsia="Times New Roman" w:hAnsi="Calibri" w:cs="Times New Roman"/>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ascii="Calibri" w:eastAsia="Times New Roman" w:hAnsi="Calibri" w:cs="Times New Roman"/>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ascii="Arial" w:eastAsia="Times New Roman" w:hAnsi="Arial" w:cs="Arial"/>
                <w:color w:val="000000"/>
                <w:sz w:val="18"/>
                <w:szCs w:val="18"/>
              </w:rPr>
            </w:pPr>
            <w:r w:rsidRPr="00DA7E4C">
              <w:rPr>
                <w:rFonts w:ascii="Arial" w:eastAsia="Times New Roman" w:hAnsi="Arial" w:cs="Arial"/>
                <w:color w:val="000000"/>
                <w:sz w:val="18"/>
                <w:szCs w:val="18"/>
              </w:rPr>
              <w:t>0.767</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ascii="Arial" w:eastAsia="Times New Roman" w:hAnsi="Arial" w:cs="Arial"/>
                <w:color w:val="000000"/>
                <w:sz w:val="18"/>
                <w:szCs w:val="18"/>
              </w:rPr>
            </w:pPr>
            <w:r w:rsidRPr="00DA7E4C">
              <w:rPr>
                <w:rFonts w:ascii="Arial" w:eastAsia="Times New Roman" w:hAnsi="Arial" w:cs="Arial"/>
                <w:color w:val="000000"/>
                <w:sz w:val="18"/>
                <w:szCs w:val="18"/>
              </w:rPr>
              <w:t>213.544</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ascii="Arial" w:eastAsia="Times New Roman" w:hAnsi="Arial" w:cs="Arial"/>
                <w:color w:val="000000"/>
                <w:sz w:val="18"/>
                <w:szCs w:val="18"/>
              </w:rPr>
            </w:pPr>
            <w:r w:rsidRPr="00DA7E4C">
              <w:rPr>
                <w:rFonts w:ascii="Arial" w:eastAsia="Times New Roman" w:hAnsi="Arial" w:cs="Arial"/>
                <w:color w:val="000000"/>
                <w:sz w:val="18"/>
                <w:szCs w:val="18"/>
              </w:rPr>
              <w:t>0.729</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ascii="Arial" w:eastAsia="Times New Roman" w:hAnsi="Arial" w:cs="Arial"/>
                <w:color w:val="000000"/>
                <w:sz w:val="18"/>
                <w:szCs w:val="18"/>
              </w:rPr>
            </w:pPr>
            <w:r w:rsidRPr="00DA7E4C">
              <w:rPr>
                <w:rFonts w:ascii="Arial" w:eastAsia="Times New Roman" w:hAnsi="Arial" w:cs="Arial"/>
                <w:color w:val="000000"/>
                <w:sz w:val="18"/>
                <w:szCs w:val="18"/>
              </w:rPr>
              <w:t>1.173</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ascii="Arial" w:eastAsia="Times New Roman" w:hAnsi="Arial" w:cs="Arial"/>
                <w:color w:val="000000"/>
                <w:sz w:val="18"/>
                <w:szCs w:val="18"/>
              </w:rPr>
            </w:pPr>
            <w:r w:rsidRPr="00DA7E4C">
              <w:rPr>
                <w:rFonts w:ascii="Arial" w:eastAsia="Times New Roman" w:hAnsi="Arial" w:cs="Arial"/>
                <w:color w:val="000000"/>
                <w:sz w:val="18"/>
                <w:szCs w:val="18"/>
              </w:rPr>
              <w:t>18.969</w:t>
            </w:r>
          </w:p>
        </w:tc>
      </w:tr>
      <w:tr w:rsidR="000A22AE" w:rsidRPr="00DA7E4C" w:rsidTr="000A22AE">
        <w:trPr>
          <w:trHeight w:val="240"/>
        </w:trPr>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center"/>
              <w:rPr>
                <w:rFonts w:eastAsia="Times New Roman" w:cs="Times New Roman"/>
                <w:b/>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ascii="Arial" w:eastAsia="Times New Roman" w:hAnsi="Arial" w:cs="Arial"/>
                <w:b/>
                <w:color w:val="000000"/>
                <w:sz w:val="18"/>
                <w:szCs w:val="18"/>
              </w:rPr>
            </w:pPr>
            <w:r w:rsidRPr="00DA7E4C">
              <w:rPr>
                <w:rFonts w:ascii="Arial" w:eastAsia="Times New Roman" w:hAnsi="Arial" w:cs="Arial"/>
                <w:b/>
                <w:color w:val="000000"/>
                <w:sz w:val="18"/>
                <w:szCs w:val="18"/>
              </w:rPr>
              <w:t>0.986</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ascii="Arial" w:eastAsia="Times New Roman" w:hAnsi="Arial" w:cs="Arial"/>
                <w:b/>
                <w:color w:val="000000"/>
                <w:sz w:val="18"/>
                <w:szCs w:val="18"/>
              </w:rPr>
            </w:pPr>
            <w:r w:rsidRPr="00DA7E4C">
              <w:rPr>
                <w:rFonts w:ascii="Arial" w:eastAsia="Times New Roman" w:hAnsi="Arial" w:cs="Arial"/>
                <w:b/>
                <w:color w:val="000000"/>
                <w:sz w:val="18"/>
                <w:szCs w:val="18"/>
              </w:rPr>
              <w:t>0.000</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ascii="Calibri" w:eastAsia="Times New Roman" w:hAnsi="Calibri" w:cs="Times New Roman"/>
                <w:b/>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ascii="Calibri" w:eastAsia="Times New Roman" w:hAnsi="Calibri" w:cs="Times New Roman"/>
                <w:b/>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ascii="Calibri" w:eastAsia="Times New Roman" w:hAnsi="Calibri" w:cs="Times New Roman"/>
                <w:b/>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ascii="Calibri" w:eastAsia="Times New Roman" w:hAnsi="Calibri" w:cs="Times New Roman"/>
                <w:b/>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ascii="Calibri" w:eastAsia="Times New Roman" w:hAnsi="Calibri" w:cs="Times New Roman"/>
                <w:b/>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ascii="Calibri" w:eastAsia="Times New Roman" w:hAnsi="Calibri" w:cs="Times New Roman"/>
                <w:b/>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ascii="Calibri" w:eastAsia="Times New Roman" w:hAnsi="Calibri" w:cs="Times New Roman"/>
                <w:b/>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ascii="Calibri" w:eastAsia="Times New Roman" w:hAnsi="Calibri" w:cs="Times New Roman"/>
                <w:b/>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ascii="Arial" w:eastAsia="Times New Roman" w:hAnsi="Arial" w:cs="Arial"/>
                <w:b/>
                <w:color w:val="000000"/>
                <w:sz w:val="18"/>
                <w:szCs w:val="18"/>
              </w:rPr>
            </w:pPr>
            <w:r w:rsidRPr="00DA7E4C">
              <w:rPr>
                <w:rFonts w:ascii="Arial" w:eastAsia="Times New Roman" w:hAnsi="Arial" w:cs="Arial"/>
                <w:b/>
                <w:color w:val="000000"/>
                <w:sz w:val="18"/>
                <w:szCs w:val="18"/>
              </w:rPr>
              <w:t>0.000</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ascii="Calibri" w:eastAsia="Times New Roman" w:hAnsi="Calibri" w:cs="Times New Roman"/>
                <w:b/>
                <w:color w:val="000000"/>
                <w:sz w:val="18"/>
                <w:szCs w:val="18"/>
              </w:rPr>
            </w:pPr>
            <w:r w:rsidRPr="00DA7E4C">
              <w:rPr>
                <w:rFonts w:ascii="Calibri" w:eastAsia="Times New Roman" w:hAnsi="Calibri" w:cs="Times New Roman"/>
                <w:b/>
                <w:color w:val="000000"/>
                <w:sz w:val="18"/>
                <w:szCs w:val="18"/>
              </w:rPr>
              <w:t>0.000</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ascii="Calibri" w:eastAsia="Times New Roman" w:hAnsi="Calibri" w:cs="Times New Roman"/>
                <w:b/>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ascii="Arial" w:eastAsia="Times New Roman" w:hAnsi="Arial" w:cs="Arial"/>
                <w:b/>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ascii="Arial" w:eastAsia="Times New Roman" w:hAnsi="Arial" w:cs="Arial"/>
                <w:b/>
                <w:color w:val="000000"/>
                <w:sz w:val="18"/>
                <w:szCs w:val="18"/>
              </w:rPr>
            </w:pPr>
          </w:p>
        </w:tc>
      </w:tr>
      <w:tr w:rsidR="000A22AE" w:rsidRPr="00DA7E4C" w:rsidTr="000A22AE">
        <w:trPr>
          <w:trHeight w:val="240"/>
        </w:trPr>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center"/>
              <w:rPr>
                <w:rFonts w:eastAsia="Times New Roman" w:cs="Times New Roman"/>
                <w:sz w:val="18"/>
                <w:szCs w:val="18"/>
              </w:rPr>
            </w:pPr>
            <w:r w:rsidRPr="00DA7E4C">
              <w:rPr>
                <w:rFonts w:eastAsia="Times New Roman" w:cs="Times New Roman"/>
                <w:sz w:val="18"/>
                <w:szCs w:val="18"/>
              </w:rPr>
              <w:t>3</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ascii="Arial" w:eastAsia="Times New Roman" w:hAnsi="Arial" w:cs="Arial"/>
                <w:color w:val="000000"/>
                <w:sz w:val="18"/>
                <w:szCs w:val="18"/>
              </w:rPr>
            </w:pPr>
            <w:r w:rsidRPr="00DA7E4C">
              <w:rPr>
                <w:rFonts w:ascii="Arial" w:eastAsia="Times New Roman" w:hAnsi="Arial" w:cs="Arial"/>
                <w:color w:val="000000"/>
                <w:sz w:val="18"/>
                <w:szCs w:val="18"/>
              </w:rPr>
              <w:t>86.541</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ascii="Calibri" w:eastAsia="Times New Roman" w:hAnsi="Calibri" w:cs="Times New Roman"/>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ascii="Arial" w:eastAsia="Times New Roman" w:hAnsi="Arial" w:cs="Arial"/>
                <w:color w:val="000000"/>
                <w:sz w:val="18"/>
                <w:szCs w:val="18"/>
              </w:rPr>
            </w:pPr>
            <w:r w:rsidRPr="00DA7E4C">
              <w:rPr>
                <w:rFonts w:ascii="Arial" w:eastAsia="Times New Roman" w:hAnsi="Arial" w:cs="Arial"/>
                <w:color w:val="000000"/>
                <w:sz w:val="18"/>
                <w:szCs w:val="18"/>
              </w:rPr>
              <w:t>97.362</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ascii="Calibri" w:eastAsia="Times New Roman" w:hAnsi="Calibri" w:cs="Times New Roman"/>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ascii="Calibri" w:eastAsia="Times New Roman" w:hAnsi="Calibri" w:cs="Times New Roman"/>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ascii="Calibri" w:eastAsia="Times New Roman" w:hAnsi="Calibri" w:cs="Times New Roman"/>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ascii="Calibri" w:eastAsia="Times New Roman" w:hAnsi="Calibri" w:cs="Times New Roman"/>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ascii="Calibri" w:eastAsia="Times New Roman" w:hAnsi="Calibri" w:cs="Times New Roman"/>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ascii="Calibri" w:eastAsia="Times New Roman" w:hAnsi="Calibri" w:cs="Times New Roman"/>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ascii="Calibri" w:eastAsia="Times New Roman" w:hAnsi="Calibri" w:cs="Times New Roman"/>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ascii="Arial" w:eastAsia="Times New Roman" w:hAnsi="Arial" w:cs="Arial"/>
                <w:color w:val="000000"/>
                <w:sz w:val="18"/>
                <w:szCs w:val="18"/>
              </w:rPr>
            </w:pPr>
            <w:r w:rsidRPr="00DA7E4C">
              <w:rPr>
                <w:rFonts w:ascii="Arial" w:eastAsia="Times New Roman" w:hAnsi="Arial" w:cs="Arial"/>
                <w:color w:val="000000"/>
                <w:sz w:val="18"/>
                <w:szCs w:val="18"/>
              </w:rPr>
              <w:t>0.631</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ascii="Arial" w:eastAsia="Times New Roman" w:hAnsi="Arial" w:cs="Arial"/>
                <w:color w:val="000000"/>
                <w:sz w:val="18"/>
                <w:szCs w:val="18"/>
              </w:rPr>
            </w:pPr>
            <w:r w:rsidRPr="00DA7E4C">
              <w:rPr>
                <w:rFonts w:ascii="Arial" w:eastAsia="Times New Roman" w:hAnsi="Arial" w:cs="Arial"/>
                <w:color w:val="000000"/>
                <w:sz w:val="18"/>
                <w:szCs w:val="18"/>
              </w:rPr>
              <w:t>256.754</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ascii="Arial" w:eastAsia="Times New Roman" w:hAnsi="Arial" w:cs="Arial"/>
                <w:color w:val="000000"/>
                <w:sz w:val="18"/>
                <w:szCs w:val="18"/>
              </w:rPr>
            </w:pPr>
            <w:r w:rsidRPr="00DA7E4C">
              <w:rPr>
                <w:rFonts w:ascii="Arial" w:eastAsia="Times New Roman" w:hAnsi="Arial" w:cs="Arial"/>
                <w:color w:val="000000"/>
                <w:sz w:val="18"/>
                <w:szCs w:val="18"/>
              </w:rPr>
              <w:t>0.765</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ascii="Arial" w:eastAsia="Times New Roman" w:hAnsi="Arial" w:cs="Arial"/>
                <w:color w:val="000000"/>
                <w:sz w:val="18"/>
                <w:szCs w:val="18"/>
              </w:rPr>
            </w:pPr>
            <w:r w:rsidRPr="00DA7E4C">
              <w:rPr>
                <w:rFonts w:ascii="Arial" w:eastAsia="Times New Roman" w:hAnsi="Arial" w:cs="Arial"/>
                <w:color w:val="000000"/>
                <w:sz w:val="18"/>
                <w:szCs w:val="18"/>
              </w:rPr>
              <w:t>1.690</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ascii="Arial" w:eastAsia="Times New Roman" w:hAnsi="Arial" w:cs="Arial"/>
                <w:color w:val="000000"/>
                <w:sz w:val="18"/>
                <w:szCs w:val="18"/>
              </w:rPr>
            </w:pPr>
            <w:r w:rsidRPr="00DA7E4C">
              <w:rPr>
                <w:rFonts w:ascii="Arial" w:eastAsia="Times New Roman" w:hAnsi="Arial" w:cs="Arial"/>
                <w:color w:val="000000"/>
                <w:sz w:val="18"/>
                <w:szCs w:val="18"/>
              </w:rPr>
              <w:t>18.833</w:t>
            </w:r>
          </w:p>
        </w:tc>
      </w:tr>
      <w:tr w:rsidR="000A22AE" w:rsidRPr="00DA7E4C" w:rsidTr="000A22AE">
        <w:trPr>
          <w:trHeight w:val="240"/>
        </w:trPr>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center"/>
              <w:rPr>
                <w:rFonts w:eastAsia="Times New Roman" w:cs="Times New Roman"/>
                <w:b/>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ascii="Arial" w:eastAsia="Times New Roman" w:hAnsi="Arial" w:cs="Arial"/>
                <w:b/>
                <w:color w:val="000000"/>
                <w:sz w:val="18"/>
                <w:szCs w:val="18"/>
              </w:rPr>
            </w:pPr>
            <w:r w:rsidRPr="00DA7E4C">
              <w:rPr>
                <w:rFonts w:ascii="Arial" w:eastAsia="Times New Roman" w:hAnsi="Arial" w:cs="Arial"/>
                <w:b/>
                <w:color w:val="000000"/>
                <w:sz w:val="18"/>
                <w:szCs w:val="18"/>
              </w:rPr>
              <w:t>0.891</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ascii="Calibri" w:eastAsia="Times New Roman" w:hAnsi="Calibri" w:cs="Times New Roman"/>
                <w:b/>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ascii="Arial" w:eastAsia="Times New Roman" w:hAnsi="Arial" w:cs="Arial"/>
                <w:b/>
                <w:color w:val="000000"/>
                <w:sz w:val="18"/>
                <w:szCs w:val="18"/>
              </w:rPr>
            </w:pPr>
            <w:r w:rsidRPr="00DA7E4C">
              <w:rPr>
                <w:rFonts w:ascii="Arial" w:eastAsia="Times New Roman" w:hAnsi="Arial" w:cs="Arial"/>
                <w:b/>
                <w:color w:val="000000"/>
                <w:sz w:val="18"/>
                <w:szCs w:val="18"/>
              </w:rPr>
              <w:t>0.000</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ascii="Calibri" w:eastAsia="Times New Roman" w:hAnsi="Calibri" w:cs="Times New Roman"/>
                <w:b/>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ascii="Calibri" w:eastAsia="Times New Roman" w:hAnsi="Calibri" w:cs="Times New Roman"/>
                <w:b/>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ascii="Calibri" w:eastAsia="Times New Roman" w:hAnsi="Calibri" w:cs="Times New Roman"/>
                <w:b/>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ascii="Calibri" w:eastAsia="Times New Roman" w:hAnsi="Calibri" w:cs="Times New Roman"/>
                <w:b/>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ascii="Calibri" w:eastAsia="Times New Roman" w:hAnsi="Calibri" w:cs="Times New Roman"/>
                <w:b/>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ascii="Calibri" w:eastAsia="Times New Roman" w:hAnsi="Calibri" w:cs="Times New Roman"/>
                <w:b/>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ascii="Calibri" w:eastAsia="Times New Roman" w:hAnsi="Calibri" w:cs="Times New Roman"/>
                <w:b/>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ascii="Arial" w:eastAsia="Times New Roman" w:hAnsi="Arial" w:cs="Arial"/>
                <w:b/>
                <w:color w:val="000000"/>
                <w:sz w:val="18"/>
                <w:szCs w:val="18"/>
              </w:rPr>
            </w:pPr>
            <w:r w:rsidRPr="00DA7E4C">
              <w:rPr>
                <w:rFonts w:ascii="Arial" w:eastAsia="Times New Roman" w:hAnsi="Arial" w:cs="Arial"/>
                <w:b/>
                <w:color w:val="000000"/>
                <w:sz w:val="18"/>
                <w:szCs w:val="18"/>
              </w:rPr>
              <w:t>0.000</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ascii="Calibri" w:eastAsia="Times New Roman" w:hAnsi="Calibri" w:cs="Times New Roman"/>
                <w:b/>
                <w:color w:val="000000"/>
                <w:sz w:val="18"/>
                <w:szCs w:val="18"/>
              </w:rPr>
            </w:pPr>
            <w:r w:rsidRPr="00DA7E4C">
              <w:rPr>
                <w:rFonts w:ascii="Calibri" w:eastAsia="Times New Roman" w:hAnsi="Calibri" w:cs="Times New Roman"/>
                <w:b/>
                <w:color w:val="000000"/>
                <w:sz w:val="18"/>
                <w:szCs w:val="18"/>
              </w:rPr>
              <w:t>0.000</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ascii="Arial" w:eastAsia="Times New Roman" w:hAnsi="Arial" w:cs="Arial"/>
                <w:b/>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ascii="Arial" w:eastAsia="Times New Roman" w:hAnsi="Arial" w:cs="Arial"/>
                <w:b/>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ascii="Arial" w:eastAsia="Times New Roman" w:hAnsi="Arial" w:cs="Arial"/>
                <w:b/>
                <w:color w:val="000000"/>
                <w:sz w:val="18"/>
                <w:szCs w:val="18"/>
              </w:rPr>
            </w:pPr>
          </w:p>
        </w:tc>
      </w:tr>
      <w:tr w:rsidR="000A22AE" w:rsidRPr="00DA7E4C" w:rsidTr="000A22AE">
        <w:trPr>
          <w:trHeight w:val="240"/>
        </w:trPr>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center"/>
              <w:rPr>
                <w:rFonts w:eastAsia="Times New Roman" w:cs="Times New Roman"/>
                <w:sz w:val="18"/>
                <w:szCs w:val="18"/>
              </w:rPr>
            </w:pPr>
            <w:r w:rsidRPr="00DA7E4C">
              <w:rPr>
                <w:rFonts w:eastAsia="Times New Roman" w:cs="Times New Roman"/>
                <w:sz w:val="18"/>
                <w:szCs w:val="18"/>
              </w:rPr>
              <w:t>4</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ascii="Arial" w:eastAsia="Times New Roman" w:hAnsi="Arial" w:cs="Arial"/>
                <w:color w:val="000000"/>
                <w:sz w:val="18"/>
                <w:szCs w:val="18"/>
              </w:rPr>
            </w:pPr>
            <w:r w:rsidRPr="00DA7E4C">
              <w:rPr>
                <w:rFonts w:ascii="Arial" w:eastAsia="Times New Roman" w:hAnsi="Arial" w:cs="Arial"/>
                <w:color w:val="000000"/>
                <w:sz w:val="18"/>
                <w:szCs w:val="18"/>
              </w:rPr>
              <w:t>8.323</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ascii="Calibri" w:eastAsia="Times New Roman" w:hAnsi="Calibri" w:cs="Times New Roman"/>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ascii="Calibri" w:eastAsia="Times New Roman" w:hAnsi="Calibri" w:cs="Times New Roman"/>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ascii="Arial" w:eastAsia="Times New Roman" w:hAnsi="Arial" w:cs="Arial"/>
                <w:color w:val="000000"/>
                <w:sz w:val="18"/>
                <w:szCs w:val="18"/>
              </w:rPr>
            </w:pPr>
            <w:r w:rsidRPr="00DA7E4C">
              <w:rPr>
                <w:rFonts w:ascii="Arial" w:eastAsia="Times New Roman" w:hAnsi="Arial" w:cs="Arial"/>
                <w:color w:val="000000"/>
                <w:sz w:val="18"/>
                <w:szCs w:val="18"/>
              </w:rPr>
              <w:t>111.209</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ascii="Calibri" w:eastAsia="Times New Roman" w:hAnsi="Calibri" w:cs="Times New Roman"/>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ascii="Calibri" w:eastAsia="Times New Roman" w:hAnsi="Calibri" w:cs="Times New Roman"/>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ascii="Calibri" w:eastAsia="Times New Roman" w:hAnsi="Calibri" w:cs="Times New Roman"/>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ascii="Calibri" w:eastAsia="Times New Roman" w:hAnsi="Calibri" w:cs="Times New Roman"/>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ascii="Calibri" w:eastAsia="Times New Roman" w:hAnsi="Calibri" w:cs="Times New Roman"/>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ascii="Calibri" w:eastAsia="Times New Roman" w:hAnsi="Calibri" w:cs="Times New Roman"/>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ascii="Arial" w:eastAsia="Times New Roman" w:hAnsi="Arial" w:cs="Arial"/>
                <w:color w:val="000000"/>
                <w:sz w:val="18"/>
                <w:szCs w:val="18"/>
              </w:rPr>
            </w:pPr>
            <w:r w:rsidRPr="00DA7E4C">
              <w:rPr>
                <w:rFonts w:ascii="Arial" w:eastAsia="Times New Roman" w:hAnsi="Arial" w:cs="Arial"/>
                <w:color w:val="000000"/>
                <w:sz w:val="18"/>
                <w:szCs w:val="18"/>
              </w:rPr>
              <w:t>0.551</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ascii="Arial" w:eastAsia="Times New Roman" w:hAnsi="Arial" w:cs="Arial"/>
                <w:color w:val="000000"/>
                <w:sz w:val="18"/>
                <w:szCs w:val="18"/>
              </w:rPr>
            </w:pPr>
            <w:r w:rsidRPr="00DA7E4C">
              <w:rPr>
                <w:rFonts w:ascii="Arial" w:eastAsia="Times New Roman" w:hAnsi="Arial" w:cs="Arial"/>
                <w:color w:val="000000"/>
                <w:sz w:val="18"/>
                <w:szCs w:val="18"/>
              </w:rPr>
              <w:t>272.945</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ascii="Arial" w:eastAsia="Times New Roman" w:hAnsi="Arial" w:cs="Arial"/>
                <w:color w:val="000000"/>
                <w:sz w:val="18"/>
                <w:szCs w:val="18"/>
              </w:rPr>
            </w:pPr>
            <w:r w:rsidRPr="00DA7E4C">
              <w:rPr>
                <w:rFonts w:ascii="Arial" w:eastAsia="Times New Roman" w:hAnsi="Arial" w:cs="Arial"/>
                <w:color w:val="000000"/>
                <w:sz w:val="18"/>
                <w:szCs w:val="18"/>
              </w:rPr>
              <w:t>0.777</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ascii="Arial" w:eastAsia="Times New Roman" w:hAnsi="Arial" w:cs="Arial"/>
                <w:color w:val="000000"/>
                <w:sz w:val="18"/>
                <w:szCs w:val="18"/>
              </w:rPr>
            </w:pPr>
            <w:r w:rsidRPr="00DA7E4C">
              <w:rPr>
                <w:rFonts w:ascii="Arial" w:eastAsia="Times New Roman" w:hAnsi="Arial" w:cs="Arial"/>
                <w:color w:val="000000"/>
                <w:sz w:val="18"/>
                <w:szCs w:val="18"/>
              </w:rPr>
              <w:t>1.752</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ascii="Arial" w:eastAsia="Times New Roman" w:hAnsi="Arial" w:cs="Arial"/>
                <w:color w:val="000000"/>
                <w:sz w:val="18"/>
                <w:szCs w:val="18"/>
              </w:rPr>
            </w:pPr>
            <w:r w:rsidRPr="00DA7E4C">
              <w:rPr>
                <w:rFonts w:ascii="Arial" w:eastAsia="Times New Roman" w:hAnsi="Arial" w:cs="Arial"/>
                <w:color w:val="000000"/>
                <w:sz w:val="18"/>
                <w:szCs w:val="18"/>
              </w:rPr>
              <w:t>18.787</w:t>
            </w:r>
          </w:p>
        </w:tc>
      </w:tr>
      <w:tr w:rsidR="000A22AE" w:rsidRPr="00DA7E4C" w:rsidTr="000A22AE">
        <w:trPr>
          <w:trHeight w:val="240"/>
        </w:trPr>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center"/>
              <w:rPr>
                <w:rFonts w:eastAsia="Times New Roman" w:cs="Times New Roman"/>
                <w:b/>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ascii="Arial" w:eastAsia="Times New Roman" w:hAnsi="Arial" w:cs="Arial"/>
                <w:b/>
                <w:color w:val="000000"/>
                <w:sz w:val="18"/>
                <w:szCs w:val="18"/>
              </w:rPr>
            </w:pPr>
            <w:r w:rsidRPr="00DA7E4C">
              <w:rPr>
                <w:rFonts w:ascii="Arial" w:eastAsia="Times New Roman" w:hAnsi="Arial" w:cs="Arial"/>
                <w:b/>
                <w:color w:val="000000"/>
                <w:sz w:val="18"/>
                <w:szCs w:val="18"/>
              </w:rPr>
              <w:t>0.987</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ascii="Calibri" w:eastAsia="Times New Roman" w:hAnsi="Calibri" w:cs="Times New Roman"/>
                <w:b/>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ascii="Calibri" w:eastAsia="Times New Roman" w:hAnsi="Calibri" w:cs="Times New Roman"/>
                <w:b/>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ascii="Arial" w:eastAsia="Times New Roman" w:hAnsi="Arial" w:cs="Arial"/>
                <w:b/>
                <w:color w:val="000000"/>
                <w:sz w:val="18"/>
                <w:szCs w:val="18"/>
              </w:rPr>
            </w:pPr>
            <w:r w:rsidRPr="00DA7E4C">
              <w:rPr>
                <w:rFonts w:ascii="Arial" w:eastAsia="Times New Roman" w:hAnsi="Arial" w:cs="Arial"/>
                <w:b/>
                <w:color w:val="000000"/>
                <w:sz w:val="18"/>
                <w:szCs w:val="18"/>
              </w:rPr>
              <w:t>0.000</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ascii="Calibri" w:eastAsia="Times New Roman" w:hAnsi="Calibri" w:cs="Times New Roman"/>
                <w:b/>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ascii="Calibri" w:eastAsia="Times New Roman" w:hAnsi="Calibri" w:cs="Times New Roman"/>
                <w:b/>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ascii="Calibri" w:eastAsia="Times New Roman" w:hAnsi="Calibri" w:cs="Times New Roman"/>
                <w:b/>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ascii="Calibri" w:eastAsia="Times New Roman" w:hAnsi="Calibri" w:cs="Times New Roman"/>
                <w:b/>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ascii="Calibri" w:eastAsia="Times New Roman" w:hAnsi="Calibri" w:cs="Times New Roman"/>
                <w:b/>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ascii="Calibri" w:eastAsia="Times New Roman" w:hAnsi="Calibri" w:cs="Times New Roman"/>
                <w:b/>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ascii="Arial" w:eastAsia="Times New Roman" w:hAnsi="Arial" w:cs="Arial"/>
                <w:b/>
                <w:color w:val="000000"/>
                <w:sz w:val="18"/>
                <w:szCs w:val="18"/>
              </w:rPr>
            </w:pPr>
            <w:r w:rsidRPr="00DA7E4C">
              <w:rPr>
                <w:rFonts w:ascii="Arial" w:eastAsia="Times New Roman" w:hAnsi="Arial" w:cs="Arial"/>
                <w:b/>
                <w:color w:val="000000"/>
                <w:sz w:val="18"/>
                <w:szCs w:val="18"/>
              </w:rPr>
              <w:t>0.000</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ascii="Arial" w:eastAsia="Times New Roman" w:hAnsi="Arial" w:cs="Arial"/>
                <w:b/>
                <w:color w:val="000000"/>
                <w:sz w:val="18"/>
                <w:szCs w:val="18"/>
              </w:rPr>
            </w:pPr>
            <w:r w:rsidRPr="00DA7E4C">
              <w:rPr>
                <w:rFonts w:ascii="Arial" w:eastAsia="Times New Roman" w:hAnsi="Arial" w:cs="Arial"/>
                <w:b/>
                <w:color w:val="000000"/>
                <w:sz w:val="18"/>
                <w:szCs w:val="18"/>
              </w:rPr>
              <w:t>0.000</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ascii="Arial" w:eastAsia="Times New Roman" w:hAnsi="Arial" w:cs="Arial"/>
                <w:b/>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ascii="Arial" w:eastAsia="Times New Roman" w:hAnsi="Arial" w:cs="Arial"/>
                <w:b/>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ascii="Arial" w:eastAsia="Times New Roman" w:hAnsi="Arial" w:cs="Arial"/>
                <w:b/>
                <w:color w:val="000000"/>
                <w:sz w:val="18"/>
                <w:szCs w:val="18"/>
              </w:rPr>
            </w:pPr>
          </w:p>
        </w:tc>
      </w:tr>
      <w:tr w:rsidR="000A22AE" w:rsidRPr="00DA7E4C" w:rsidTr="000A22AE">
        <w:trPr>
          <w:trHeight w:val="240"/>
        </w:trPr>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center"/>
              <w:rPr>
                <w:rFonts w:eastAsia="Times New Roman" w:cs="Times New Roman"/>
                <w:sz w:val="18"/>
                <w:szCs w:val="18"/>
              </w:rPr>
            </w:pPr>
            <w:r w:rsidRPr="00DA7E4C">
              <w:rPr>
                <w:rFonts w:eastAsia="Times New Roman" w:cs="Times New Roman"/>
                <w:sz w:val="18"/>
                <w:szCs w:val="18"/>
              </w:rPr>
              <w:t>5</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ascii="Arial" w:eastAsia="Times New Roman" w:hAnsi="Arial" w:cs="Arial"/>
                <w:color w:val="000000"/>
                <w:sz w:val="18"/>
                <w:szCs w:val="18"/>
              </w:rPr>
            </w:pPr>
            <w:r w:rsidRPr="00DA7E4C">
              <w:rPr>
                <w:rFonts w:ascii="Arial" w:eastAsia="Times New Roman" w:hAnsi="Arial" w:cs="Arial"/>
                <w:color w:val="000000"/>
                <w:sz w:val="18"/>
                <w:szCs w:val="18"/>
              </w:rPr>
              <w:t>-21.811</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ascii="Calibri" w:eastAsia="Times New Roman" w:hAnsi="Calibri" w:cs="Times New Roman"/>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ascii="Calibri" w:eastAsia="Times New Roman" w:hAnsi="Calibri" w:cs="Times New Roman"/>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ascii="Calibri" w:eastAsia="Times New Roman" w:hAnsi="Calibri" w:cs="Times New Roman"/>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ascii="Arial" w:eastAsia="Times New Roman" w:hAnsi="Arial" w:cs="Arial"/>
                <w:color w:val="000000"/>
                <w:sz w:val="18"/>
                <w:szCs w:val="18"/>
              </w:rPr>
            </w:pPr>
            <w:r w:rsidRPr="00DA7E4C">
              <w:rPr>
                <w:rFonts w:ascii="Arial" w:eastAsia="Times New Roman" w:hAnsi="Arial" w:cs="Arial"/>
                <w:color w:val="000000"/>
                <w:sz w:val="18"/>
                <w:szCs w:val="18"/>
              </w:rPr>
              <w:t>76.035</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ascii="Calibri" w:eastAsia="Times New Roman" w:hAnsi="Calibri" w:cs="Times New Roman"/>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ascii="Calibri" w:eastAsia="Times New Roman" w:hAnsi="Calibri" w:cs="Times New Roman"/>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ascii="Calibri" w:eastAsia="Times New Roman" w:hAnsi="Calibri" w:cs="Times New Roman"/>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ascii="Calibri" w:eastAsia="Times New Roman" w:hAnsi="Calibri" w:cs="Times New Roman"/>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ascii="Calibri" w:eastAsia="Times New Roman" w:hAnsi="Calibri" w:cs="Times New Roman"/>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ascii="Arial" w:eastAsia="Times New Roman" w:hAnsi="Arial" w:cs="Arial"/>
                <w:color w:val="000000"/>
                <w:sz w:val="18"/>
                <w:szCs w:val="18"/>
              </w:rPr>
            </w:pPr>
            <w:r w:rsidRPr="00DA7E4C">
              <w:rPr>
                <w:rFonts w:ascii="Arial" w:eastAsia="Times New Roman" w:hAnsi="Arial" w:cs="Arial"/>
                <w:color w:val="000000"/>
                <w:sz w:val="18"/>
                <w:szCs w:val="18"/>
              </w:rPr>
              <w:t>0.719</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ascii="Arial" w:eastAsia="Times New Roman" w:hAnsi="Arial" w:cs="Arial"/>
                <w:color w:val="000000"/>
                <w:sz w:val="18"/>
                <w:szCs w:val="18"/>
              </w:rPr>
            </w:pPr>
            <w:r w:rsidRPr="00DA7E4C">
              <w:rPr>
                <w:rFonts w:ascii="Arial" w:eastAsia="Times New Roman" w:hAnsi="Arial" w:cs="Arial"/>
                <w:color w:val="000000"/>
                <w:sz w:val="18"/>
                <w:szCs w:val="18"/>
              </w:rPr>
              <w:t>221.256</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ascii="Arial" w:eastAsia="Times New Roman" w:hAnsi="Arial" w:cs="Arial"/>
                <w:color w:val="000000"/>
                <w:sz w:val="18"/>
                <w:szCs w:val="18"/>
              </w:rPr>
            </w:pPr>
            <w:r w:rsidRPr="00DA7E4C">
              <w:rPr>
                <w:rFonts w:ascii="Arial" w:eastAsia="Times New Roman" w:hAnsi="Arial" w:cs="Arial"/>
                <w:color w:val="000000"/>
                <w:sz w:val="18"/>
                <w:szCs w:val="18"/>
              </w:rPr>
              <w:t>0.739</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ascii="Arial" w:eastAsia="Times New Roman" w:hAnsi="Arial" w:cs="Arial"/>
                <w:color w:val="000000"/>
                <w:sz w:val="18"/>
                <w:szCs w:val="18"/>
              </w:rPr>
            </w:pPr>
            <w:r w:rsidRPr="00DA7E4C">
              <w:rPr>
                <w:rFonts w:ascii="Arial" w:eastAsia="Times New Roman" w:hAnsi="Arial" w:cs="Arial"/>
                <w:color w:val="000000"/>
                <w:sz w:val="18"/>
                <w:szCs w:val="18"/>
              </w:rPr>
              <w:t>1.405</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ascii="Arial" w:eastAsia="Times New Roman" w:hAnsi="Arial" w:cs="Arial"/>
                <w:color w:val="000000"/>
                <w:sz w:val="18"/>
                <w:szCs w:val="18"/>
              </w:rPr>
            </w:pPr>
            <w:r w:rsidRPr="00DA7E4C">
              <w:rPr>
                <w:rFonts w:ascii="Arial" w:eastAsia="Times New Roman" w:hAnsi="Arial" w:cs="Arial"/>
                <w:color w:val="000000"/>
                <w:sz w:val="18"/>
                <w:szCs w:val="18"/>
              </w:rPr>
              <w:t>18.948</w:t>
            </w:r>
          </w:p>
        </w:tc>
      </w:tr>
      <w:tr w:rsidR="000A22AE" w:rsidRPr="00DA7E4C" w:rsidTr="000A22AE">
        <w:trPr>
          <w:trHeight w:val="240"/>
        </w:trPr>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center"/>
              <w:rPr>
                <w:rFonts w:eastAsia="Times New Roman" w:cs="Times New Roman"/>
                <w:b/>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ascii="Arial" w:eastAsia="Times New Roman" w:hAnsi="Arial" w:cs="Arial"/>
                <w:b/>
                <w:color w:val="000000"/>
                <w:sz w:val="18"/>
                <w:szCs w:val="18"/>
              </w:rPr>
            </w:pPr>
            <w:r w:rsidRPr="00DA7E4C">
              <w:rPr>
                <w:rFonts w:ascii="Arial" w:eastAsia="Times New Roman" w:hAnsi="Arial" w:cs="Arial"/>
                <w:b/>
                <w:color w:val="000000"/>
                <w:sz w:val="18"/>
                <w:szCs w:val="18"/>
              </w:rPr>
              <w:t>0.980</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ascii="Calibri" w:eastAsia="Times New Roman" w:hAnsi="Calibri" w:cs="Times New Roman"/>
                <w:b/>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ascii="Calibri" w:eastAsia="Times New Roman" w:hAnsi="Calibri" w:cs="Times New Roman"/>
                <w:b/>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ascii="Calibri" w:eastAsia="Times New Roman" w:hAnsi="Calibri" w:cs="Times New Roman"/>
                <w:b/>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ascii="Arial" w:eastAsia="Times New Roman" w:hAnsi="Arial" w:cs="Arial"/>
                <w:b/>
                <w:color w:val="000000"/>
                <w:sz w:val="18"/>
                <w:szCs w:val="18"/>
              </w:rPr>
            </w:pPr>
            <w:r w:rsidRPr="00DA7E4C">
              <w:rPr>
                <w:rFonts w:ascii="Arial" w:eastAsia="Times New Roman" w:hAnsi="Arial" w:cs="Arial"/>
                <w:b/>
                <w:color w:val="000000"/>
                <w:sz w:val="18"/>
                <w:szCs w:val="18"/>
              </w:rPr>
              <w:t>0.000</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ascii="Calibri" w:eastAsia="Times New Roman" w:hAnsi="Calibri" w:cs="Times New Roman"/>
                <w:b/>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ascii="Calibri" w:eastAsia="Times New Roman" w:hAnsi="Calibri" w:cs="Times New Roman"/>
                <w:b/>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ascii="Calibri" w:eastAsia="Times New Roman" w:hAnsi="Calibri" w:cs="Times New Roman"/>
                <w:b/>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ascii="Calibri" w:eastAsia="Times New Roman" w:hAnsi="Calibri" w:cs="Times New Roman"/>
                <w:b/>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ascii="Calibri" w:eastAsia="Times New Roman" w:hAnsi="Calibri" w:cs="Times New Roman"/>
                <w:b/>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ascii="Arial" w:eastAsia="Times New Roman" w:hAnsi="Arial" w:cs="Arial"/>
                <w:b/>
                <w:color w:val="000000"/>
                <w:sz w:val="18"/>
                <w:szCs w:val="18"/>
              </w:rPr>
            </w:pPr>
            <w:r w:rsidRPr="00DA7E4C">
              <w:rPr>
                <w:rFonts w:ascii="Arial" w:eastAsia="Times New Roman" w:hAnsi="Arial" w:cs="Arial"/>
                <w:b/>
                <w:color w:val="000000"/>
                <w:sz w:val="18"/>
                <w:szCs w:val="18"/>
              </w:rPr>
              <w:t>0.000</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ascii="Arial" w:eastAsia="Times New Roman" w:hAnsi="Arial" w:cs="Arial"/>
                <w:b/>
                <w:color w:val="000000"/>
                <w:sz w:val="18"/>
                <w:szCs w:val="18"/>
              </w:rPr>
            </w:pPr>
            <w:r w:rsidRPr="00DA7E4C">
              <w:rPr>
                <w:rFonts w:ascii="Arial" w:eastAsia="Times New Roman" w:hAnsi="Arial" w:cs="Arial"/>
                <w:b/>
                <w:color w:val="000000"/>
                <w:sz w:val="18"/>
                <w:szCs w:val="18"/>
              </w:rPr>
              <w:t>0.000</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ascii="Arial" w:eastAsia="Times New Roman" w:hAnsi="Arial" w:cs="Arial"/>
                <w:b/>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ascii="Arial" w:eastAsia="Times New Roman" w:hAnsi="Arial" w:cs="Arial"/>
                <w:b/>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ascii="Arial" w:eastAsia="Times New Roman" w:hAnsi="Arial" w:cs="Arial"/>
                <w:b/>
                <w:color w:val="000000"/>
                <w:sz w:val="18"/>
                <w:szCs w:val="18"/>
              </w:rPr>
            </w:pPr>
          </w:p>
        </w:tc>
      </w:tr>
      <w:tr w:rsidR="000A22AE" w:rsidRPr="00DA7E4C" w:rsidTr="000A22AE">
        <w:trPr>
          <w:trHeight w:val="240"/>
        </w:trPr>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center"/>
              <w:rPr>
                <w:rFonts w:eastAsia="Times New Roman" w:cs="Times New Roman"/>
                <w:sz w:val="18"/>
                <w:szCs w:val="18"/>
              </w:rPr>
            </w:pPr>
            <w:r w:rsidRPr="00DA7E4C">
              <w:rPr>
                <w:rFonts w:eastAsia="Times New Roman" w:cs="Times New Roman"/>
                <w:sz w:val="18"/>
                <w:szCs w:val="18"/>
              </w:rPr>
              <w:t>6</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ascii="Arial" w:eastAsia="Times New Roman" w:hAnsi="Arial" w:cs="Arial"/>
                <w:color w:val="000000"/>
                <w:sz w:val="18"/>
                <w:szCs w:val="18"/>
              </w:rPr>
            </w:pPr>
            <w:r w:rsidRPr="00DA7E4C">
              <w:rPr>
                <w:rFonts w:ascii="Arial" w:eastAsia="Times New Roman" w:hAnsi="Arial" w:cs="Arial"/>
                <w:color w:val="000000"/>
                <w:sz w:val="18"/>
                <w:szCs w:val="18"/>
              </w:rPr>
              <w:t>-25.617</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ascii="Calibri" w:eastAsia="Times New Roman" w:hAnsi="Calibri" w:cs="Times New Roman"/>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ascii="Calibri" w:eastAsia="Times New Roman" w:hAnsi="Calibri" w:cs="Times New Roman"/>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ascii="Calibri" w:eastAsia="Times New Roman" w:hAnsi="Calibri" w:cs="Times New Roman"/>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ascii="Calibri" w:eastAsia="Times New Roman" w:hAnsi="Calibri" w:cs="Times New Roman"/>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ascii="Arial" w:eastAsia="Times New Roman" w:hAnsi="Arial" w:cs="Arial"/>
                <w:color w:val="000000"/>
                <w:sz w:val="18"/>
                <w:szCs w:val="18"/>
              </w:rPr>
            </w:pPr>
            <w:r w:rsidRPr="00DA7E4C">
              <w:rPr>
                <w:rFonts w:ascii="Arial" w:eastAsia="Times New Roman" w:hAnsi="Arial" w:cs="Arial"/>
                <w:color w:val="000000"/>
                <w:sz w:val="18"/>
                <w:szCs w:val="18"/>
              </w:rPr>
              <w:t>25.234</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ascii="Calibri" w:eastAsia="Times New Roman" w:hAnsi="Calibri" w:cs="Times New Roman"/>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ascii="Calibri" w:eastAsia="Times New Roman" w:hAnsi="Calibri" w:cs="Times New Roman"/>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ascii="Calibri" w:eastAsia="Times New Roman" w:hAnsi="Calibri" w:cs="Times New Roman"/>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ascii="Calibri" w:eastAsia="Times New Roman" w:hAnsi="Calibri" w:cs="Times New Roman"/>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ascii="Arial" w:eastAsia="Times New Roman" w:hAnsi="Arial" w:cs="Arial"/>
                <w:color w:val="000000"/>
                <w:sz w:val="18"/>
                <w:szCs w:val="18"/>
              </w:rPr>
            </w:pPr>
            <w:r w:rsidRPr="00DA7E4C">
              <w:rPr>
                <w:rFonts w:ascii="Arial" w:eastAsia="Times New Roman" w:hAnsi="Arial" w:cs="Arial"/>
                <w:color w:val="000000"/>
                <w:sz w:val="18"/>
                <w:szCs w:val="18"/>
              </w:rPr>
              <w:t>0.804</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ascii="Arial" w:eastAsia="Times New Roman" w:hAnsi="Arial" w:cs="Arial"/>
                <w:color w:val="000000"/>
                <w:sz w:val="18"/>
                <w:szCs w:val="18"/>
              </w:rPr>
            </w:pPr>
            <w:r w:rsidRPr="00DA7E4C">
              <w:rPr>
                <w:rFonts w:ascii="Arial" w:eastAsia="Times New Roman" w:hAnsi="Arial" w:cs="Arial"/>
                <w:color w:val="000000"/>
                <w:sz w:val="18"/>
                <w:szCs w:val="18"/>
              </w:rPr>
              <w:t>174.987</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ascii="Arial" w:eastAsia="Times New Roman" w:hAnsi="Arial" w:cs="Arial"/>
                <w:color w:val="000000"/>
                <w:sz w:val="18"/>
                <w:szCs w:val="18"/>
              </w:rPr>
            </w:pPr>
            <w:r w:rsidRPr="00DA7E4C">
              <w:rPr>
                <w:rFonts w:ascii="Arial" w:eastAsia="Times New Roman" w:hAnsi="Arial" w:cs="Arial"/>
                <w:color w:val="000000"/>
                <w:sz w:val="18"/>
                <w:szCs w:val="18"/>
              </w:rPr>
              <w:t>0.693</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ascii="Arial" w:eastAsia="Times New Roman" w:hAnsi="Arial" w:cs="Arial"/>
                <w:color w:val="000000"/>
                <w:sz w:val="18"/>
                <w:szCs w:val="18"/>
              </w:rPr>
            </w:pPr>
            <w:r w:rsidRPr="00DA7E4C">
              <w:rPr>
                <w:rFonts w:ascii="Arial" w:eastAsia="Times New Roman" w:hAnsi="Arial" w:cs="Arial"/>
                <w:color w:val="000000"/>
                <w:sz w:val="18"/>
                <w:szCs w:val="18"/>
              </w:rPr>
              <w:t>1.224</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ascii="Arial" w:eastAsia="Times New Roman" w:hAnsi="Arial" w:cs="Arial"/>
                <w:color w:val="000000"/>
                <w:sz w:val="18"/>
                <w:szCs w:val="18"/>
              </w:rPr>
            </w:pPr>
            <w:r w:rsidRPr="00DA7E4C">
              <w:rPr>
                <w:rFonts w:ascii="Arial" w:eastAsia="Times New Roman" w:hAnsi="Arial" w:cs="Arial"/>
                <w:color w:val="000000"/>
                <w:sz w:val="18"/>
                <w:szCs w:val="18"/>
              </w:rPr>
              <w:t>19.118</w:t>
            </w:r>
          </w:p>
        </w:tc>
      </w:tr>
      <w:tr w:rsidR="000A22AE" w:rsidRPr="00DA7E4C" w:rsidTr="000A22AE">
        <w:trPr>
          <w:trHeight w:val="240"/>
        </w:trPr>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center"/>
              <w:rPr>
                <w:rFonts w:eastAsia="Times New Roman" w:cs="Times New Roman"/>
                <w:b/>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ascii="Arial" w:eastAsia="Times New Roman" w:hAnsi="Arial" w:cs="Arial"/>
                <w:b/>
                <w:color w:val="000000"/>
                <w:sz w:val="18"/>
                <w:szCs w:val="18"/>
              </w:rPr>
            </w:pPr>
            <w:r w:rsidRPr="00DA7E4C">
              <w:rPr>
                <w:rFonts w:ascii="Arial" w:eastAsia="Times New Roman" w:hAnsi="Arial" w:cs="Arial"/>
                <w:b/>
                <w:color w:val="000000"/>
                <w:sz w:val="18"/>
                <w:szCs w:val="18"/>
              </w:rPr>
              <w:t>0.985</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ascii="Calibri" w:eastAsia="Times New Roman" w:hAnsi="Calibri" w:cs="Times New Roman"/>
                <w:b/>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ascii="Calibri" w:eastAsia="Times New Roman" w:hAnsi="Calibri" w:cs="Times New Roman"/>
                <w:b/>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ascii="Calibri" w:eastAsia="Times New Roman" w:hAnsi="Calibri" w:cs="Times New Roman"/>
                <w:b/>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ascii="Calibri" w:eastAsia="Times New Roman" w:hAnsi="Calibri" w:cs="Times New Roman"/>
                <w:b/>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ascii="Arial" w:eastAsia="Times New Roman" w:hAnsi="Arial" w:cs="Arial"/>
                <w:b/>
                <w:color w:val="000000"/>
                <w:sz w:val="18"/>
                <w:szCs w:val="18"/>
              </w:rPr>
            </w:pPr>
            <w:r w:rsidRPr="00DA7E4C">
              <w:rPr>
                <w:rFonts w:ascii="Arial" w:eastAsia="Times New Roman" w:hAnsi="Arial" w:cs="Arial"/>
                <w:b/>
                <w:color w:val="000000"/>
                <w:sz w:val="18"/>
                <w:szCs w:val="18"/>
              </w:rPr>
              <w:t>0.153</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ascii="Calibri" w:eastAsia="Times New Roman" w:hAnsi="Calibri" w:cs="Times New Roman"/>
                <w:b/>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ascii="Calibri" w:eastAsia="Times New Roman" w:hAnsi="Calibri" w:cs="Times New Roman"/>
                <w:b/>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ascii="Calibri" w:eastAsia="Times New Roman" w:hAnsi="Calibri" w:cs="Times New Roman"/>
                <w:b/>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ascii="Calibri" w:eastAsia="Times New Roman" w:hAnsi="Calibri" w:cs="Times New Roman"/>
                <w:b/>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ascii="Arial" w:eastAsia="Times New Roman" w:hAnsi="Arial" w:cs="Arial"/>
                <w:b/>
                <w:color w:val="000000"/>
                <w:sz w:val="18"/>
                <w:szCs w:val="18"/>
              </w:rPr>
            </w:pPr>
            <w:r w:rsidRPr="00DA7E4C">
              <w:rPr>
                <w:rFonts w:ascii="Arial" w:eastAsia="Times New Roman" w:hAnsi="Arial" w:cs="Arial"/>
                <w:b/>
                <w:color w:val="000000"/>
                <w:sz w:val="18"/>
                <w:szCs w:val="18"/>
              </w:rPr>
              <w:t>0.000</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ascii="Arial" w:eastAsia="Times New Roman" w:hAnsi="Arial" w:cs="Arial"/>
                <w:b/>
                <w:color w:val="000000"/>
                <w:sz w:val="18"/>
                <w:szCs w:val="18"/>
              </w:rPr>
            </w:pPr>
            <w:r w:rsidRPr="00DA7E4C">
              <w:rPr>
                <w:rFonts w:ascii="Arial" w:eastAsia="Times New Roman" w:hAnsi="Arial" w:cs="Arial"/>
                <w:b/>
                <w:color w:val="000000"/>
                <w:sz w:val="18"/>
                <w:szCs w:val="18"/>
              </w:rPr>
              <w:t>0.000</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ascii="Arial" w:eastAsia="Times New Roman" w:hAnsi="Arial" w:cs="Arial"/>
                <w:b/>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ascii="Arial" w:eastAsia="Times New Roman" w:hAnsi="Arial" w:cs="Arial"/>
                <w:b/>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ascii="Arial" w:eastAsia="Times New Roman" w:hAnsi="Arial" w:cs="Arial"/>
                <w:b/>
                <w:color w:val="000000"/>
                <w:sz w:val="18"/>
                <w:szCs w:val="18"/>
              </w:rPr>
            </w:pPr>
          </w:p>
        </w:tc>
      </w:tr>
      <w:tr w:rsidR="000A22AE" w:rsidRPr="00DA7E4C" w:rsidTr="000A22AE">
        <w:trPr>
          <w:trHeight w:val="240"/>
        </w:trPr>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center"/>
              <w:rPr>
                <w:rFonts w:eastAsia="Times New Roman" w:cs="Times New Roman"/>
                <w:sz w:val="18"/>
                <w:szCs w:val="18"/>
              </w:rPr>
            </w:pPr>
            <w:r w:rsidRPr="00DA7E4C">
              <w:rPr>
                <w:rFonts w:eastAsia="Times New Roman" w:cs="Times New Roman"/>
                <w:sz w:val="18"/>
                <w:szCs w:val="18"/>
              </w:rPr>
              <w:t>7</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ascii="Arial" w:eastAsia="Times New Roman" w:hAnsi="Arial" w:cs="Arial"/>
                <w:color w:val="000000"/>
                <w:sz w:val="18"/>
                <w:szCs w:val="18"/>
              </w:rPr>
            </w:pPr>
            <w:r w:rsidRPr="00DA7E4C">
              <w:rPr>
                <w:rFonts w:ascii="Arial" w:eastAsia="Times New Roman" w:hAnsi="Arial" w:cs="Arial"/>
                <w:color w:val="000000"/>
                <w:sz w:val="18"/>
                <w:szCs w:val="18"/>
              </w:rPr>
              <w:t>-58.897</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ascii="Calibri" w:eastAsia="Times New Roman" w:hAnsi="Calibri" w:cs="Times New Roman"/>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ascii="Calibri" w:eastAsia="Times New Roman" w:hAnsi="Calibri" w:cs="Times New Roman"/>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ascii="Calibri" w:eastAsia="Times New Roman" w:hAnsi="Calibri" w:cs="Times New Roman"/>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ascii="Calibri" w:eastAsia="Times New Roman" w:hAnsi="Calibri" w:cs="Times New Roman"/>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ascii="Calibri" w:eastAsia="Times New Roman" w:hAnsi="Calibri" w:cs="Times New Roman"/>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ascii="Arial" w:eastAsia="Times New Roman" w:hAnsi="Arial" w:cs="Arial"/>
                <w:color w:val="000000"/>
                <w:sz w:val="18"/>
                <w:szCs w:val="18"/>
              </w:rPr>
            </w:pPr>
            <w:r w:rsidRPr="00DA7E4C">
              <w:rPr>
                <w:rFonts w:ascii="Arial" w:eastAsia="Times New Roman" w:hAnsi="Arial" w:cs="Arial"/>
                <w:color w:val="000000"/>
                <w:sz w:val="18"/>
                <w:szCs w:val="18"/>
              </w:rPr>
              <w:t>3.959</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ascii="Calibri" w:eastAsia="Times New Roman" w:hAnsi="Calibri" w:cs="Times New Roman"/>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ascii="Calibri" w:eastAsia="Times New Roman" w:hAnsi="Calibri" w:cs="Times New Roman"/>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ascii="Calibri" w:eastAsia="Times New Roman" w:hAnsi="Calibri" w:cs="Times New Roman"/>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ascii="Arial" w:eastAsia="Times New Roman" w:hAnsi="Arial" w:cs="Arial"/>
                <w:color w:val="000000"/>
                <w:sz w:val="18"/>
                <w:szCs w:val="18"/>
              </w:rPr>
            </w:pPr>
            <w:r w:rsidRPr="00DA7E4C">
              <w:rPr>
                <w:rFonts w:ascii="Arial" w:eastAsia="Times New Roman" w:hAnsi="Arial" w:cs="Arial"/>
                <w:color w:val="000000"/>
                <w:sz w:val="18"/>
                <w:szCs w:val="18"/>
              </w:rPr>
              <w:t>0.827</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ascii="Arial" w:eastAsia="Times New Roman" w:hAnsi="Arial" w:cs="Arial"/>
                <w:color w:val="000000"/>
                <w:sz w:val="18"/>
                <w:szCs w:val="18"/>
              </w:rPr>
            </w:pPr>
            <w:r w:rsidRPr="00DA7E4C">
              <w:rPr>
                <w:rFonts w:ascii="Arial" w:eastAsia="Times New Roman" w:hAnsi="Arial" w:cs="Arial"/>
                <w:color w:val="000000"/>
                <w:sz w:val="18"/>
                <w:szCs w:val="18"/>
              </w:rPr>
              <w:t>169.169</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ascii="Arial" w:eastAsia="Times New Roman" w:hAnsi="Arial" w:cs="Arial"/>
                <w:color w:val="000000"/>
                <w:sz w:val="18"/>
                <w:szCs w:val="18"/>
              </w:rPr>
            </w:pPr>
            <w:r w:rsidRPr="00DA7E4C">
              <w:rPr>
                <w:rFonts w:ascii="Arial" w:eastAsia="Times New Roman" w:hAnsi="Arial" w:cs="Arial"/>
                <w:color w:val="000000"/>
                <w:sz w:val="18"/>
                <w:szCs w:val="18"/>
              </w:rPr>
              <w:t>0.687</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ascii="Arial" w:eastAsia="Times New Roman" w:hAnsi="Arial" w:cs="Arial"/>
                <w:color w:val="000000"/>
                <w:sz w:val="18"/>
                <w:szCs w:val="18"/>
              </w:rPr>
            </w:pPr>
            <w:r w:rsidRPr="00DA7E4C">
              <w:rPr>
                <w:rFonts w:ascii="Arial" w:eastAsia="Times New Roman" w:hAnsi="Arial" w:cs="Arial"/>
                <w:color w:val="000000"/>
                <w:sz w:val="18"/>
                <w:szCs w:val="18"/>
              </w:rPr>
              <w:t>1.159</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ascii="Arial" w:eastAsia="Times New Roman" w:hAnsi="Arial" w:cs="Arial"/>
                <w:color w:val="000000"/>
                <w:sz w:val="18"/>
                <w:szCs w:val="18"/>
              </w:rPr>
            </w:pPr>
            <w:r w:rsidRPr="00DA7E4C">
              <w:rPr>
                <w:rFonts w:ascii="Arial" w:eastAsia="Times New Roman" w:hAnsi="Arial" w:cs="Arial"/>
                <w:color w:val="000000"/>
                <w:sz w:val="18"/>
                <w:szCs w:val="18"/>
              </w:rPr>
              <w:t>19.144</w:t>
            </w:r>
          </w:p>
        </w:tc>
      </w:tr>
      <w:tr w:rsidR="000A22AE" w:rsidRPr="00DA7E4C" w:rsidTr="000A22AE">
        <w:trPr>
          <w:trHeight w:val="240"/>
        </w:trPr>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center"/>
              <w:rPr>
                <w:rFonts w:eastAsia="Times New Roman" w:cs="Times New Roman"/>
                <w:b/>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ascii="Arial" w:eastAsia="Times New Roman" w:hAnsi="Arial" w:cs="Arial"/>
                <w:b/>
                <w:color w:val="000000"/>
                <w:sz w:val="18"/>
                <w:szCs w:val="18"/>
              </w:rPr>
            </w:pPr>
            <w:r w:rsidRPr="00DA7E4C">
              <w:rPr>
                <w:rFonts w:ascii="Arial" w:eastAsia="Times New Roman" w:hAnsi="Arial" w:cs="Arial"/>
                <w:b/>
                <w:color w:val="000000"/>
                <w:sz w:val="18"/>
                <w:szCs w:val="18"/>
              </w:rPr>
              <w:t>0.971</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ascii="Calibri" w:eastAsia="Times New Roman" w:hAnsi="Calibri" w:cs="Times New Roman"/>
                <w:b/>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ascii="Calibri" w:eastAsia="Times New Roman" w:hAnsi="Calibri" w:cs="Times New Roman"/>
                <w:b/>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ascii="Calibri" w:eastAsia="Times New Roman" w:hAnsi="Calibri" w:cs="Times New Roman"/>
                <w:b/>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ascii="Calibri" w:eastAsia="Times New Roman" w:hAnsi="Calibri" w:cs="Times New Roman"/>
                <w:b/>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ascii="Calibri" w:eastAsia="Times New Roman" w:hAnsi="Calibri" w:cs="Times New Roman"/>
                <w:b/>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ascii="Arial" w:eastAsia="Times New Roman" w:hAnsi="Arial" w:cs="Arial"/>
                <w:b/>
                <w:color w:val="000000"/>
                <w:sz w:val="18"/>
                <w:szCs w:val="18"/>
              </w:rPr>
            </w:pPr>
            <w:r w:rsidRPr="00DA7E4C">
              <w:rPr>
                <w:rFonts w:ascii="Arial" w:eastAsia="Times New Roman" w:hAnsi="Arial" w:cs="Arial"/>
                <w:b/>
                <w:color w:val="000000"/>
                <w:sz w:val="18"/>
                <w:szCs w:val="18"/>
              </w:rPr>
              <w:t>0.815</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ascii="Calibri" w:eastAsia="Times New Roman" w:hAnsi="Calibri" w:cs="Times New Roman"/>
                <w:b/>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ascii="Calibri" w:eastAsia="Times New Roman" w:hAnsi="Calibri" w:cs="Times New Roman"/>
                <w:b/>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ascii="Calibri" w:eastAsia="Times New Roman" w:hAnsi="Calibri" w:cs="Times New Roman"/>
                <w:b/>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ascii="Arial" w:eastAsia="Times New Roman" w:hAnsi="Arial" w:cs="Arial"/>
                <w:b/>
                <w:color w:val="000000"/>
                <w:sz w:val="18"/>
                <w:szCs w:val="18"/>
              </w:rPr>
            </w:pPr>
            <w:r w:rsidRPr="00DA7E4C">
              <w:rPr>
                <w:rFonts w:ascii="Arial" w:eastAsia="Times New Roman" w:hAnsi="Arial" w:cs="Arial"/>
                <w:b/>
                <w:color w:val="000000"/>
                <w:sz w:val="18"/>
                <w:szCs w:val="18"/>
              </w:rPr>
              <w:t>0.000</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ascii="Arial" w:eastAsia="Times New Roman" w:hAnsi="Arial" w:cs="Arial"/>
                <w:b/>
                <w:color w:val="000000"/>
                <w:sz w:val="18"/>
                <w:szCs w:val="18"/>
              </w:rPr>
            </w:pPr>
            <w:r w:rsidRPr="00DA7E4C">
              <w:rPr>
                <w:rFonts w:ascii="Arial" w:eastAsia="Times New Roman" w:hAnsi="Arial" w:cs="Arial"/>
                <w:b/>
                <w:color w:val="000000"/>
                <w:sz w:val="18"/>
                <w:szCs w:val="18"/>
              </w:rPr>
              <w:t>0.000</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ascii="Arial" w:eastAsia="Times New Roman" w:hAnsi="Arial" w:cs="Arial"/>
                <w:b/>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ascii="Arial" w:eastAsia="Times New Roman" w:hAnsi="Arial" w:cs="Arial"/>
                <w:b/>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ascii="Arial" w:eastAsia="Times New Roman" w:hAnsi="Arial" w:cs="Arial"/>
                <w:b/>
                <w:color w:val="000000"/>
                <w:sz w:val="18"/>
                <w:szCs w:val="18"/>
              </w:rPr>
            </w:pPr>
          </w:p>
        </w:tc>
      </w:tr>
      <w:tr w:rsidR="000A22AE" w:rsidRPr="00DA7E4C" w:rsidTr="000A22AE">
        <w:trPr>
          <w:trHeight w:val="240"/>
        </w:trPr>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center"/>
              <w:rPr>
                <w:rFonts w:eastAsia="Times New Roman" w:cs="Times New Roman"/>
                <w:sz w:val="18"/>
                <w:szCs w:val="18"/>
              </w:rPr>
            </w:pPr>
            <w:r w:rsidRPr="00DA7E4C">
              <w:rPr>
                <w:rFonts w:eastAsia="Times New Roman" w:cs="Times New Roman"/>
                <w:sz w:val="18"/>
                <w:szCs w:val="18"/>
              </w:rPr>
              <w:t>8</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ascii="Arial" w:eastAsia="Times New Roman" w:hAnsi="Arial" w:cs="Arial"/>
                <w:color w:val="000000"/>
                <w:sz w:val="18"/>
                <w:szCs w:val="18"/>
              </w:rPr>
            </w:pPr>
            <w:r w:rsidRPr="00DA7E4C">
              <w:rPr>
                <w:rFonts w:ascii="Arial" w:eastAsia="Times New Roman" w:hAnsi="Arial" w:cs="Arial"/>
                <w:color w:val="000000"/>
                <w:sz w:val="18"/>
                <w:szCs w:val="18"/>
              </w:rPr>
              <w:t>-135.404</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ascii="Calibri" w:eastAsia="Times New Roman" w:hAnsi="Calibri" w:cs="Times New Roman"/>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ascii="Calibri" w:eastAsia="Times New Roman" w:hAnsi="Calibri" w:cs="Times New Roman"/>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ascii="Calibri" w:eastAsia="Times New Roman" w:hAnsi="Calibri" w:cs="Times New Roman"/>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ascii="Calibri" w:eastAsia="Times New Roman" w:hAnsi="Calibri" w:cs="Times New Roman"/>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ascii="Calibri" w:eastAsia="Times New Roman" w:hAnsi="Calibri" w:cs="Times New Roman"/>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ascii="Calibri" w:eastAsia="Times New Roman" w:hAnsi="Calibri" w:cs="Times New Roman"/>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ascii="Arial" w:eastAsia="Times New Roman" w:hAnsi="Arial" w:cs="Arial"/>
                <w:color w:val="000000"/>
                <w:sz w:val="18"/>
                <w:szCs w:val="18"/>
              </w:rPr>
            </w:pPr>
            <w:r w:rsidRPr="00DA7E4C">
              <w:rPr>
                <w:rFonts w:ascii="Arial" w:eastAsia="Times New Roman" w:hAnsi="Arial" w:cs="Arial"/>
                <w:color w:val="000000"/>
                <w:sz w:val="18"/>
                <w:szCs w:val="18"/>
              </w:rPr>
              <w:t>-21.434</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ascii="Calibri" w:eastAsia="Times New Roman" w:hAnsi="Calibri" w:cs="Times New Roman"/>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ascii="Calibri" w:eastAsia="Times New Roman" w:hAnsi="Calibri" w:cs="Times New Roman"/>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ascii="Arial" w:eastAsia="Times New Roman" w:hAnsi="Arial" w:cs="Arial"/>
                <w:color w:val="000000"/>
                <w:sz w:val="18"/>
                <w:szCs w:val="18"/>
              </w:rPr>
            </w:pPr>
            <w:r w:rsidRPr="00DA7E4C">
              <w:rPr>
                <w:rFonts w:ascii="Arial" w:eastAsia="Times New Roman" w:hAnsi="Arial" w:cs="Arial"/>
                <w:color w:val="000000"/>
                <w:sz w:val="18"/>
                <w:szCs w:val="18"/>
              </w:rPr>
              <w:t>0.839</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ascii="Arial" w:eastAsia="Times New Roman" w:hAnsi="Arial" w:cs="Arial"/>
                <w:color w:val="000000"/>
                <w:sz w:val="18"/>
                <w:szCs w:val="18"/>
              </w:rPr>
            </w:pPr>
            <w:r w:rsidRPr="00DA7E4C">
              <w:rPr>
                <w:rFonts w:ascii="Arial" w:eastAsia="Times New Roman" w:hAnsi="Arial" w:cs="Arial"/>
                <w:color w:val="000000"/>
                <w:sz w:val="18"/>
                <w:szCs w:val="18"/>
              </w:rPr>
              <w:t>171.594</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ascii="Arial" w:eastAsia="Times New Roman" w:hAnsi="Arial" w:cs="Arial"/>
                <w:color w:val="000000"/>
                <w:sz w:val="18"/>
                <w:szCs w:val="18"/>
              </w:rPr>
            </w:pPr>
            <w:r w:rsidRPr="00DA7E4C">
              <w:rPr>
                <w:rFonts w:ascii="Arial" w:eastAsia="Times New Roman" w:hAnsi="Arial" w:cs="Arial"/>
                <w:color w:val="000000"/>
                <w:sz w:val="18"/>
                <w:szCs w:val="18"/>
              </w:rPr>
              <w:t>0.692</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ascii="Arial" w:eastAsia="Times New Roman" w:hAnsi="Arial" w:cs="Arial"/>
                <w:color w:val="000000"/>
                <w:sz w:val="18"/>
                <w:szCs w:val="18"/>
              </w:rPr>
            </w:pPr>
            <w:r w:rsidRPr="00DA7E4C">
              <w:rPr>
                <w:rFonts w:ascii="Arial" w:eastAsia="Times New Roman" w:hAnsi="Arial" w:cs="Arial"/>
                <w:color w:val="000000"/>
                <w:sz w:val="18"/>
                <w:szCs w:val="18"/>
              </w:rPr>
              <w:t>1.174</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ascii="Arial" w:eastAsia="Times New Roman" w:hAnsi="Arial" w:cs="Arial"/>
                <w:color w:val="000000"/>
                <w:sz w:val="18"/>
                <w:szCs w:val="18"/>
              </w:rPr>
            </w:pPr>
            <w:r w:rsidRPr="00DA7E4C">
              <w:rPr>
                <w:rFonts w:ascii="Arial" w:eastAsia="Times New Roman" w:hAnsi="Arial" w:cs="Arial"/>
                <w:color w:val="000000"/>
                <w:sz w:val="18"/>
                <w:szCs w:val="18"/>
              </w:rPr>
              <w:t>19.136</w:t>
            </w:r>
          </w:p>
        </w:tc>
      </w:tr>
      <w:tr w:rsidR="000A22AE" w:rsidRPr="00DA7E4C" w:rsidTr="000A22AE">
        <w:trPr>
          <w:trHeight w:val="240"/>
        </w:trPr>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center"/>
              <w:rPr>
                <w:rFonts w:eastAsia="Times New Roman" w:cs="Times New Roman"/>
                <w:b/>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ascii="Arial" w:eastAsia="Times New Roman" w:hAnsi="Arial" w:cs="Arial"/>
                <w:b/>
                <w:color w:val="000000"/>
                <w:sz w:val="18"/>
                <w:szCs w:val="18"/>
              </w:rPr>
            </w:pPr>
            <w:r w:rsidRPr="00DA7E4C">
              <w:rPr>
                <w:rFonts w:ascii="Arial" w:eastAsia="Times New Roman" w:hAnsi="Arial" w:cs="Arial"/>
                <w:b/>
                <w:color w:val="000000"/>
                <w:sz w:val="18"/>
                <w:szCs w:val="18"/>
              </w:rPr>
              <w:t>0.937</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ascii="Calibri" w:eastAsia="Times New Roman" w:hAnsi="Calibri" w:cs="Times New Roman"/>
                <w:b/>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ascii="Calibri" w:eastAsia="Times New Roman" w:hAnsi="Calibri" w:cs="Times New Roman"/>
                <w:b/>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ascii="Calibri" w:eastAsia="Times New Roman" w:hAnsi="Calibri" w:cs="Times New Roman"/>
                <w:b/>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ascii="Calibri" w:eastAsia="Times New Roman" w:hAnsi="Calibri" w:cs="Times New Roman"/>
                <w:b/>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ascii="Calibri" w:eastAsia="Times New Roman" w:hAnsi="Calibri" w:cs="Times New Roman"/>
                <w:b/>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ascii="Calibri" w:eastAsia="Times New Roman" w:hAnsi="Calibri" w:cs="Times New Roman"/>
                <w:b/>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ascii="Arial" w:eastAsia="Times New Roman" w:hAnsi="Arial" w:cs="Arial"/>
                <w:b/>
                <w:color w:val="000000"/>
                <w:sz w:val="18"/>
                <w:szCs w:val="18"/>
              </w:rPr>
            </w:pPr>
            <w:r w:rsidRPr="00DA7E4C">
              <w:rPr>
                <w:rFonts w:ascii="Arial" w:eastAsia="Times New Roman" w:hAnsi="Arial" w:cs="Arial"/>
                <w:b/>
                <w:color w:val="000000"/>
                <w:sz w:val="18"/>
                <w:szCs w:val="18"/>
              </w:rPr>
              <w:t>0.182</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ascii="Calibri" w:eastAsia="Times New Roman" w:hAnsi="Calibri" w:cs="Times New Roman"/>
                <w:b/>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ascii="Calibri" w:eastAsia="Times New Roman" w:hAnsi="Calibri" w:cs="Times New Roman"/>
                <w:b/>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ascii="Arial" w:eastAsia="Times New Roman" w:hAnsi="Arial" w:cs="Arial"/>
                <w:b/>
                <w:color w:val="000000"/>
                <w:sz w:val="18"/>
                <w:szCs w:val="18"/>
              </w:rPr>
            </w:pPr>
            <w:r w:rsidRPr="00DA7E4C">
              <w:rPr>
                <w:rFonts w:ascii="Arial" w:eastAsia="Times New Roman" w:hAnsi="Arial" w:cs="Arial"/>
                <w:b/>
                <w:color w:val="000000"/>
                <w:sz w:val="18"/>
                <w:szCs w:val="18"/>
              </w:rPr>
              <w:t>0.000</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ascii="Arial" w:eastAsia="Times New Roman" w:hAnsi="Arial" w:cs="Arial"/>
                <w:b/>
                <w:color w:val="000000"/>
                <w:sz w:val="18"/>
                <w:szCs w:val="18"/>
              </w:rPr>
            </w:pPr>
            <w:r w:rsidRPr="00DA7E4C">
              <w:rPr>
                <w:rFonts w:ascii="Arial" w:eastAsia="Times New Roman" w:hAnsi="Arial" w:cs="Arial"/>
                <w:b/>
                <w:color w:val="000000"/>
                <w:sz w:val="18"/>
                <w:szCs w:val="18"/>
              </w:rPr>
              <w:t>0.000</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ascii="Arial" w:eastAsia="Times New Roman" w:hAnsi="Arial" w:cs="Arial"/>
                <w:b/>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ascii="Calibri" w:eastAsia="Times New Roman" w:hAnsi="Calibri" w:cs="Times New Roman"/>
                <w:b/>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ascii="Calibri" w:eastAsia="Times New Roman" w:hAnsi="Calibri" w:cs="Times New Roman"/>
                <w:b/>
                <w:color w:val="000000"/>
                <w:sz w:val="18"/>
                <w:szCs w:val="18"/>
              </w:rPr>
            </w:pPr>
          </w:p>
        </w:tc>
      </w:tr>
      <w:tr w:rsidR="000A22AE" w:rsidRPr="00DA7E4C" w:rsidTr="000A22AE">
        <w:trPr>
          <w:trHeight w:val="240"/>
        </w:trPr>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center"/>
              <w:rPr>
                <w:rFonts w:eastAsia="Times New Roman" w:cs="Times New Roman"/>
                <w:sz w:val="18"/>
                <w:szCs w:val="18"/>
              </w:rPr>
            </w:pPr>
            <w:r w:rsidRPr="00DA7E4C">
              <w:rPr>
                <w:rFonts w:eastAsia="Times New Roman" w:cs="Times New Roman"/>
                <w:sz w:val="18"/>
                <w:szCs w:val="18"/>
              </w:rPr>
              <w:t>9</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ascii="Arial" w:eastAsia="Times New Roman" w:hAnsi="Arial" w:cs="Arial"/>
                <w:color w:val="000000"/>
                <w:sz w:val="18"/>
                <w:szCs w:val="18"/>
              </w:rPr>
            </w:pPr>
            <w:r w:rsidRPr="00DA7E4C">
              <w:rPr>
                <w:rFonts w:ascii="Arial" w:eastAsia="Times New Roman" w:hAnsi="Arial" w:cs="Arial"/>
                <w:color w:val="000000"/>
                <w:sz w:val="18"/>
                <w:szCs w:val="18"/>
              </w:rPr>
              <w:t>-79.762</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ascii="Calibri" w:eastAsia="Times New Roman" w:hAnsi="Calibri" w:cs="Times New Roman"/>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ascii="Calibri" w:eastAsia="Times New Roman" w:hAnsi="Calibri" w:cs="Times New Roman"/>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ascii="Calibri" w:eastAsia="Times New Roman" w:hAnsi="Calibri" w:cs="Times New Roman"/>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ascii="Calibri" w:eastAsia="Times New Roman" w:hAnsi="Calibri" w:cs="Times New Roman"/>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ascii="Calibri" w:eastAsia="Times New Roman" w:hAnsi="Calibri" w:cs="Times New Roman"/>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ascii="Calibri" w:eastAsia="Times New Roman" w:hAnsi="Calibri" w:cs="Times New Roman"/>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ascii="Calibri" w:eastAsia="Times New Roman" w:hAnsi="Calibri" w:cs="Times New Roman"/>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ascii="Arial" w:eastAsia="Times New Roman" w:hAnsi="Arial" w:cs="Arial"/>
                <w:color w:val="000000"/>
                <w:sz w:val="18"/>
                <w:szCs w:val="18"/>
              </w:rPr>
            </w:pPr>
            <w:r w:rsidRPr="00DA7E4C">
              <w:rPr>
                <w:rFonts w:ascii="Arial" w:eastAsia="Times New Roman" w:hAnsi="Arial" w:cs="Arial"/>
                <w:color w:val="000000"/>
                <w:sz w:val="18"/>
                <w:szCs w:val="18"/>
              </w:rPr>
              <w:t>-18.813</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ascii="Calibri" w:eastAsia="Times New Roman" w:hAnsi="Calibri" w:cs="Times New Roman"/>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ascii="Arial" w:eastAsia="Times New Roman" w:hAnsi="Arial" w:cs="Arial"/>
                <w:color w:val="000000"/>
                <w:sz w:val="18"/>
                <w:szCs w:val="18"/>
              </w:rPr>
            </w:pPr>
            <w:r w:rsidRPr="00DA7E4C">
              <w:rPr>
                <w:rFonts w:ascii="Arial" w:eastAsia="Times New Roman" w:hAnsi="Arial" w:cs="Arial"/>
                <w:color w:val="000000"/>
                <w:sz w:val="18"/>
                <w:szCs w:val="18"/>
              </w:rPr>
              <w:t>0.828</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ascii="Arial" w:eastAsia="Times New Roman" w:hAnsi="Arial" w:cs="Arial"/>
                <w:color w:val="000000"/>
                <w:sz w:val="18"/>
                <w:szCs w:val="18"/>
              </w:rPr>
            </w:pPr>
            <w:r w:rsidRPr="00DA7E4C">
              <w:rPr>
                <w:rFonts w:ascii="Arial" w:eastAsia="Times New Roman" w:hAnsi="Arial" w:cs="Arial"/>
                <w:color w:val="000000"/>
                <w:sz w:val="18"/>
                <w:szCs w:val="18"/>
              </w:rPr>
              <w:t>169.570</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ascii="Arial" w:eastAsia="Times New Roman" w:hAnsi="Arial" w:cs="Arial"/>
                <w:color w:val="000000"/>
                <w:sz w:val="18"/>
                <w:szCs w:val="18"/>
              </w:rPr>
            </w:pPr>
            <w:r w:rsidRPr="00DA7E4C">
              <w:rPr>
                <w:rFonts w:ascii="Arial" w:eastAsia="Times New Roman" w:hAnsi="Arial" w:cs="Arial"/>
                <w:color w:val="000000"/>
                <w:sz w:val="18"/>
                <w:szCs w:val="18"/>
              </w:rPr>
              <w:t>0.691</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ascii="Arial" w:eastAsia="Times New Roman" w:hAnsi="Arial" w:cs="Arial"/>
                <w:color w:val="000000"/>
                <w:sz w:val="18"/>
                <w:szCs w:val="18"/>
              </w:rPr>
            </w:pPr>
            <w:r w:rsidRPr="00DA7E4C">
              <w:rPr>
                <w:rFonts w:ascii="Arial" w:eastAsia="Times New Roman" w:hAnsi="Arial" w:cs="Arial"/>
                <w:color w:val="000000"/>
                <w:sz w:val="18"/>
                <w:szCs w:val="18"/>
              </w:rPr>
              <w:t>1.239</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ascii="Arial" w:eastAsia="Times New Roman" w:hAnsi="Arial" w:cs="Arial"/>
                <w:color w:val="000000"/>
                <w:sz w:val="18"/>
                <w:szCs w:val="18"/>
              </w:rPr>
            </w:pPr>
            <w:r w:rsidRPr="00DA7E4C">
              <w:rPr>
                <w:rFonts w:ascii="Arial" w:eastAsia="Times New Roman" w:hAnsi="Arial" w:cs="Arial"/>
                <w:color w:val="000000"/>
                <w:sz w:val="18"/>
                <w:szCs w:val="18"/>
              </w:rPr>
              <w:t>19.147</w:t>
            </w:r>
          </w:p>
        </w:tc>
      </w:tr>
      <w:tr w:rsidR="000A22AE" w:rsidRPr="00DA7E4C" w:rsidTr="000A22AE">
        <w:trPr>
          <w:trHeight w:val="240"/>
        </w:trPr>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center"/>
              <w:rPr>
                <w:rFonts w:eastAsia="Times New Roman" w:cs="Times New Roman"/>
                <w:b/>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ascii="Arial" w:eastAsia="Times New Roman" w:hAnsi="Arial" w:cs="Arial"/>
                <w:b/>
                <w:color w:val="000000"/>
                <w:sz w:val="18"/>
                <w:szCs w:val="18"/>
              </w:rPr>
            </w:pPr>
            <w:r w:rsidRPr="00DA7E4C">
              <w:rPr>
                <w:rFonts w:ascii="Arial" w:eastAsia="Times New Roman" w:hAnsi="Arial" w:cs="Arial"/>
                <w:b/>
                <w:color w:val="000000"/>
                <w:sz w:val="18"/>
                <w:szCs w:val="18"/>
              </w:rPr>
              <w:t>0.961</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ascii="Calibri" w:eastAsia="Times New Roman" w:hAnsi="Calibri" w:cs="Times New Roman"/>
                <w:b/>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ascii="Calibri" w:eastAsia="Times New Roman" w:hAnsi="Calibri" w:cs="Times New Roman"/>
                <w:b/>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ascii="Calibri" w:eastAsia="Times New Roman" w:hAnsi="Calibri" w:cs="Times New Roman"/>
                <w:b/>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ascii="Calibri" w:eastAsia="Times New Roman" w:hAnsi="Calibri" w:cs="Times New Roman"/>
                <w:b/>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ascii="Calibri" w:eastAsia="Times New Roman" w:hAnsi="Calibri" w:cs="Times New Roman"/>
                <w:b/>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ascii="Calibri" w:eastAsia="Times New Roman" w:hAnsi="Calibri" w:cs="Times New Roman"/>
                <w:b/>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ascii="Calibri" w:eastAsia="Times New Roman" w:hAnsi="Calibri" w:cs="Times New Roman"/>
                <w:b/>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ascii="Arial" w:eastAsia="Times New Roman" w:hAnsi="Arial" w:cs="Arial"/>
                <w:b/>
                <w:color w:val="000000"/>
                <w:sz w:val="18"/>
                <w:szCs w:val="18"/>
              </w:rPr>
            </w:pPr>
            <w:r w:rsidRPr="00DA7E4C">
              <w:rPr>
                <w:rFonts w:ascii="Arial" w:eastAsia="Times New Roman" w:hAnsi="Arial" w:cs="Arial"/>
                <w:b/>
                <w:color w:val="000000"/>
                <w:sz w:val="18"/>
                <w:szCs w:val="18"/>
              </w:rPr>
              <w:t>0.220</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ascii="Calibri" w:eastAsia="Times New Roman" w:hAnsi="Calibri" w:cs="Times New Roman"/>
                <w:b/>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ascii="Arial" w:eastAsia="Times New Roman" w:hAnsi="Arial" w:cs="Arial"/>
                <w:b/>
                <w:color w:val="000000"/>
                <w:sz w:val="18"/>
                <w:szCs w:val="18"/>
              </w:rPr>
            </w:pPr>
            <w:r w:rsidRPr="00DA7E4C">
              <w:rPr>
                <w:rFonts w:ascii="Arial" w:eastAsia="Times New Roman" w:hAnsi="Arial" w:cs="Arial"/>
                <w:b/>
                <w:color w:val="000000"/>
                <w:sz w:val="18"/>
                <w:szCs w:val="18"/>
              </w:rPr>
              <w:t>0.000</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ascii="Arial" w:eastAsia="Times New Roman" w:hAnsi="Arial" w:cs="Arial"/>
                <w:b/>
                <w:color w:val="000000"/>
                <w:sz w:val="18"/>
                <w:szCs w:val="18"/>
              </w:rPr>
            </w:pPr>
            <w:r w:rsidRPr="00DA7E4C">
              <w:rPr>
                <w:rFonts w:ascii="Arial" w:eastAsia="Times New Roman" w:hAnsi="Arial" w:cs="Arial"/>
                <w:b/>
                <w:color w:val="000000"/>
                <w:sz w:val="18"/>
                <w:szCs w:val="18"/>
              </w:rPr>
              <w:t>0.000</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ascii="Calibri" w:eastAsia="Times New Roman" w:hAnsi="Calibri" w:cs="Times New Roman"/>
                <w:b/>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ascii="Calibri" w:eastAsia="Times New Roman" w:hAnsi="Calibri" w:cs="Times New Roman"/>
                <w:b/>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ascii="Calibri" w:eastAsia="Times New Roman" w:hAnsi="Calibri" w:cs="Times New Roman"/>
                <w:b/>
                <w:color w:val="000000"/>
                <w:sz w:val="18"/>
                <w:szCs w:val="18"/>
              </w:rPr>
            </w:pPr>
          </w:p>
        </w:tc>
      </w:tr>
      <w:tr w:rsidR="000A22AE" w:rsidRPr="00DA7E4C" w:rsidTr="000A22AE">
        <w:trPr>
          <w:trHeight w:val="240"/>
        </w:trPr>
        <w:tc>
          <w:tcPr>
            <w:tcW w:w="0" w:type="auto"/>
            <w:tcBorders>
              <w:top w:val="nil"/>
              <w:left w:val="nil"/>
              <w:bottom w:val="nil"/>
              <w:right w:val="nil"/>
            </w:tcBorders>
            <w:shd w:val="clear" w:color="auto" w:fill="auto"/>
            <w:noWrap/>
            <w:vAlign w:val="center"/>
            <w:hideMark/>
          </w:tcPr>
          <w:p w:rsidR="000A22AE" w:rsidRPr="00DA7E4C" w:rsidRDefault="000A22AE" w:rsidP="000A22AE">
            <w:pPr>
              <w:spacing w:before="0" w:after="0" w:line="240" w:lineRule="auto"/>
              <w:jc w:val="center"/>
              <w:rPr>
                <w:rFonts w:eastAsia="Times New Roman" w:cs="Times New Roman"/>
                <w:color w:val="000000"/>
                <w:sz w:val="18"/>
                <w:szCs w:val="18"/>
              </w:rPr>
            </w:pPr>
            <w:r w:rsidRPr="00DA7E4C">
              <w:rPr>
                <w:rFonts w:eastAsia="Times New Roman" w:cs="Times New Roman"/>
                <w:color w:val="000000"/>
                <w:sz w:val="18"/>
                <w:szCs w:val="18"/>
              </w:rPr>
              <w:t>10</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ascii="Arial" w:eastAsia="Times New Roman" w:hAnsi="Arial" w:cs="Arial"/>
                <w:color w:val="000000"/>
                <w:sz w:val="18"/>
                <w:szCs w:val="18"/>
              </w:rPr>
            </w:pPr>
            <w:r w:rsidRPr="00DA7E4C">
              <w:rPr>
                <w:rFonts w:ascii="Arial" w:eastAsia="Times New Roman" w:hAnsi="Arial" w:cs="Arial"/>
                <w:color w:val="000000"/>
                <w:sz w:val="18"/>
                <w:szCs w:val="18"/>
              </w:rPr>
              <w:t>20.133</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ascii="Calibri" w:eastAsia="Times New Roman" w:hAnsi="Calibri" w:cs="Times New Roman"/>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ascii="Calibri" w:eastAsia="Times New Roman" w:hAnsi="Calibri" w:cs="Times New Roman"/>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ascii="Calibri" w:eastAsia="Times New Roman" w:hAnsi="Calibri" w:cs="Times New Roman"/>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ascii="Calibri" w:eastAsia="Times New Roman" w:hAnsi="Calibri" w:cs="Times New Roman"/>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ascii="Calibri" w:eastAsia="Times New Roman" w:hAnsi="Calibri" w:cs="Times New Roman"/>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ascii="Calibri" w:eastAsia="Times New Roman" w:hAnsi="Calibri" w:cs="Times New Roman"/>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ascii="Calibri" w:eastAsia="Times New Roman" w:hAnsi="Calibri" w:cs="Times New Roman"/>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ascii="Calibri" w:eastAsia="Times New Roman" w:hAnsi="Calibri" w:cs="Times New Roman"/>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ascii="Arial" w:eastAsia="Times New Roman" w:hAnsi="Arial" w:cs="Arial"/>
                <w:color w:val="000000"/>
                <w:sz w:val="18"/>
                <w:szCs w:val="18"/>
              </w:rPr>
            </w:pPr>
            <w:r w:rsidRPr="00DA7E4C">
              <w:rPr>
                <w:rFonts w:ascii="Arial" w:eastAsia="Times New Roman" w:hAnsi="Arial" w:cs="Arial"/>
                <w:color w:val="000000"/>
                <w:sz w:val="18"/>
                <w:szCs w:val="18"/>
              </w:rPr>
              <w:t>-60.530</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ascii="Arial" w:eastAsia="Times New Roman" w:hAnsi="Arial" w:cs="Arial"/>
                <w:color w:val="000000"/>
                <w:sz w:val="18"/>
                <w:szCs w:val="18"/>
              </w:rPr>
            </w:pPr>
            <w:r w:rsidRPr="00DA7E4C">
              <w:rPr>
                <w:rFonts w:ascii="Arial" w:eastAsia="Times New Roman" w:hAnsi="Arial" w:cs="Arial"/>
                <w:color w:val="000000"/>
                <w:sz w:val="18"/>
                <w:szCs w:val="18"/>
              </w:rPr>
              <w:t>0.825</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ascii="Arial" w:eastAsia="Times New Roman" w:hAnsi="Arial" w:cs="Arial"/>
                <w:color w:val="000000"/>
                <w:sz w:val="18"/>
                <w:szCs w:val="18"/>
              </w:rPr>
            </w:pPr>
            <w:r w:rsidRPr="00DA7E4C">
              <w:rPr>
                <w:rFonts w:ascii="Arial" w:eastAsia="Times New Roman" w:hAnsi="Arial" w:cs="Arial"/>
                <w:color w:val="000000"/>
                <w:sz w:val="18"/>
                <w:szCs w:val="18"/>
              </w:rPr>
              <w:t>195.173</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ascii="Arial" w:eastAsia="Times New Roman" w:hAnsi="Arial" w:cs="Arial"/>
                <w:color w:val="000000"/>
                <w:sz w:val="18"/>
                <w:szCs w:val="18"/>
              </w:rPr>
            </w:pPr>
            <w:r w:rsidRPr="00DA7E4C">
              <w:rPr>
                <w:rFonts w:ascii="Arial" w:eastAsia="Times New Roman" w:hAnsi="Arial" w:cs="Arial"/>
                <w:color w:val="000000"/>
                <w:sz w:val="18"/>
                <w:szCs w:val="18"/>
              </w:rPr>
              <w:t>0.721</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ascii="Arial" w:eastAsia="Times New Roman" w:hAnsi="Arial" w:cs="Arial"/>
                <w:color w:val="000000"/>
                <w:sz w:val="18"/>
                <w:szCs w:val="18"/>
              </w:rPr>
            </w:pPr>
            <w:r w:rsidRPr="00DA7E4C">
              <w:rPr>
                <w:rFonts w:ascii="Arial" w:eastAsia="Times New Roman" w:hAnsi="Arial" w:cs="Arial"/>
                <w:color w:val="000000"/>
                <w:sz w:val="18"/>
                <w:szCs w:val="18"/>
              </w:rPr>
              <w:t>1.224</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ascii="Arial" w:eastAsia="Times New Roman" w:hAnsi="Arial" w:cs="Arial"/>
                <w:color w:val="000000"/>
                <w:sz w:val="18"/>
                <w:szCs w:val="18"/>
              </w:rPr>
            </w:pPr>
            <w:r w:rsidRPr="00DA7E4C">
              <w:rPr>
                <w:rFonts w:ascii="Arial" w:eastAsia="Times New Roman" w:hAnsi="Arial" w:cs="Arial"/>
                <w:color w:val="000000"/>
                <w:sz w:val="18"/>
                <w:szCs w:val="18"/>
              </w:rPr>
              <w:t>19.049</w:t>
            </w:r>
          </w:p>
        </w:tc>
      </w:tr>
      <w:tr w:rsidR="000A22AE" w:rsidRPr="00DA7E4C" w:rsidTr="000A22AE">
        <w:trPr>
          <w:trHeight w:val="240"/>
        </w:trPr>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ascii="Calibri" w:eastAsia="Times New Roman" w:hAnsi="Calibri" w:cs="Times New Roman"/>
                <w:b/>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ascii="Arial" w:eastAsia="Times New Roman" w:hAnsi="Arial" w:cs="Arial"/>
                <w:b/>
                <w:color w:val="000000"/>
                <w:sz w:val="18"/>
                <w:szCs w:val="18"/>
              </w:rPr>
            </w:pPr>
            <w:r w:rsidRPr="00DA7E4C">
              <w:rPr>
                <w:rFonts w:ascii="Arial" w:eastAsia="Times New Roman" w:hAnsi="Arial" w:cs="Arial"/>
                <w:b/>
                <w:color w:val="000000"/>
                <w:sz w:val="18"/>
                <w:szCs w:val="18"/>
              </w:rPr>
              <w:t>0.989</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ascii="Calibri" w:eastAsia="Times New Roman" w:hAnsi="Calibri" w:cs="Times New Roman"/>
                <w:b/>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ascii="Calibri" w:eastAsia="Times New Roman" w:hAnsi="Calibri" w:cs="Times New Roman"/>
                <w:b/>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ascii="Calibri" w:eastAsia="Times New Roman" w:hAnsi="Calibri" w:cs="Times New Roman"/>
                <w:b/>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ascii="Calibri" w:eastAsia="Times New Roman" w:hAnsi="Calibri" w:cs="Times New Roman"/>
                <w:b/>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ascii="Calibri" w:eastAsia="Times New Roman" w:hAnsi="Calibri" w:cs="Times New Roman"/>
                <w:b/>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ascii="Calibri" w:eastAsia="Times New Roman" w:hAnsi="Calibri" w:cs="Times New Roman"/>
                <w:b/>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ascii="Calibri" w:eastAsia="Times New Roman" w:hAnsi="Calibri" w:cs="Times New Roman"/>
                <w:b/>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ascii="Calibri" w:eastAsia="Times New Roman" w:hAnsi="Calibri" w:cs="Times New Roman"/>
                <w:b/>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ascii="Arial" w:eastAsia="Times New Roman" w:hAnsi="Arial" w:cs="Arial"/>
                <w:b/>
                <w:color w:val="000000"/>
                <w:sz w:val="18"/>
                <w:szCs w:val="18"/>
              </w:rPr>
            </w:pPr>
            <w:r w:rsidRPr="00DA7E4C">
              <w:rPr>
                <w:rFonts w:ascii="Arial" w:eastAsia="Times New Roman" w:hAnsi="Arial" w:cs="Arial"/>
                <w:b/>
                <w:color w:val="000000"/>
                <w:sz w:val="18"/>
                <w:szCs w:val="18"/>
              </w:rPr>
              <w:t>0.000</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ascii="Arial" w:eastAsia="Times New Roman" w:hAnsi="Arial" w:cs="Arial"/>
                <w:b/>
                <w:color w:val="000000"/>
                <w:sz w:val="18"/>
                <w:szCs w:val="18"/>
              </w:rPr>
            </w:pPr>
            <w:r w:rsidRPr="00DA7E4C">
              <w:rPr>
                <w:rFonts w:ascii="Arial" w:eastAsia="Times New Roman" w:hAnsi="Arial" w:cs="Arial"/>
                <w:b/>
                <w:color w:val="000000"/>
                <w:sz w:val="18"/>
                <w:szCs w:val="18"/>
              </w:rPr>
              <w:t>0.000</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ascii="Arial" w:eastAsia="Times New Roman" w:hAnsi="Arial" w:cs="Arial"/>
                <w:b/>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ascii="Arial" w:eastAsia="Times New Roman" w:hAnsi="Arial" w:cs="Arial"/>
                <w:b/>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ascii="Arial" w:eastAsia="Times New Roman" w:hAnsi="Arial" w:cs="Arial"/>
                <w:b/>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ascii="Arial" w:eastAsia="Times New Roman" w:hAnsi="Arial" w:cs="Arial"/>
                <w:b/>
                <w:color w:val="000000"/>
                <w:sz w:val="18"/>
                <w:szCs w:val="18"/>
              </w:rPr>
            </w:pPr>
          </w:p>
        </w:tc>
      </w:tr>
    </w:tbl>
    <w:p w:rsidR="000A22AE" w:rsidRPr="00762161" w:rsidRDefault="000A22AE" w:rsidP="000A22AE"/>
    <w:p w:rsidR="000A22AE" w:rsidRPr="00762161" w:rsidRDefault="000A22AE" w:rsidP="000A22AE">
      <w:pPr>
        <w:pStyle w:val="Heading2"/>
      </w:pPr>
      <w:bookmarkStart w:id="363" w:name="_Toc286616341"/>
      <w:r w:rsidRPr="00762161">
        <w:t xml:space="preserve">Table 7: The Relationship between Inflation and </w:t>
      </w:r>
      <w:r w:rsidR="00627488">
        <w:t>Real Stock Price</w:t>
      </w:r>
      <w:r w:rsidRPr="00762161">
        <w:t>s (Quarterly 1969-1988)</w:t>
      </w:r>
      <w:bookmarkEnd w:id="363"/>
    </w:p>
    <w:tbl>
      <w:tblPr>
        <w:tblW w:w="0" w:type="auto"/>
        <w:tblInd w:w="93" w:type="dxa"/>
        <w:tblLook w:val="04A0"/>
      </w:tblPr>
      <w:tblGrid>
        <w:gridCol w:w="756"/>
        <w:gridCol w:w="996"/>
        <w:gridCol w:w="621"/>
        <w:gridCol w:w="681"/>
        <w:gridCol w:w="681"/>
        <w:gridCol w:w="681"/>
        <w:gridCol w:w="681"/>
        <w:gridCol w:w="621"/>
        <w:gridCol w:w="621"/>
        <w:gridCol w:w="621"/>
        <w:gridCol w:w="621"/>
        <w:gridCol w:w="621"/>
        <w:gridCol w:w="891"/>
        <w:gridCol w:w="866"/>
        <w:gridCol w:w="621"/>
        <w:gridCol w:w="736"/>
      </w:tblGrid>
      <w:tr w:rsidR="000A22AE" w:rsidRPr="00DA7E4C" w:rsidTr="000A22AE">
        <w:trPr>
          <w:trHeight w:val="300"/>
        </w:trPr>
        <w:tc>
          <w:tcPr>
            <w:tcW w:w="0" w:type="auto"/>
            <w:tcBorders>
              <w:top w:val="single" w:sz="8" w:space="0" w:color="auto"/>
              <w:left w:val="single" w:sz="8" w:space="0" w:color="auto"/>
              <w:bottom w:val="single" w:sz="8" w:space="0" w:color="auto"/>
              <w:right w:val="nil"/>
            </w:tcBorders>
            <w:shd w:val="clear" w:color="auto" w:fill="auto"/>
            <w:noWrap/>
            <w:vAlign w:val="bottom"/>
            <w:hideMark/>
          </w:tcPr>
          <w:p w:rsidR="000A22AE" w:rsidRPr="00DA7E4C" w:rsidRDefault="000A22AE" w:rsidP="000A22AE">
            <w:pPr>
              <w:spacing w:before="0" w:after="0" w:line="240" w:lineRule="auto"/>
              <w:jc w:val="center"/>
              <w:rPr>
                <w:rFonts w:eastAsia="Times New Roman" w:cs="Times New Roman"/>
                <w:sz w:val="18"/>
                <w:szCs w:val="18"/>
              </w:rPr>
            </w:pPr>
            <w:r w:rsidRPr="00DA7E4C">
              <w:rPr>
                <w:rFonts w:eastAsia="Times New Roman" w:cs="Times New Roman"/>
                <w:sz w:val="18"/>
                <w:szCs w:val="18"/>
              </w:rPr>
              <w:t>Sample</w:t>
            </w:r>
          </w:p>
        </w:tc>
        <w:tc>
          <w:tcPr>
            <w:tcW w:w="0" w:type="auto"/>
            <w:tcBorders>
              <w:top w:val="single" w:sz="8" w:space="0" w:color="auto"/>
              <w:left w:val="nil"/>
              <w:bottom w:val="single" w:sz="8" w:space="0" w:color="auto"/>
              <w:right w:val="single" w:sz="8" w:space="0" w:color="auto"/>
            </w:tcBorders>
            <w:shd w:val="clear" w:color="auto" w:fill="auto"/>
            <w:noWrap/>
            <w:vAlign w:val="bottom"/>
            <w:hideMark/>
          </w:tcPr>
          <w:p w:rsidR="000A22AE" w:rsidRPr="00DA7E4C" w:rsidRDefault="000A22AE" w:rsidP="000A22AE">
            <w:pPr>
              <w:spacing w:before="0" w:after="0" w:line="240" w:lineRule="auto"/>
              <w:jc w:val="center"/>
              <w:rPr>
                <w:rFonts w:eastAsia="Times New Roman" w:cs="Times New Roman"/>
                <w:sz w:val="18"/>
                <w:szCs w:val="18"/>
              </w:rPr>
            </w:pPr>
            <w:r w:rsidRPr="00DA7E4C">
              <w:rPr>
                <w:rFonts w:eastAsia="Times New Roman" w:cs="Times New Roman"/>
                <w:sz w:val="18"/>
                <w:szCs w:val="18"/>
              </w:rPr>
              <w:t>1969-1988</w:t>
            </w:r>
          </w:p>
        </w:tc>
        <w:tc>
          <w:tcPr>
            <w:tcW w:w="0" w:type="auto"/>
            <w:gridSpan w:val="9"/>
            <w:tcBorders>
              <w:top w:val="single" w:sz="8" w:space="0" w:color="auto"/>
              <w:left w:val="nil"/>
              <w:bottom w:val="nil"/>
              <w:right w:val="single" w:sz="8" w:space="0" w:color="000000"/>
            </w:tcBorders>
            <w:shd w:val="clear" w:color="auto" w:fill="auto"/>
            <w:vAlign w:val="bottom"/>
            <w:hideMark/>
          </w:tcPr>
          <w:p w:rsidR="000A22AE" w:rsidRPr="00DA7E4C" w:rsidRDefault="000A22AE" w:rsidP="000A22AE">
            <w:pPr>
              <w:spacing w:before="0" w:after="0" w:line="240" w:lineRule="auto"/>
              <w:jc w:val="center"/>
              <w:rPr>
                <w:rFonts w:eastAsia="Times New Roman" w:cs="Times New Roman"/>
                <w:color w:val="000000"/>
                <w:sz w:val="18"/>
                <w:szCs w:val="18"/>
              </w:rPr>
            </w:pPr>
            <w:r w:rsidRPr="00DA7E4C">
              <w:rPr>
                <w:rFonts w:eastAsia="Times New Roman" w:cs="Times New Roman"/>
                <w:color w:val="000000"/>
                <w:sz w:val="18"/>
                <w:szCs w:val="18"/>
              </w:rPr>
              <w:t xml:space="preserve">Real Stock </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color w:val="000000"/>
                <w:sz w:val="18"/>
                <w:szCs w:val="18"/>
              </w:rPr>
            </w:pPr>
          </w:p>
        </w:tc>
        <w:tc>
          <w:tcPr>
            <w:tcW w:w="0" w:type="auto"/>
            <w:tcBorders>
              <w:top w:val="nil"/>
              <w:left w:val="nil"/>
              <w:bottom w:val="nil"/>
              <w:right w:val="single" w:sz="4" w:space="0" w:color="auto"/>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color w:val="000000"/>
                <w:sz w:val="18"/>
                <w:szCs w:val="18"/>
              </w:rPr>
            </w:pPr>
          </w:p>
        </w:tc>
        <w:tc>
          <w:tcPr>
            <w:tcW w:w="0" w:type="auto"/>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A22AE" w:rsidRPr="00DA7E4C" w:rsidRDefault="000A22AE" w:rsidP="000A22AE">
            <w:pPr>
              <w:spacing w:before="0" w:after="0" w:line="240" w:lineRule="auto"/>
              <w:jc w:val="center"/>
              <w:rPr>
                <w:rFonts w:eastAsia="Times New Roman" w:cs="Times New Roman"/>
                <w:sz w:val="18"/>
                <w:szCs w:val="18"/>
              </w:rPr>
            </w:pPr>
            <w:r w:rsidRPr="00DA7E4C">
              <w:rPr>
                <w:rFonts w:eastAsia="Times New Roman" w:cs="Times New Roman"/>
                <w:sz w:val="18"/>
                <w:szCs w:val="18"/>
              </w:rPr>
              <w:t>Adjusted</w:t>
            </w:r>
          </w:p>
          <w:p w:rsidR="000A22AE" w:rsidRPr="00DA7E4C" w:rsidRDefault="000A22AE" w:rsidP="000A22AE">
            <w:pPr>
              <w:spacing w:before="0" w:after="0" w:line="240" w:lineRule="auto"/>
              <w:jc w:val="center"/>
              <w:rPr>
                <w:rFonts w:eastAsia="Times New Roman" w:cs="Times New Roman"/>
                <w:color w:val="000000"/>
                <w:sz w:val="18"/>
                <w:szCs w:val="18"/>
              </w:rPr>
            </w:pPr>
            <w:r w:rsidRPr="00DA7E4C">
              <w:rPr>
                <w:rFonts w:eastAsia="Times New Roman" w:cs="Times New Roman"/>
                <w:sz w:val="18"/>
                <w:szCs w:val="18"/>
              </w:rPr>
              <w:t>R-square</w:t>
            </w:r>
          </w:p>
        </w:tc>
        <w:tc>
          <w:tcPr>
            <w:tcW w:w="0" w:type="auto"/>
            <w:tcBorders>
              <w:top w:val="nil"/>
              <w:left w:val="single" w:sz="4" w:space="0" w:color="auto"/>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color w:val="000000"/>
                <w:sz w:val="18"/>
                <w:szCs w:val="18"/>
              </w:rPr>
            </w:pPr>
          </w:p>
        </w:tc>
      </w:tr>
      <w:tr w:rsidR="000A22AE" w:rsidRPr="00DA7E4C" w:rsidTr="000A22AE">
        <w:trPr>
          <w:trHeight w:val="255"/>
        </w:trPr>
        <w:tc>
          <w:tcPr>
            <w:tcW w:w="0" w:type="auto"/>
            <w:tcBorders>
              <w:top w:val="nil"/>
              <w:left w:val="single" w:sz="8" w:space="0" w:color="auto"/>
              <w:bottom w:val="single" w:sz="8" w:space="0" w:color="auto"/>
              <w:right w:val="single" w:sz="8" w:space="0" w:color="auto"/>
            </w:tcBorders>
            <w:shd w:val="clear" w:color="auto" w:fill="auto"/>
            <w:noWrap/>
            <w:vAlign w:val="center"/>
            <w:hideMark/>
          </w:tcPr>
          <w:p w:rsidR="000A22AE" w:rsidRPr="00DA7E4C" w:rsidRDefault="000A22AE" w:rsidP="000A22AE">
            <w:pPr>
              <w:spacing w:before="0" w:after="0" w:line="240" w:lineRule="auto"/>
              <w:jc w:val="center"/>
              <w:rPr>
                <w:rFonts w:eastAsia="Times New Roman" w:cs="Times New Roman"/>
                <w:sz w:val="18"/>
                <w:szCs w:val="18"/>
              </w:rPr>
            </w:pPr>
            <w:r w:rsidRPr="00DA7E4C">
              <w:rPr>
                <w:rFonts w:eastAsia="Times New Roman" w:cs="Times New Roman"/>
                <w:sz w:val="18"/>
                <w:szCs w:val="18"/>
              </w:rPr>
              <w:t>No</w:t>
            </w:r>
          </w:p>
        </w:tc>
        <w:tc>
          <w:tcPr>
            <w:tcW w:w="0" w:type="auto"/>
            <w:tcBorders>
              <w:top w:val="nil"/>
              <w:left w:val="nil"/>
              <w:bottom w:val="single" w:sz="8" w:space="0" w:color="auto"/>
              <w:right w:val="single" w:sz="8" w:space="0" w:color="auto"/>
            </w:tcBorders>
            <w:shd w:val="clear" w:color="auto" w:fill="auto"/>
            <w:noWrap/>
            <w:vAlign w:val="center"/>
            <w:hideMark/>
          </w:tcPr>
          <w:p w:rsidR="000A22AE" w:rsidRPr="00DA7E4C" w:rsidRDefault="000A22AE" w:rsidP="000A22AE">
            <w:pPr>
              <w:spacing w:before="0" w:after="0" w:line="240" w:lineRule="auto"/>
              <w:jc w:val="center"/>
              <w:rPr>
                <w:rFonts w:eastAsia="Times New Roman" w:cs="Times New Roman"/>
                <w:sz w:val="18"/>
                <w:szCs w:val="18"/>
              </w:rPr>
            </w:pPr>
            <w:r w:rsidRPr="00DA7E4C">
              <w:rPr>
                <w:rFonts w:eastAsia="Times New Roman" w:cs="Times New Roman"/>
                <w:sz w:val="18"/>
                <w:szCs w:val="18"/>
              </w:rPr>
              <w:t>Intercept</w:t>
            </w:r>
          </w:p>
        </w:tc>
        <w:tc>
          <w:tcPr>
            <w:tcW w:w="0" w:type="auto"/>
            <w:tcBorders>
              <w:top w:val="nil"/>
              <w:left w:val="nil"/>
              <w:bottom w:val="single" w:sz="8" w:space="0" w:color="auto"/>
              <w:right w:val="single" w:sz="8" w:space="0" w:color="auto"/>
            </w:tcBorders>
            <w:shd w:val="clear" w:color="auto" w:fill="auto"/>
            <w:vAlign w:val="center"/>
            <w:hideMark/>
          </w:tcPr>
          <w:p w:rsidR="000A22AE" w:rsidRPr="00DA7E4C" w:rsidRDefault="000A22AE" w:rsidP="000A22AE">
            <w:pPr>
              <w:spacing w:before="0" w:after="0" w:line="240" w:lineRule="auto"/>
              <w:jc w:val="center"/>
              <w:rPr>
                <w:rFonts w:eastAsia="Times New Roman" w:cs="Times New Roman"/>
                <w:sz w:val="18"/>
                <w:szCs w:val="18"/>
              </w:rPr>
            </w:pPr>
            <w:r w:rsidRPr="00DA7E4C">
              <w:rPr>
                <w:rFonts w:eastAsia="Times New Roman" w:cs="Times New Roman"/>
                <w:sz w:val="18"/>
                <w:szCs w:val="18"/>
              </w:rPr>
              <w:t>t</w:t>
            </w:r>
          </w:p>
        </w:tc>
        <w:tc>
          <w:tcPr>
            <w:tcW w:w="0" w:type="auto"/>
            <w:tcBorders>
              <w:top w:val="nil"/>
              <w:left w:val="nil"/>
              <w:bottom w:val="single" w:sz="8" w:space="0" w:color="auto"/>
              <w:right w:val="single" w:sz="8" w:space="0" w:color="auto"/>
            </w:tcBorders>
            <w:shd w:val="clear" w:color="auto" w:fill="auto"/>
            <w:vAlign w:val="center"/>
            <w:hideMark/>
          </w:tcPr>
          <w:p w:rsidR="000A22AE" w:rsidRPr="00DA7E4C" w:rsidRDefault="000A22AE" w:rsidP="000A22AE">
            <w:pPr>
              <w:spacing w:before="0" w:after="0" w:line="240" w:lineRule="auto"/>
              <w:jc w:val="center"/>
              <w:rPr>
                <w:rFonts w:eastAsia="Times New Roman" w:cs="Times New Roman"/>
                <w:sz w:val="18"/>
                <w:szCs w:val="18"/>
              </w:rPr>
            </w:pPr>
            <w:r w:rsidRPr="00DA7E4C">
              <w:rPr>
                <w:rFonts w:eastAsia="Times New Roman" w:cs="Times New Roman"/>
                <w:sz w:val="18"/>
                <w:szCs w:val="18"/>
              </w:rPr>
              <w:t>t-1</w:t>
            </w:r>
          </w:p>
        </w:tc>
        <w:tc>
          <w:tcPr>
            <w:tcW w:w="0" w:type="auto"/>
            <w:tcBorders>
              <w:top w:val="nil"/>
              <w:left w:val="nil"/>
              <w:bottom w:val="single" w:sz="8" w:space="0" w:color="auto"/>
              <w:right w:val="single" w:sz="8" w:space="0" w:color="auto"/>
            </w:tcBorders>
            <w:shd w:val="clear" w:color="auto" w:fill="auto"/>
            <w:vAlign w:val="center"/>
            <w:hideMark/>
          </w:tcPr>
          <w:p w:rsidR="000A22AE" w:rsidRPr="00DA7E4C" w:rsidRDefault="000A22AE" w:rsidP="000A22AE">
            <w:pPr>
              <w:spacing w:before="0" w:after="0" w:line="240" w:lineRule="auto"/>
              <w:jc w:val="center"/>
              <w:rPr>
                <w:rFonts w:eastAsia="Times New Roman" w:cs="Times New Roman"/>
                <w:sz w:val="18"/>
                <w:szCs w:val="18"/>
              </w:rPr>
            </w:pPr>
            <w:r w:rsidRPr="00DA7E4C">
              <w:rPr>
                <w:rFonts w:eastAsia="Times New Roman" w:cs="Times New Roman"/>
                <w:sz w:val="18"/>
                <w:szCs w:val="18"/>
              </w:rPr>
              <w:t>t-2</w:t>
            </w:r>
          </w:p>
        </w:tc>
        <w:tc>
          <w:tcPr>
            <w:tcW w:w="0" w:type="auto"/>
            <w:tcBorders>
              <w:top w:val="nil"/>
              <w:left w:val="nil"/>
              <w:bottom w:val="single" w:sz="8" w:space="0" w:color="auto"/>
              <w:right w:val="single" w:sz="8" w:space="0" w:color="auto"/>
            </w:tcBorders>
            <w:shd w:val="clear" w:color="auto" w:fill="auto"/>
            <w:vAlign w:val="center"/>
            <w:hideMark/>
          </w:tcPr>
          <w:p w:rsidR="000A22AE" w:rsidRPr="00DA7E4C" w:rsidRDefault="000A22AE" w:rsidP="000A22AE">
            <w:pPr>
              <w:spacing w:before="0" w:after="0" w:line="240" w:lineRule="auto"/>
              <w:jc w:val="center"/>
              <w:rPr>
                <w:rFonts w:eastAsia="Times New Roman" w:cs="Times New Roman"/>
                <w:sz w:val="18"/>
                <w:szCs w:val="18"/>
              </w:rPr>
            </w:pPr>
            <w:r w:rsidRPr="00DA7E4C">
              <w:rPr>
                <w:rFonts w:eastAsia="Times New Roman" w:cs="Times New Roman"/>
                <w:sz w:val="18"/>
                <w:szCs w:val="18"/>
              </w:rPr>
              <w:t>t-3</w:t>
            </w:r>
          </w:p>
        </w:tc>
        <w:tc>
          <w:tcPr>
            <w:tcW w:w="0" w:type="auto"/>
            <w:tcBorders>
              <w:top w:val="nil"/>
              <w:left w:val="nil"/>
              <w:bottom w:val="single" w:sz="8" w:space="0" w:color="auto"/>
              <w:right w:val="single" w:sz="8" w:space="0" w:color="auto"/>
            </w:tcBorders>
            <w:shd w:val="clear" w:color="auto" w:fill="auto"/>
            <w:vAlign w:val="center"/>
            <w:hideMark/>
          </w:tcPr>
          <w:p w:rsidR="000A22AE" w:rsidRPr="00DA7E4C" w:rsidRDefault="000A22AE" w:rsidP="000A22AE">
            <w:pPr>
              <w:spacing w:before="0" w:after="0" w:line="240" w:lineRule="auto"/>
              <w:jc w:val="center"/>
              <w:rPr>
                <w:rFonts w:eastAsia="Times New Roman" w:cs="Times New Roman"/>
                <w:sz w:val="18"/>
                <w:szCs w:val="18"/>
              </w:rPr>
            </w:pPr>
            <w:r w:rsidRPr="00DA7E4C">
              <w:rPr>
                <w:rFonts w:eastAsia="Times New Roman" w:cs="Times New Roman"/>
                <w:sz w:val="18"/>
                <w:szCs w:val="18"/>
              </w:rPr>
              <w:t>t-4</w:t>
            </w:r>
          </w:p>
        </w:tc>
        <w:tc>
          <w:tcPr>
            <w:tcW w:w="0" w:type="auto"/>
            <w:tcBorders>
              <w:top w:val="nil"/>
              <w:left w:val="nil"/>
              <w:bottom w:val="single" w:sz="8" w:space="0" w:color="auto"/>
              <w:right w:val="single" w:sz="8" w:space="0" w:color="auto"/>
            </w:tcBorders>
            <w:shd w:val="clear" w:color="auto" w:fill="auto"/>
            <w:vAlign w:val="center"/>
            <w:hideMark/>
          </w:tcPr>
          <w:p w:rsidR="000A22AE" w:rsidRPr="00DA7E4C" w:rsidRDefault="000A22AE" w:rsidP="000A22AE">
            <w:pPr>
              <w:spacing w:before="0" w:after="0" w:line="240" w:lineRule="auto"/>
              <w:jc w:val="center"/>
              <w:rPr>
                <w:rFonts w:eastAsia="Times New Roman" w:cs="Times New Roman"/>
                <w:sz w:val="18"/>
                <w:szCs w:val="18"/>
              </w:rPr>
            </w:pPr>
            <w:r w:rsidRPr="00DA7E4C">
              <w:rPr>
                <w:rFonts w:eastAsia="Times New Roman" w:cs="Times New Roman"/>
                <w:sz w:val="18"/>
                <w:szCs w:val="18"/>
              </w:rPr>
              <w:t>t-5</w:t>
            </w:r>
          </w:p>
        </w:tc>
        <w:tc>
          <w:tcPr>
            <w:tcW w:w="0" w:type="auto"/>
            <w:tcBorders>
              <w:top w:val="nil"/>
              <w:left w:val="nil"/>
              <w:bottom w:val="single" w:sz="8" w:space="0" w:color="auto"/>
              <w:right w:val="single" w:sz="8" w:space="0" w:color="auto"/>
            </w:tcBorders>
            <w:shd w:val="clear" w:color="auto" w:fill="auto"/>
            <w:vAlign w:val="center"/>
            <w:hideMark/>
          </w:tcPr>
          <w:p w:rsidR="000A22AE" w:rsidRPr="00DA7E4C" w:rsidRDefault="000A22AE" w:rsidP="000A22AE">
            <w:pPr>
              <w:spacing w:before="0" w:after="0" w:line="240" w:lineRule="auto"/>
              <w:jc w:val="center"/>
              <w:rPr>
                <w:rFonts w:eastAsia="Times New Roman" w:cs="Times New Roman"/>
                <w:sz w:val="18"/>
                <w:szCs w:val="18"/>
              </w:rPr>
            </w:pPr>
            <w:r w:rsidRPr="00DA7E4C">
              <w:rPr>
                <w:rFonts w:eastAsia="Times New Roman" w:cs="Times New Roman"/>
                <w:sz w:val="18"/>
                <w:szCs w:val="18"/>
              </w:rPr>
              <w:t>t-6</w:t>
            </w:r>
          </w:p>
        </w:tc>
        <w:tc>
          <w:tcPr>
            <w:tcW w:w="0" w:type="auto"/>
            <w:tcBorders>
              <w:top w:val="nil"/>
              <w:left w:val="nil"/>
              <w:bottom w:val="single" w:sz="8" w:space="0" w:color="auto"/>
              <w:right w:val="single" w:sz="8" w:space="0" w:color="auto"/>
            </w:tcBorders>
            <w:shd w:val="clear" w:color="auto" w:fill="auto"/>
            <w:vAlign w:val="center"/>
            <w:hideMark/>
          </w:tcPr>
          <w:p w:rsidR="000A22AE" w:rsidRPr="00DA7E4C" w:rsidRDefault="000A22AE" w:rsidP="000A22AE">
            <w:pPr>
              <w:spacing w:before="0" w:after="0" w:line="240" w:lineRule="auto"/>
              <w:jc w:val="center"/>
              <w:rPr>
                <w:rFonts w:eastAsia="Times New Roman" w:cs="Times New Roman"/>
                <w:sz w:val="18"/>
                <w:szCs w:val="18"/>
              </w:rPr>
            </w:pPr>
            <w:r w:rsidRPr="00DA7E4C">
              <w:rPr>
                <w:rFonts w:eastAsia="Times New Roman" w:cs="Times New Roman"/>
                <w:sz w:val="18"/>
                <w:szCs w:val="18"/>
              </w:rPr>
              <w:t>t-7</w:t>
            </w:r>
          </w:p>
        </w:tc>
        <w:tc>
          <w:tcPr>
            <w:tcW w:w="0" w:type="auto"/>
            <w:tcBorders>
              <w:top w:val="nil"/>
              <w:left w:val="nil"/>
              <w:bottom w:val="single" w:sz="8" w:space="0" w:color="auto"/>
              <w:right w:val="single" w:sz="8" w:space="0" w:color="auto"/>
            </w:tcBorders>
            <w:shd w:val="clear" w:color="auto" w:fill="auto"/>
            <w:vAlign w:val="center"/>
            <w:hideMark/>
          </w:tcPr>
          <w:p w:rsidR="000A22AE" w:rsidRPr="00DA7E4C" w:rsidRDefault="000A22AE" w:rsidP="000A22AE">
            <w:pPr>
              <w:spacing w:before="0" w:after="0" w:line="240" w:lineRule="auto"/>
              <w:jc w:val="center"/>
              <w:rPr>
                <w:rFonts w:eastAsia="Times New Roman" w:cs="Times New Roman"/>
                <w:sz w:val="18"/>
                <w:szCs w:val="18"/>
              </w:rPr>
            </w:pPr>
            <w:r w:rsidRPr="00DA7E4C">
              <w:rPr>
                <w:rFonts w:eastAsia="Times New Roman" w:cs="Times New Roman"/>
                <w:sz w:val="18"/>
                <w:szCs w:val="18"/>
              </w:rPr>
              <w:t>t-8</w:t>
            </w:r>
          </w:p>
        </w:tc>
        <w:tc>
          <w:tcPr>
            <w:tcW w:w="0" w:type="auto"/>
            <w:tcBorders>
              <w:top w:val="single" w:sz="8" w:space="0" w:color="auto"/>
              <w:left w:val="nil"/>
              <w:bottom w:val="single" w:sz="8" w:space="0" w:color="auto"/>
              <w:right w:val="single" w:sz="8" w:space="0" w:color="auto"/>
            </w:tcBorders>
            <w:shd w:val="clear" w:color="auto" w:fill="auto"/>
            <w:vAlign w:val="center"/>
            <w:hideMark/>
          </w:tcPr>
          <w:p w:rsidR="000A22AE" w:rsidRPr="00DA7E4C" w:rsidRDefault="000A22AE" w:rsidP="000A22AE">
            <w:pPr>
              <w:spacing w:before="0" w:after="0" w:line="240" w:lineRule="auto"/>
              <w:jc w:val="center"/>
              <w:rPr>
                <w:rFonts w:eastAsia="Times New Roman" w:cs="Times New Roman"/>
                <w:sz w:val="18"/>
                <w:szCs w:val="18"/>
              </w:rPr>
            </w:pPr>
            <w:r w:rsidRPr="00DA7E4C">
              <w:rPr>
                <w:rFonts w:eastAsia="Times New Roman" w:cs="Times New Roman"/>
                <w:sz w:val="18"/>
                <w:szCs w:val="18"/>
              </w:rPr>
              <w:t>AR</w:t>
            </w:r>
          </w:p>
        </w:tc>
        <w:tc>
          <w:tcPr>
            <w:tcW w:w="0" w:type="auto"/>
            <w:tcBorders>
              <w:top w:val="single" w:sz="8" w:space="0" w:color="auto"/>
              <w:left w:val="nil"/>
              <w:bottom w:val="single" w:sz="8" w:space="0" w:color="auto"/>
              <w:right w:val="single" w:sz="4" w:space="0" w:color="auto"/>
            </w:tcBorders>
            <w:shd w:val="clear" w:color="auto" w:fill="auto"/>
            <w:noWrap/>
            <w:vAlign w:val="center"/>
            <w:hideMark/>
          </w:tcPr>
          <w:p w:rsidR="000A22AE" w:rsidRPr="00DA7E4C" w:rsidRDefault="000A22AE" w:rsidP="000A22AE">
            <w:pPr>
              <w:spacing w:before="0" w:after="0" w:line="240" w:lineRule="auto"/>
              <w:jc w:val="center"/>
              <w:rPr>
                <w:rFonts w:eastAsia="Times New Roman" w:cs="Times New Roman"/>
                <w:sz w:val="18"/>
                <w:szCs w:val="18"/>
              </w:rPr>
            </w:pPr>
            <w:r w:rsidRPr="00DA7E4C">
              <w:rPr>
                <w:rFonts w:eastAsia="Times New Roman" w:cs="Times New Roman"/>
                <w:sz w:val="18"/>
                <w:szCs w:val="18"/>
              </w:rPr>
              <w:t>F Value</w:t>
            </w:r>
          </w:p>
        </w:tc>
        <w:tc>
          <w:tcPr>
            <w:tcW w:w="0" w:type="auto"/>
            <w:vMerge/>
            <w:tcBorders>
              <w:left w:val="single" w:sz="4" w:space="0" w:color="auto"/>
              <w:bottom w:val="single" w:sz="4" w:space="0" w:color="auto"/>
              <w:right w:val="single" w:sz="4" w:space="0" w:color="auto"/>
            </w:tcBorders>
            <w:shd w:val="clear" w:color="auto" w:fill="auto"/>
            <w:noWrap/>
            <w:vAlign w:val="center"/>
            <w:hideMark/>
          </w:tcPr>
          <w:p w:rsidR="000A22AE" w:rsidRPr="00DA7E4C" w:rsidRDefault="000A22AE" w:rsidP="000A22AE">
            <w:pPr>
              <w:spacing w:before="0" w:after="0" w:line="240" w:lineRule="auto"/>
              <w:jc w:val="center"/>
              <w:rPr>
                <w:rFonts w:eastAsia="Times New Roman" w:cs="Times New Roman"/>
                <w:sz w:val="18"/>
                <w:szCs w:val="18"/>
              </w:rPr>
            </w:pPr>
          </w:p>
        </w:tc>
        <w:tc>
          <w:tcPr>
            <w:tcW w:w="0" w:type="auto"/>
            <w:tcBorders>
              <w:top w:val="single" w:sz="8" w:space="0" w:color="auto"/>
              <w:left w:val="single" w:sz="4" w:space="0" w:color="auto"/>
              <w:bottom w:val="single" w:sz="8" w:space="0" w:color="auto"/>
              <w:right w:val="single" w:sz="8" w:space="0" w:color="auto"/>
            </w:tcBorders>
            <w:shd w:val="clear" w:color="auto" w:fill="auto"/>
            <w:noWrap/>
            <w:vAlign w:val="center"/>
            <w:hideMark/>
          </w:tcPr>
          <w:p w:rsidR="000A22AE" w:rsidRPr="00DA7E4C" w:rsidRDefault="000A22AE" w:rsidP="000A22AE">
            <w:pPr>
              <w:spacing w:before="0" w:after="0" w:line="240" w:lineRule="auto"/>
              <w:jc w:val="center"/>
              <w:rPr>
                <w:rFonts w:eastAsia="Times New Roman" w:cs="Times New Roman"/>
                <w:sz w:val="18"/>
                <w:szCs w:val="18"/>
              </w:rPr>
            </w:pPr>
            <w:r w:rsidRPr="00DA7E4C">
              <w:rPr>
                <w:rFonts w:eastAsia="Times New Roman" w:cs="Times New Roman"/>
                <w:sz w:val="18"/>
                <w:szCs w:val="18"/>
              </w:rPr>
              <w:t>DW</w:t>
            </w:r>
          </w:p>
        </w:tc>
        <w:tc>
          <w:tcPr>
            <w:tcW w:w="0" w:type="auto"/>
            <w:tcBorders>
              <w:top w:val="single" w:sz="8" w:space="0" w:color="auto"/>
              <w:left w:val="nil"/>
              <w:bottom w:val="single" w:sz="8" w:space="0" w:color="auto"/>
              <w:right w:val="single" w:sz="8" w:space="0" w:color="auto"/>
            </w:tcBorders>
            <w:shd w:val="clear" w:color="auto" w:fill="auto"/>
            <w:vAlign w:val="center"/>
            <w:hideMark/>
          </w:tcPr>
          <w:p w:rsidR="000A22AE" w:rsidRPr="00DA7E4C" w:rsidRDefault="000A22AE" w:rsidP="000A22AE">
            <w:pPr>
              <w:spacing w:before="0" w:after="0" w:line="240" w:lineRule="auto"/>
              <w:jc w:val="center"/>
              <w:rPr>
                <w:rFonts w:eastAsia="Times New Roman" w:cs="Times New Roman"/>
                <w:color w:val="000000"/>
                <w:sz w:val="18"/>
                <w:szCs w:val="18"/>
              </w:rPr>
            </w:pPr>
            <w:r w:rsidRPr="00DA7E4C">
              <w:rPr>
                <w:rFonts w:eastAsia="Times New Roman" w:cs="Times New Roman"/>
                <w:color w:val="000000"/>
                <w:sz w:val="18"/>
                <w:szCs w:val="18"/>
              </w:rPr>
              <w:t>Akaike</w:t>
            </w:r>
          </w:p>
        </w:tc>
      </w:tr>
      <w:tr w:rsidR="000A22AE" w:rsidRPr="00DA7E4C" w:rsidTr="000A22AE">
        <w:trPr>
          <w:trHeight w:val="240"/>
        </w:trPr>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center"/>
              <w:rPr>
                <w:rFonts w:eastAsia="Times New Roman" w:cs="Times New Roman"/>
                <w:sz w:val="18"/>
                <w:szCs w:val="18"/>
              </w:rPr>
            </w:pPr>
            <w:r w:rsidRPr="00DA7E4C">
              <w:rPr>
                <w:rFonts w:eastAsia="Times New Roman" w:cs="Times New Roman"/>
                <w:sz w:val="18"/>
                <w:szCs w:val="18"/>
              </w:rPr>
              <w:t>1</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4.670</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0.019</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0.013</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-0.008</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0.002</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-0.014</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0.015</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0.042</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0.026</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0.018</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0.972</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225.721</w:t>
            </w:r>
          </w:p>
        </w:tc>
        <w:tc>
          <w:tcPr>
            <w:tcW w:w="0" w:type="auto"/>
            <w:tcBorders>
              <w:top w:val="single" w:sz="4" w:space="0" w:color="auto"/>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0.940</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2.462</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3.988</w:t>
            </w:r>
          </w:p>
        </w:tc>
      </w:tr>
      <w:tr w:rsidR="000A22AE" w:rsidRPr="00DA7E4C" w:rsidTr="000A22AE">
        <w:trPr>
          <w:trHeight w:val="240"/>
        </w:trPr>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center"/>
              <w:rPr>
                <w:rFonts w:eastAsia="Times New Roman" w:cs="Times New Roman"/>
                <w:b/>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b/>
                <w:color w:val="000000"/>
                <w:sz w:val="18"/>
                <w:szCs w:val="18"/>
              </w:rPr>
            </w:pPr>
            <w:r w:rsidRPr="00DA7E4C">
              <w:rPr>
                <w:rFonts w:eastAsia="Times New Roman" w:cs="Times New Roman"/>
                <w:b/>
                <w:color w:val="000000"/>
                <w:sz w:val="18"/>
                <w:szCs w:val="18"/>
              </w:rPr>
              <w:t>0.353</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b/>
                <w:color w:val="000000"/>
                <w:sz w:val="18"/>
                <w:szCs w:val="18"/>
              </w:rPr>
            </w:pPr>
            <w:r w:rsidRPr="00DA7E4C">
              <w:rPr>
                <w:rFonts w:eastAsia="Times New Roman" w:cs="Times New Roman"/>
                <w:b/>
                <w:color w:val="000000"/>
                <w:sz w:val="18"/>
                <w:szCs w:val="18"/>
              </w:rPr>
              <w:t>0.041</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b/>
                <w:color w:val="000000"/>
                <w:sz w:val="18"/>
                <w:szCs w:val="18"/>
              </w:rPr>
            </w:pPr>
            <w:r w:rsidRPr="00DA7E4C">
              <w:rPr>
                <w:rFonts w:eastAsia="Times New Roman" w:cs="Times New Roman"/>
                <w:b/>
                <w:color w:val="000000"/>
                <w:sz w:val="18"/>
                <w:szCs w:val="18"/>
              </w:rPr>
              <w:t>0.167</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b/>
                <w:color w:val="000000"/>
                <w:sz w:val="18"/>
                <w:szCs w:val="18"/>
              </w:rPr>
            </w:pPr>
            <w:r w:rsidRPr="00DA7E4C">
              <w:rPr>
                <w:rFonts w:eastAsia="Times New Roman" w:cs="Times New Roman"/>
                <w:b/>
                <w:color w:val="000000"/>
                <w:sz w:val="18"/>
                <w:szCs w:val="18"/>
              </w:rPr>
              <w:t>0.359</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b/>
                <w:color w:val="000000"/>
                <w:sz w:val="18"/>
                <w:szCs w:val="18"/>
              </w:rPr>
            </w:pPr>
            <w:r w:rsidRPr="00DA7E4C">
              <w:rPr>
                <w:rFonts w:eastAsia="Times New Roman" w:cs="Times New Roman"/>
                <w:b/>
                <w:color w:val="000000"/>
                <w:sz w:val="18"/>
                <w:szCs w:val="18"/>
              </w:rPr>
              <w:t>0.817</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b/>
                <w:color w:val="000000"/>
                <w:sz w:val="18"/>
                <w:szCs w:val="18"/>
              </w:rPr>
            </w:pPr>
            <w:r w:rsidRPr="00DA7E4C">
              <w:rPr>
                <w:rFonts w:eastAsia="Times New Roman" w:cs="Times New Roman"/>
                <w:b/>
                <w:color w:val="000000"/>
                <w:sz w:val="18"/>
                <w:szCs w:val="18"/>
              </w:rPr>
              <w:t>0.123</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b/>
                <w:color w:val="000000"/>
                <w:sz w:val="18"/>
                <w:szCs w:val="18"/>
              </w:rPr>
            </w:pPr>
            <w:r w:rsidRPr="00DA7E4C">
              <w:rPr>
                <w:rFonts w:eastAsia="Times New Roman" w:cs="Times New Roman"/>
                <w:b/>
                <w:color w:val="000000"/>
                <w:sz w:val="18"/>
                <w:szCs w:val="18"/>
              </w:rPr>
              <w:t>0.124</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b/>
                <w:color w:val="000000"/>
                <w:sz w:val="18"/>
                <w:szCs w:val="18"/>
              </w:rPr>
            </w:pPr>
            <w:r w:rsidRPr="00DA7E4C">
              <w:rPr>
                <w:rFonts w:eastAsia="Times New Roman" w:cs="Times New Roman"/>
                <w:b/>
                <w:color w:val="000000"/>
                <w:sz w:val="18"/>
                <w:szCs w:val="18"/>
              </w:rPr>
              <w:t>0.000</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b/>
                <w:color w:val="000000"/>
                <w:sz w:val="18"/>
                <w:szCs w:val="18"/>
              </w:rPr>
            </w:pPr>
            <w:r w:rsidRPr="00DA7E4C">
              <w:rPr>
                <w:rFonts w:eastAsia="Times New Roman" w:cs="Times New Roman"/>
                <w:b/>
                <w:color w:val="000000"/>
                <w:sz w:val="18"/>
                <w:szCs w:val="18"/>
              </w:rPr>
              <w:t>0.012</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b/>
                <w:color w:val="000000"/>
                <w:sz w:val="18"/>
                <w:szCs w:val="18"/>
              </w:rPr>
            </w:pPr>
            <w:r w:rsidRPr="00DA7E4C">
              <w:rPr>
                <w:rFonts w:eastAsia="Times New Roman" w:cs="Times New Roman"/>
                <w:b/>
                <w:color w:val="000000"/>
                <w:sz w:val="18"/>
                <w:szCs w:val="18"/>
              </w:rPr>
              <w:t>0.077</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b/>
                <w:color w:val="000000"/>
                <w:sz w:val="18"/>
                <w:szCs w:val="18"/>
              </w:rPr>
            </w:pPr>
            <w:r w:rsidRPr="00DA7E4C">
              <w:rPr>
                <w:rFonts w:eastAsia="Times New Roman" w:cs="Times New Roman"/>
                <w:b/>
                <w:color w:val="000000"/>
                <w:sz w:val="18"/>
                <w:szCs w:val="18"/>
              </w:rPr>
              <w:t>0.000</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b/>
                <w:color w:val="000000"/>
                <w:sz w:val="18"/>
                <w:szCs w:val="18"/>
              </w:rPr>
            </w:pPr>
            <w:r w:rsidRPr="00DA7E4C">
              <w:rPr>
                <w:rFonts w:eastAsia="Times New Roman" w:cs="Times New Roman"/>
                <w:b/>
                <w:color w:val="000000"/>
                <w:sz w:val="18"/>
                <w:szCs w:val="18"/>
              </w:rPr>
              <w:t>0.000</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b/>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b/>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b/>
                <w:color w:val="000000"/>
                <w:sz w:val="18"/>
                <w:szCs w:val="18"/>
              </w:rPr>
            </w:pPr>
          </w:p>
        </w:tc>
      </w:tr>
      <w:tr w:rsidR="000A22AE" w:rsidRPr="00DA7E4C" w:rsidTr="000A22AE">
        <w:trPr>
          <w:trHeight w:val="240"/>
        </w:trPr>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center"/>
              <w:rPr>
                <w:rFonts w:eastAsia="Times New Roman" w:cs="Times New Roman"/>
                <w:sz w:val="18"/>
                <w:szCs w:val="18"/>
              </w:rPr>
            </w:pPr>
            <w:r w:rsidRPr="00DA7E4C">
              <w:rPr>
                <w:rFonts w:eastAsia="Times New Roman" w:cs="Times New Roman"/>
                <w:sz w:val="18"/>
                <w:szCs w:val="18"/>
              </w:rPr>
              <w:t>2</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5.023</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0.003</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0.962</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941.641</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0.922</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2.512</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4.103</w:t>
            </w:r>
          </w:p>
        </w:tc>
      </w:tr>
      <w:tr w:rsidR="000A22AE" w:rsidRPr="00DA7E4C" w:rsidTr="000A22AE">
        <w:trPr>
          <w:trHeight w:val="240"/>
        </w:trPr>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center"/>
              <w:rPr>
                <w:rFonts w:eastAsia="Times New Roman" w:cs="Times New Roman"/>
                <w:b/>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b/>
                <w:color w:val="000000"/>
                <w:sz w:val="18"/>
                <w:szCs w:val="18"/>
              </w:rPr>
            </w:pPr>
            <w:r w:rsidRPr="00DA7E4C">
              <w:rPr>
                <w:rFonts w:eastAsia="Times New Roman" w:cs="Times New Roman"/>
                <w:b/>
                <w:color w:val="000000"/>
                <w:sz w:val="18"/>
                <w:szCs w:val="18"/>
              </w:rPr>
              <w:t>0.201</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b/>
                <w:color w:val="000000"/>
                <w:sz w:val="18"/>
                <w:szCs w:val="18"/>
              </w:rPr>
            </w:pPr>
            <w:r w:rsidRPr="00DA7E4C">
              <w:rPr>
                <w:rFonts w:eastAsia="Times New Roman" w:cs="Times New Roman"/>
                <w:b/>
                <w:color w:val="000000"/>
                <w:sz w:val="18"/>
                <w:szCs w:val="18"/>
              </w:rPr>
              <w:t>0.691</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b/>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b/>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b/>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b/>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b/>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b/>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b/>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b/>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b/>
                <w:color w:val="000000"/>
                <w:sz w:val="18"/>
                <w:szCs w:val="18"/>
              </w:rPr>
            </w:pPr>
            <w:r w:rsidRPr="00DA7E4C">
              <w:rPr>
                <w:rFonts w:eastAsia="Times New Roman" w:cs="Times New Roman"/>
                <w:b/>
                <w:color w:val="000000"/>
                <w:sz w:val="18"/>
                <w:szCs w:val="18"/>
              </w:rPr>
              <w:t>0.000</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b/>
                <w:color w:val="000000"/>
                <w:sz w:val="18"/>
                <w:szCs w:val="18"/>
              </w:rPr>
            </w:pPr>
            <w:r w:rsidRPr="00DA7E4C">
              <w:rPr>
                <w:rFonts w:eastAsia="Times New Roman" w:cs="Times New Roman"/>
                <w:b/>
                <w:color w:val="000000"/>
                <w:sz w:val="18"/>
                <w:szCs w:val="18"/>
              </w:rPr>
              <w:t>0.000</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b/>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b/>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b/>
                <w:color w:val="000000"/>
                <w:sz w:val="18"/>
                <w:szCs w:val="18"/>
              </w:rPr>
            </w:pPr>
          </w:p>
        </w:tc>
      </w:tr>
      <w:tr w:rsidR="000A22AE" w:rsidRPr="00DA7E4C" w:rsidTr="000A22AE">
        <w:trPr>
          <w:trHeight w:val="240"/>
        </w:trPr>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center"/>
              <w:rPr>
                <w:rFonts w:eastAsia="Times New Roman" w:cs="Times New Roman"/>
                <w:sz w:val="18"/>
                <w:szCs w:val="18"/>
              </w:rPr>
            </w:pPr>
            <w:r w:rsidRPr="00DA7E4C">
              <w:rPr>
                <w:rFonts w:eastAsia="Times New Roman" w:cs="Times New Roman"/>
                <w:sz w:val="18"/>
                <w:szCs w:val="18"/>
              </w:rPr>
              <w:t>3</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5.000</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-0.004</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0.962</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935.489</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0.922</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2.513</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4.110</w:t>
            </w:r>
          </w:p>
        </w:tc>
      </w:tr>
      <w:tr w:rsidR="000A22AE" w:rsidRPr="00DA7E4C" w:rsidTr="000A22AE">
        <w:trPr>
          <w:trHeight w:val="240"/>
        </w:trPr>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center"/>
              <w:rPr>
                <w:rFonts w:eastAsia="Times New Roman" w:cs="Times New Roman"/>
                <w:b/>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b/>
                <w:color w:val="000000"/>
                <w:sz w:val="18"/>
                <w:szCs w:val="18"/>
              </w:rPr>
            </w:pPr>
            <w:r w:rsidRPr="00DA7E4C">
              <w:rPr>
                <w:rFonts w:eastAsia="Times New Roman" w:cs="Times New Roman"/>
                <w:b/>
                <w:color w:val="000000"/>
                <w:sz w:val="18"/>
                <w:szCs w:val="18"/>
              </w:rPr>
              <w:t>0.208</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b/>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b/>
                <w:color w:val="000000"/>
                <w:sz w:val="18"/>
                <w:szCs w:val="18"/>
              </w:rPr>
            </w:pPr>
            <w:r w:rsidRPr="00DA7E4C">
              <w:rPr>
                <w:rFonts w:eastAsia="Times New Roman" w:cs="Times New Roman"/>
                <w:b/>
                <w:color w:val="000000"/>
                <w:sz w:val="18"/>
                <w:szCs w:val="18"/>
              </w:rPr>
              <w:t>0.690</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b/>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b/>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b/>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b/>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b/>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b/>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b/>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b/>
                <w:color w:val="000000"/>
                <w:sz w:val="18"/>
                <w:szCs w:val="18"/>
              </w:rPr>
            </w:pPr>
            <w:r w:rsidRPr="00DA7E4C">
              <w:rPr>
                <w:rFonts w:eastAsia="Times New Roman" w:cs="Times New Roman"/>
                <w:b/>
                <w:color w:val="000000"/>
                <w:sz w:val="18"/>
                <w:szCs w:val="18"/>
              </w:rPr>
              <w:t>0.000</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b/>
                <w:color w:val="000000"/>
                <w:sz w:val="18"/>
                <w:szCs w:val="18"/>
              </w:rPr>
            </w:pPr>
            <w:r w:rsidRPr="00DA7E4C">
              <w:rPr>
                <w:rFonts w:eastAsia="Times New Roman" w:cs="Times New Roman"/>
                <w:b/>
                <w:color w:val="000000"/>
                <w:sz w:val="18"/>
                <w:szCs w:val="18"/>
              </w:rPr>
              <w:t>0.000</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b/>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b/>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b/>
                <w:color w:val="000000"/>
                <w:sz w:val="18"/>
                <w:szCs w:val="18"/>
              </w:rPr>
            </w:pPr>
          </w:p>
        </w:tc>
      </w:tr>
      <w:tr w:rsidR="000A22AE" w:rsidRPr="00DA7E4C" w:rsidTr="000A22AE">
        <w:trPr>
          <w:trHeight w:val="240"/>
        </w:trPr>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center"/>
              <w:rPr>
                <w:rFonts w:eastAsia="Times New Roman" w:cs="Times New Roman"/>
                <w:sz w:val="18"/>
                <w:szCs w:val="18"/>
              </w:rPr>
            </w:pPr>
            <w:r w:rsidRPr="00DA7E4C">
              <w:rPr>
                <w:rFonts w:eastAsia="Times New Roman" w:cs="Times New Roman"/>
                <w:sz w:val="18"/>
                <w:szCs w:val="18"/>
              </w:rPr>
              <w:t>4</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4.975</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-0.010</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0.963</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936.046</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0.923</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2.503</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4.110</w:t>
            </w:r>
          </w:p>
        </w:tc>
      </w:tr>
      <w:tr w:rsidR="000A22AE" w:rsidRPr="00DA7E4C" w:rsidTr="000A22AE">
        <w:trPr>
          <w:trHeight w:val="240"/>
        </w:trPr>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center"/>
              <w:rPr>
                <w:rFonts w:eastAsia="Times New Roman" w:cs="Times New Roman"/>
                <w:b/>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b/>
                <w:color w:val="000000"/>
                <w:sz w:val="18"/>
                <w:szCs w:val="18"/>
              </w:rPr>
            </w:pPr>
            <w:r w:rsidRPr="00DA7E4C">
              <w:rPr>
                <w:rFonts w:eastAsia="Times New Roman" w:cs="Times New Roman"/>
                <w:b/>
                <w:color w:val="000000"/>
                <w:sz w:val="18"/>
                <w:szCs w:val="18"/>
              </w:rPr>
              <w:t>0.217</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b/>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b/>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b/>
                <w:color w:val="000000"/>
                <w:sz w:val="18"/>
                <w:szCs w:val="18"/>
              </w:rPr>
            </w:pPr>
            <w:r w:rsidRPr="00DA7E4C">
              <w:rPr>
                <w:rFonts w:eastAsia="Times New Roman" w:cs="Times New Roman"/>
                <w:b/>
                <w:color w:val="000000"/>
                <w:sz w:val="18"/>
                <w:szCs w:val="18"/>
              </w:rPr>
              <w:t>0.273</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b/>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b/>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b/>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b/>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b/>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b/>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b/>
                <w:color w:val="000000"/>
                <w:sz w:val="18"/>
                <w:szCs w:val="18"/>
              </w:rPr>
            </w:pPr>
            <w:r w:rsidRPr="00DA7E4C">
              <w:rPr>
                <w:rFonts w:eastAsia="Times New Roman" w:cs="Times New Roman"/>
                <w:b/>
                <w:color w:val="000000"/>
                <w:sz w:val="18"/>
                <w:szCs w:val="18"/>
              </w:rPr>
              <w:t>0.000</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b/>
                <w:color w:val="000000"/>
                <w:sz w:val="18"/>
                <w:szCs w:val="18"/>
              </w:rPr>
            </w:pPr>
            <w:r w:rsidRPr="00DA7E4C">
              <w:rPr>
                <w:rFonts w:eastAsia="Times New Roman" w:cs="Times New Roman"/>
                <w:b/>
                <w:color w:val="000000"/>
                <w:sz w:val="18"/>
                <w:szCs w:val="18"/>
              </w:rPr>
              <w:t>0.000</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b/>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b/>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b/>
                <w:color w:val="000000"/>
                <w:sz w:val="18"/>
                <w:szCs w:val="18"/>
              </w:rPr>
            </w:pPr>
          </w:p>
        </w:tc>
      </w:tr>
      <w:tr w:rsidR="000A22AE" w:rsidRPr="00DA7E4C" w:rsidTr="000A22AE">
        <w:trPr>
          <w:trHeight w:val="240"/>
        </w:trPr>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center"/>
              <w:rPr>
                <w:rFonts w:eastAsia="Times New Roman" w:cs="Times New Roman"/>
                <w:sz w:val="18"/>
                <w:szCs w:val="18"/>
              </w:rPr>
            </w:pPr>
            <w:r w:rsidRPr="00DA7E4C">
              <w:rPr>
                <w:rFonts w:eastAsia="Times New Roman" w:cs="Times New Roman"/>
                <w:sz w:val="18"/>
                <w:szCs w:val="18"/>
              </w:rPr>
              <w:t>5</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5.050</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-0.002</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0.962</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922.399</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0.922</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2.488</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4.124</w:t>
            </w:r>
          </w:p>
        </w:tc>
      </w:tr>
      <w:tr w:rsidR="000A22AE" w:rsidRPr="00DA7E4C" w:rsidTr="000A22AE">
        <w:trPr>
          <w:trHeight w:val="240"/>
        </w:trPr>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center"/>
              <w:rPr>
                <w:rFonts w:eastAsia="Times New Roman" w:cs="Times New Roman"/>
                <w:b/>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b/>
                <w:color w:val="000000"/>
                <w:sz w:val="18"/>
                <w:szCs w:val="18"/>
              </w:rPr>
            </w:pPr>
            <w:r w:rsidRPr="00DA7E4C">
              <w:rPr>
                <w:rFonts w:eastAsia="Times New Roman" w:cs="Times New Roman"/>
                <w:b/>
                <w:color w:val="000000"/>
                <w:sz w:val="18"/>
                <w:szCs w:val="18"/>
              </w:rPr>
              <w:t>0.208</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b/>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b/>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b/>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b/>
                <w:color w:val="000000"/>
                <w:sz w:val="18"/>
                <w:szCs w:val="18"/>
              </w:rPr>
            </w:pPr>
            <w:r w:rsidRPr="00DA7E4C">
              <w:rPr>
                <w:rFonts w:eastAsia="Times New Roman" w:cs="Times New Roman"/>
                <w:b/>
                <w:color w:val="000000"/>
                <w:sz w:val="18"/>
                <w:szCs w:val="18"/>
              </w:rPr>
              <w:t>0.845</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b/>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b/>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b/>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b/>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b/>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b/>
                <w:color w:val="000000"/>
                <w:sz w:val="18"/>
                <w:szCs w:val="18"/>
              </w:rPr>
            </w:pPr>
            <w:r w:rsidRPr="00DA7E4C">
              <w:rPr>
                <w:rFonts w:eastAsia="Times New Roman" w:cs="Times New Roman"/>
                <w:b/>
                <w:color w:val="000000"/>
                <w:sz w:val="18"/>
                <w:szCs w:val="18"/>
              </w:rPr>
              <w:t>0.000</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b/>
                <w:color w:val="000000"/>
                <w:sz w:val="18"/>
                <w:szCs w:val="18"/>
              </w:rPr>
            </w:pPr>
            <w:r w:rsidRPr="00DA7E4C">
              <w:rPr>
                <w:rFonts w:eastAsia="Times New Roman" w:cs="Times New Roman"/>
                <w:b/>
                <w:color w:val="000000"/>
                <w:sz w:val="18"/>
                <w:szCs w:val="18"/>
              </w:rPr>
              <w:t>0.000</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b/>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b/>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b/>
                <w:color w:val="000000"/>
                <w:sz w:val="18"/>
                <w:szCs w:val="18"/>
              </w:rPr>
            </w:pPr>
          </w:p>
        </w:tc>
      </w:tr>
      <w:tr w:rsidR="000A22AE" w:rsidRPr="00DA7E4C" w:rsidTr="000A22AE">
        <w:trPr>
          <w:trHeight w:val="240"/>
        </w:trPr>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center"/>
              <w:rPr>
                <w:rFonts w:eastAsia="Times New Roman" w:cs="Times New Roman"/>
                <w:sz w:val="18"/>
                <w:szCs w:val="18"/>
              </w:rPr>
            </w:pPr>
            <w:r w:rsidRPr="00DA7E4C">
              <w:rPr>
                <w:rFonts w:eastAsia="Times New Roman" w:cs="Times New Roman"/>
                <w:sz w:val="18"/>
                <w:szCs w:val="18"/>
              </w:rPr>
              <w:t>6</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4.238</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-0.017</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0.964</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971.403</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0.926</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2.465</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4.075</w:t>
            </w:r>
          </w:p>
        </w:tc>
      </w:tr>
      <w:tr w:rsidR="000A22AE" w:rsidRPr="00DA7E4C" w:rsidTr="000A22AE">
        <w:trPr>
          <w:trHeight w:val="240"/>
        </w:trPr>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center"/>
              <w:rPr>
                <w:rFonts w:eastAsia="Times New Roman" w:cs="Times New Roman"/>
                <w:b/>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b/>
                <w:color w:val="000000"/>
                <w:sz w:val="18"/>
                <w:szCs w:val="18"/>
              </w:rPr>
            </w:pPr>
            <w:r w:rsidRPr="00DA7E4C">
              <w:rPr>
                <w:rFonts w:eastAsia="Times New Roman" w:cs="Times New Roman"/>
                <w:b/>
                <w:color w:val="000000"/>
                <w:sz w:val="18"/>
                <w:szCs w:val="18"/>
              </w:rPr>
              <w:t>0.317</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b/>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b/>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b/>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b/>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b/>
                <w:color w:val="000000"/>
                <w:sz w:val="18"/>
                <w:szCs w:val="18"/>
              </w:rPr>
            </w:pPr>
            <w:r w:rsidRPr="00DA7E4C">
              <w:rPr>
                <w:rFonts w:eastAsia="Times New Roman" w:cs="Times New Roman"/>
                <w:b/>
                <w:color w:val="000000"/>
                <w:sz w:val="18"/>
                <w:szCs w:val="18"/>
              </w:rPr>
              <w:t>0.052</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b/>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b/>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b/>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b/>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b/>
                <w:color w:val="000000"/>
                <w:sz w:val="18"/>
                <w:szCs w:val="18"/>
              </w:rPr>
            </w:pPr>
            <w:r w:rsidRPr="00DA7E4C">
              <w:rPr>
                <w:rFonts w:eastAsia="Times New Roman" w:cs="Times New Roman"/>
                <w:b/>
                <w:color w:val="000000"/>
                <w:sz w:val="18"/>
                <w:szCs w:val="18"/>
              </w:rPr>
              <w:t>0.000</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b/>
                <w:color w:val="000000"/>
                <w:sz w:val="18"/>
                <w:szCs w:val="18"/>
              </w:rPr>
            </w:pPr>
            <w:r w:rsidRPr="00DA7E4C">
              <w:rPr>
                <w:rFonts w:eastAsia="Times New Roman" w:cs="Times New Roman"/>
                <w:b/>
                <w:color w:val="000000"/>
                <w:sz w:val="18"/>
                <w:szCs w:val="18"/>
              </w:rPr>
              <w:t>0.000</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b/>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b/>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b/>
                <w:color w:val="000000"/>
                <w:sz w:val="18"/>
                <w:szCs w:val="18"/>
              </w:rPr>
            </w:pPr>
          </w:p>
        </w:tc>
      </w:tr>
      <w:tr w:rsidR="000A22AE" w:rsidRPr="00DA7E4C" w:rsidTr="000A22AE">
        <w:trPr>
          <w:trHeight w:val="240"/>
        </w:trPr>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center"/>
              <w:rPr>
                <w:rFonts w:eastAsia="Times New Roman" w:cs="Times New Roman"/>
                <w:sz w:val="18"/>
                <w:szCs w:val="18"/>
              </w:rPr>
            </w:pPr>
            <w:r w:rsidRPr="00DA7E4C">
              <w:rPr>
                <w:rFonts w:eastAsia="Times New Roman" w:cs="Times New Roman"/>
                <w:sz w:val="18"/>
                <w:szCs w:val="18"/>
              </w:rPr>
              <w:t>7</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4.336</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0.016</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0.964</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960.035</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0.926</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2.540</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4.086</w:t>
            </w:r>
          </w:p>
        </w:tc>
      </w:tr>
      <w:tr w:rsidR="000A22AE" w:rsidRPr="00DA7E4C" w:rsidTr="000A22AE">
        <w:trPr>
          <w:trHeight w:val="240"/>
        </w:trPr>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center"/>
              <w:rPr>
                <w:rFonts w:eastAsia="Times New Roman" w:cs="Times New Roman"/>
                <w:b/>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b/>
                <w:color w:val="000000"/>
                <w:sz w:val="18"/>
                <w:szCs w:val="18"/>
              </w:rPr>
            </w:pPr>
            <w:r w:rsidRPr="00DA7E4C">
              <w:rPr>
                <w:rFonts w:eastAsia="Times New Roman" w:cs="Times New Roman"/>
                <w:b/>
                <w:color w:val="000000"/>
                <w:sz w:val="18"/>
                <w:szCs w:val="18"/>
              </w:rPr>
              <w:t>0.300</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b/>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b/>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b/>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b/>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b/>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b/>
                <w:color w:val="000000"/>
                <w:sz w:val="18"/>
                <w:szCs w:val="18"/>
              </w:rPr>
            </w:pPr>
            <w:r w:rsidRPr="00DA7E4C">
              <w:rPr>
                <w:rFonts w:eastAsia="Times New Roman" w:cs="Times New Roman"/>
                <w:b/>
                <w:color w:val="000000"/>
                <w:sz w:val="18"/>
                <w:szCs w:val="18"/>
              </w:rPr>
              <w:t>0.077</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b/>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b/>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b/>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b/>
                <w:color w:val="000000"/>
                <w:sz w:val="18"/>
                <w:szCs w:val="18"/>
              </w:rPr>
            </w:pPr>
            <w:r w:rsidRPr="00DA7E4C">
              <w:rPr>
                <w:rFonts w:eastAsia="Times New Roman" w:cs="Times New Roman"/>
                <w:b/>
                <w:color w:val="000000"/>
                <w:sz w:val="18"/>
                <w:szCs w:val="18"/>
              </w:rPr>
              <w:t>0.000</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b/>
                <w:color w:val="000000"/>
                <w:sz w:val="18"/>
                <w:szCs w:val="18"/>
              </w:rPr>
            </w:pPr>
            <w:r w:rsidRPr="00DA7E4C">
              <w:rPr>
                <w:rFonts w:eastAsia="Times New Roman" w:cs="Times New Roman"/>
                <w:b/>
                <w:color w:val="000000"/>
                <w:sz w:val="18"/>
                <w:szCs w:val="18"/>
              </w:rPr>
              <w:t>0.000</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b/>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b/>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b/>
                <w:color w:val="000000"/>
                <w:sz w:val="18"/>
                <w:szCs w:val="18"/>
              </w:rPr>
            </w:pPr>
          </w:p>
        </w:tc>
      </w:tr>
      <w:tr w:rsidR="000A22AE" w:rsidRPr="00DA7E4C" w:rsidTr="000A22AE">
        <w:trPr>
          <w:trHeight w:val="240"/>
        </w:trPr>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center"/>
              <w:rPr>
                <w:rFonts w:eastAsia="Times New Roman" w:cs="Times New Roman"/>
                <w:sz w:val="18"/>
                <w:szCs w:val="18"/>
              </w:rPr>
            </w:pPr>
            <w:r w:rsidRPr="00DA7E4C">
              <w:rPr>
                <w:rFonts w:eastAsia="Times New Roman" w:cs="Times New Roman"/>
                <w:sz w:val="18"/>
                <w:szCs w:val="18"/>
              </w:rPr>
              <w:t>8</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4.285</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0.033</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0.966</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1014.013</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0.930</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2.564</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4.035</w:t>
            </w:r>
          </w:p>
        </w:tc>
      </w:tr>
      <w:tr w:rsidR="000A22AE" w:rsidRPr="00DA7E4C" w:rsidTr="000A22AE">
        <w:trPr>
          <w:trHeight w:val="240"/>
        </w:trPr>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center"/>
              <w:rPr>
                <w:rFonts w:eastAsia="Times New Roman" w:cs="Times New Roman"/>
                <w:b/>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b/>
                <w:color w:val="000000"/>
                <w:sz w:val="18"/>
                <w:szCs w:val="18"/>
              </w:rPr>
            </w:pPr>
            <w:r w:rsidRPr="00DA7E4C">
              <w:rPr>
                <w:rFonts w:eastAsia="Times New Roman" w:cs="Times New Roman"/>
                <w:b/>
                <w:color w:val="000000"/>
                <w:sz w:val="18"/>
                <w:szCs w:val="18"/>
              </w:rPr>
              <w:t>0.326</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b/>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b/>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b/>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b/>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b/>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b/>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b/>
                <w:color w:val="000000"/>
                <w:sz w:val="18"/>
                <w:szCs w:val="18"/>
              </w:rPr>
            </w:pPr>
            <w:r w:rsidRPr="00DA7E4C">
              <w:rPr>
                <w:rFonts w:eastAsia="Times New Roman" w:cs="Times New Roman"/>
                <w:b/>
                <w:color w:val="000000"/>
                <w:sz w:val="18"/>
                <w:szCs w:val="18"/>
              </w:rPr>
              <w:t>0.001</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b/>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b/>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b/>
                <w:color w:val="000000"/>
                <w:sz w:val="18"/>
                <w:szCs w:val="18"/>
              </w:rPr>
            </w:pPr>
            <w:r w:rsidRPr="00DA7E4C">
              <w:rPr>
                <w:rFonts w:eastAsia="Times New Roman" w:cs="Times New Roman"/>
                <w:b/>
                <w:color w:val="000000"/>
                <w:sz w:val="18"/>
                <w:szCs w:val="18"/>
              </w:rPr>
              <w:t>0.000</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b/>
                <w:color w:val="000000"/>
                <w:sz w:val="18"/>
                <w:szCs w:val="18"/>
              </w:rPr>
            </w:pPr>
            <w:r w:rsidRPr="00DA7E4C">
              <w:rPr>
                <w:rFonts w:eastAsia="Times New Roman" w:cs="Times New Roman"/>
                <w:b/>
                <w:color w:val="000000"/>
                <w:sz w:val="18"/>
                <w:szCs w:val="18"/>
              </w:rPr>
              <w:t>0.000</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b/>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b/>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b/>
                <w:color w:val="000000"/>
                <w:sz w:val="18"/>
                <w:szCs w:val="18"/>
              </w:rPr>
            </w:pPr>
          </w:p>
        </w:tc>
      </w:tr>
      <w:tr w:rsidR="000A22AE" w:rsidRPr="00DA7E4C" w:rsidTr="000A22AE">
        <w:trPr>
          <w:trHeight w:val="240"/>
        </w:trPr>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center"/>
              <w:rPr>
                <w:rFonts w:eastAsia="Times New Roman" w:cs="Times New Roman"/>
                <w:sz w:val="18"/>
                <w:szCs w:val="18"/>
              </w:rPr>
            </w:pPr>
            <w:r w:rsidRPr="00DA7E4C">
              <w:rPr>
                <w:rFonts w:eastAsia="Times New Roman" w:cs="Times New Roman"/>
                <w:sz w:val="18"/>
                <w:szCs w:val="18"/>
              </w:rPr>
              <w:t>9</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4.349</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0.016</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0.964</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942.898</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0.925</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2.561</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4.102</w:t>
            </w:r>
          </w:p>
        </w:tc>
      </w:tr>
      <w:tr w:rsidR="000A22AE" w:rsidRPr="00DA7E4C" w:rsidTr="000A22AE">
        <w:trPr>
          <w:trHeight w:val="240"/>
        </w:trPr>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center"/>
              <w:rPr>
                <w:rFonts w:eastAsia="Times New Roman" w:cs="Times New Roman"/>
                <w:b/>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b/>
                <w:color w:val="000000"/>
                <w:sz w:val="18"/>
                <w:szCs w:val="18"/>
              </w:rPr>
            </w:pPr>
            <w:r w:rsidRPr="00DA7E4C">
              <w:rPr>
                <w:rFonts w:eastAsia="Times New Roman" w:cs="Times New Roman"/>
                <w:b/>
                <w:color w:val="000000"/>
                <w:sz w:val="18"/>
                <w:szCs w:val="18"/>
              </w:rPr>
              <w:t>0.305</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b/>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b/>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b/>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b/>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b/>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b/>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b/>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b/>
                <w:color w:val="000000"/>
                <w:sz w:val="18"/>
                <w:szCs w:val="18"/>
              </w:rPr>
            </w:pPr>
            <w:r w:rsidRPr="00DA7E4C">
              <w:rPr>
                <w:rFonts w:eastAsia="Times New Roman" w:cs="Times New Roman"/>
                <w:b/>
                <w:color w:val="000000"/>
                <w:sz w:val="18"/>
                <w:szCs w:val="18"/>
              </w:rPr>
              <w:t>0.104</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b/>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b/>
                <w:color w:val="000000"/>
                <w:sz w:val="18"/>
                <w:szCs w:val="18"/>
              </w:rPr>
            </w:pPr>
            <w:r w:rsidRPr="00DA7E4C">
              <w:rPr>
                <w:rFonts w:eastAsia="Times New Roman" w:cs="Times New Roman"/>
                <w:b/>
                <w:color w:val="000000"/>
                <w:sz w:val="18"/>
                <w:szCs w:val="18"/>
              </w:rPr>
              <w:t>0.000</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b/>
                <w:color w:val="000000"/>
                <w:sz w:val="18"/>
                <w:szCs w:val="18"/>
              </w:rPr>
            </w:pPr>
            <w:r w:rsidRPr="00DA7E4C">
              <w:rPr>
                <w:rFonts w:eastAsia="Times New Roman" w:cs="Times New Roman"/>
                <w:b/>
                <w:color w:val="000000"/>
                <w:sz w:val="18"/>
                <w:szCs w:val="18"/>
              </w:rPr>
              <w:t>0.000</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b/>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b/>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b/>
                <w:color w:val="000000"/>
                <w:sz w:val="18"/>
                <w:szCs w:val="18"/>
              </w:rPr>
            </w:pPr>
          </w:p>
        </w:tc>
      </w:tr>
      <w:tr w:rsidR="000A22AE" w:rsidRPr="00DA7E4C" w:rsidTr="000A22AE">
        <w:trPr>
          <w:trHeight w:val="240"/>
        </w:trPr>
        <w:tc>
          <w:tcPr>
            <w:tcW w:w="0" w:type="auto"/>
            <w:tcBorders>
              <w:top w:val="nil"/>
              <w:left w:val="nil"/>
              <w:bottom w:val="nil"/>
              <w:right w:val="nil"/>
            </w:tcBorders>
            <w:shd w:val="clear" w:color="auto" w:fill="auto"/>
            <w:noWrap/>
            <w:vAlign w:val="center"/>
            <w:hideMark/>
          </w:tcPr>
          <w:p w:rsidR="000A22AE" w:rsidRPr="00DA7E4C" w:rsidRDefault="000A22AE" w:rsidP="000A22AE">
            <w:pPr>
              <w:spacing w:before="0" w:after="0" w:line="240" w:lineRule="auto"/>
              <w:jc w:val="center"/>
              <w:rPr>
                <w:rFonts w:eastAsia="Times New Roman" w:cs="Times New Roman"/>
                <w:color w:val="000000"/>
                <w:sz w:val="18"/>
                <w:szCs w:val="18"/>
              </w:rPr>
            </w:pPr>
            <w:r w:rsidRPr="00DA7E4C">
              <w:rPr>
                <w:rFonts w:eastAsia="Times New Roman" w:cs="Times New Roman"/>
                <w:color w:val="000000"/>
                <w:sz w:val="18"/>
                <w:szCs w:val="18"/>
              </w:rPr>
              <w:t>10</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5.029</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0.011</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0.965</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956.758</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0.927</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2.568</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4.089</w:t>
            </w:r>
          </w:p>
        </w:tc>
      </w:tr>
      <w:tr w:rsidR="000A22AE" w:rsidRPr="00DA7E4C" w:rsidTr="000A22AE">
        <w:trPr>
          <w:trHeight w:val="240"/>
        </w:trPr>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b/>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b/>
                <w:color w:val="000000"/>
                <w:sz w:val="18"/>
                <w:szCs w:val="18"/>
              </w:rPr>
            </w:pPr>
            <w:r w:rsidRPr="00DA7E4C">
              <w:rPr>
                <w:rFonts w:eastAsia="Times New Roman" w:cs="Times New Roman"/>
                <w:b/>
                <w:color w:val="000000"/>
                <w:sz w:val="18"/>
                <w:szCs w:val="18"/>
              </w:rPr>
              <w:t>0.238</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b/>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b/>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b/>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b/>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b/>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b/>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b/>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b/>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b/>
                <w:color w:val="000000"/>
                <w:sz w:val="18"/>
                <w:szCs w:val="18"/>
              </w:rPr>
            </w:pPr>
            <w:r w:rsidRPr="00DA7E4C">
              <w:rPr>
                <w:rFonts w:eastAsia="Times New Roman" w:cs="Times New Roman"/>
                <w:b/>
                <w:color w:val="000000"/>
                <w:sz w:val="18"/>
                <w:szCs w:val="18"/>
              </w:rPr>
              <w:t>0.283</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b/>
                <w:color w:val="000000"/>
                <w:sz w:val="18"/>
                <w:szCs w:val="18"/>
              </w:rPr>
            </w:pPr>
            <w:r w:rsidRPr="00DA7E4C">
              <w:rPr>
                <w:rFonts w:eastAsia="Times New Roman" w:cs="Times New Roman"/>
                <w:b/>
                <w:color w:val="000000"/>
                <w:sz w:val="18"/>
                <w:szCs w:val="18"/>
              </w:rPr>
              <w:t>0.000</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b/>
                <w:color w:val="000000"/>
                <w:sz w:val="18"/>
                <w:szCs w:val="18"/>
              </w:rPr>
            </w:pPr>
            <w:r w:rsidRPr="00DA7E4C">
              <w:rPr>
                <w:rFonts w:eastAsia="Times New Roman" w:cs="Times New Roman"/>
                <w:b/>
                <w:color w:val="000000"/>
                <w:sz w:val="18"/>
                <w:szCs w:val="18"/>
              </w:rPr>
              <w:t>0.000</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b/>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b/>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b/>
                <w:color w:val="000000"/>
                <w:sz w:val="18"/>
                <w:szCs w:val="18"/>
              </w:rPr>
            </w:pPr>
          </w:p>
        </w:tc>
      </w:tr>
    </w:tbl>
    <w:p w:rsidR="000A22AE" w:rsidRPr="00762161" w:rsidRDefault="000A22AE" w:rsidP="000A22AE"/>
    <w:p w:rsidR="000A22AE" w:rsidRPr="00762161" w:rsidRDefault="000A22AE" w:rsidP="000A22AE">
      <w:pPr>
        <w:pStyle w:val="Heading2"/>
      </w:pPr>
      <w:bookmarkStart w:id="364" w:name="_Toc286616342"/>
      <w:r w:rsidRPr="00762161">
        <w:t xml:space="preserve">Table 8: The Relationship between Inflation and </w:t>
      </w:r>
      <w:r w:rsidR="00627488">
        <w:t>Real Stock Price</w:t>
      </w:r>
      <w:r w:rsidRPr="00762161">
        <w:t>s (Quarterly 1988-1997)</w:t>
      </w:r>
      <w:bookmarkEnd w:id="364"/>
    </w:p>
    <w:tbl>
      <w:tblPr>
        <w:tblW w:w="0" w:type="auto"/>
        <w:tblInd w:w="93" w:type="dxa"/>
        <w:tblLook w:val="04A0"/>
      </w:tblPr>
      <w:tblGrid>
        <w:gridCol w:w="436"/>
        <w:gridCol w:w="856"/>
        <w:gridCol w:w="801"/>
        <w:gridCol w:w="711"/>
        <w:gridCol w:w="801"/>
        <w:gridCol w:w="771"/>
        <w:gridCol w:w="771"/>
        <w:gridCol w:w="861"/>
        <w:gridCol w:w="711"/>
        <w:gridCol w:w="711"/>
        <w:gridCol w:w="711"/>
        <w:gridCol w:w="621"/>
        <w:gridCol w:w="801"/>
        <w:gridCol w:w="866"/>
        <w:gridCol w:w="621"/>
        <w:gridCol w:w="736"/>
      </w:tblGrid>
      <w:tr w:rsidR="000A22AE" w:rsidRPr="00DA7E4C" w:rsidTr="000A22AE">
        <w:trPr>
          <w:trHeight w:val="300"/>
        </w:trPr>
        <w:tc>
          <w:tcPr>
            <w:tcW w:w="0" w:type="auto"/>
            <w:gridSpan w:val="2"/>
            <w:tcBorders>
              <w:top w:val="single" w:sz="8" w:space="0" w:color="auto"/>
              <w:left w:val="single" w:sz="8" w:space="0" w:color="auto"/>
              <w:bottom w:val="single" w:sz="8" w:space="0" w:color="auto"/>
              <w:right w:val="nil"/>
            </w:tcBorders>
            <w:shd w:val="clear" w:color="auto" w:fill="auto"/>
            <w:noWrap/>
            <w:vAlign w:val="bottom"/>
            <w:hideMark/>
          </w:tcPr>
          <w:p w:rsidR="000A22AE" w:rsidRPr="00DA7E4C" w:rsidRDefault="000A22AE" w:rsidP="000A22AE">
            <w:pPr>
              <w:spacing w:before="0" w:after="0" w:line="240" w:lineRule="auto"/>
              <w:jc w:val="center"/>
              <w:rPr>
                <w:rFonts w:eastAsia="Times New Roman" w:cs="Times New Roman"/>
                <w:sz w:val="18"/>
                <w:szCs w:val="18"/>
              </w:rPr>
            </w:pPr>
            <w:r w:rsidRPr="00DA7E4C">
              <w:rPr>
                <w:rFonts w:eastAsia="Times New Roman" w:cs="Times New Roman"/>
                <w:sz w:val="18"/>
                <w:szCs w:val="18"/>
              </w:rPr>
              <w:t>Sample</w:t>
            </w:r>
          </w:p>
          <w:p w:rsidR="000A22AE" w:rsidRPr="00DA7E4C" w:rsidRDefault="000A22AE" w:rsidP="000A22AE">
            <w:pPr>
              <w:spacing w:before="0" w:after="0" w:line="240" w:lineRule="auto"/>
              <w:jc w:val="center"/>
              <w:rPr>
                <w:rFonts w:eastAsia="Times New Roman" w:cs="Times New Roman"/>
                <w:sz w:val="18"/>
                <w:szCs w:val="18"/>
              </w:rPr>
            </w:pPr>
            <w:r w:rsidRPr="00DA7E4C">
              <w:rPr>
                <w:rFonts w:eastAsia="Times New Roman" w:cs="Times New Roman"/>
                <w:sz w:val="18"/>
                <w:szCs w:val="18"/>
              </w:rPr>
              <w:t>1988-1997</w:t>
            </w:r>
          </w:p>
        </w:tc>
        <w:tc>
          <w:tcPr>
            <w:tcW w:w="0" w:type="auto"/>
            <w:gridSpan w:val="9"/>
            <w:tcBorders>
              <w:top w:val="single" w:sz="8" w:space="0" w:color="auto"/>
              <w:left w:val="single" w:sz="8" w:space="0" w:color="auto"/>
              <w:bottom w:val="nil"/>
              <w:right w:val="single" w:sz="8" w:space="0" w:color="000000"/>
            </w:tcBorders>
            <w:shd w:val="clear" w:color="auto" w:fill="auto"/>
            <w:vAlign w:val="bottom"/>
            <w:hideMark/>
          </w:tcPr>
          <w:p w:rsidR="000A22AE" w:rsidRPr="00DA7E4C" w:rsidRDefault="000A22AE" w:rsidP="000A22AE">
            <w:pPr>
              <w:spacing w:before="0" w:after="0" w:line="240" w:lineRule="auto"/>
              <w:jc w:val="center"/>
              <w:rPr>
                <w:rFonts w:eastAsia="Times New Roman" w:cs="Times New Roman"/>
                <w:color w:val="000000"/>
                <w:sz w:val="18"/>
                <w:szCs w:val="18"/>
              </w:rPr>
            </w:pPr>
            <w:r w:rsidRPr="00DA7E4C">
              <w:rPr>
                <w:rFonts w:eastAsia="Times New Roman" w:cs="Times New Roman"/>
                <w:color w:val="000000"/>
                <w:sz w:val="18"/>
                <w:szCs w:val="18"/>
              </w:rPr>
              <w:t xml:space="preserve">Real Stock </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color w:val="000000"/>
                <w:sz w:val="18"/>
                <w:szCs w:val="18"/>
              </w:rPr>
            </w:pPr>
          </w:p>
        </w:tc>
        <w:tc>
          <w:tcPr>
            <w:tcW w:w="0" w:type="auto"/>
            <w:tcBorders>
              <w:top w:val="nil"/>
              <w:left w:val="nil"/>
              <w:bottom w:val="nil"/>
              <w:right w:val="single" w:sz="4" w:space="0" w:color="auto"/>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color w:val="000000"/>
                <w:sz w:val="18"/>
                <w:szCs w:val="18"/>
              </w:rPr>
            </w:pPr>
          </w:p>
        </w:tc>
        <w:tc>
          <w:tcPr>
            <w:tcW w:w="0" w:type="auto"/>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A22AE" w:rsidRPr="00DA7E4C" w:rsidRDefault="000A22AE" w:rsidP="000A22AE">
            <w:pPr>
              <w:spacing w:before="0" w:after="0" w:line="240" w:lineRule="auto"/>
              <w:jc w:val="center"/>
              <w:rPr>
                <w:rFonts w:eastAsia="Times New Roman" w:cs="Times New Roman"/>
                <w:sz w:val="18"/>
                <w:szCs w:val="18"/>
              </w:rPr>
            </w:pPr>
            <w:r w:rsidRPr="00DA7E4C">
              <w:rPr>
                <w:rFonts w:eastAsia="Times New Roman" w:cs="Times New Roman"/>
                <w:sz w:val="18"/>
                <w:szCs w:val="18"/>
              </w:rPr>
              <w:t>Adjusted</w:t>
            </w:r>
          </w:p>
          <w:p w:rsidR="000A22AE" w:rsidRPr="00DA7E4C" w:rsidRDefault="000A22AE" w:rsidP="000A22AE">
            <w:pPr>
              <w:spacing w:before="0" w:after="0" w:line="240" w:lineRule="auto"/>
              <w:jc w:val="center"/>
              <w:rPr>
                <w:rFonts w:eastAsia="Times New Roman" w:cs="Times New Roman"/>
                <w:color w:val="000000"/>
                <w:sz w:val="18"/>
                <w:szCs w:val="18"/>
              </w:rPr>
            </w:pPr>
            <w:r w:rsidRPr="00DA7E4C">
              <w:rPr>
                <w:rFonts w:eastAsia="Times New Roman" w:cs="Times New Roman"/>
                <w:sz w:val="18"/>
                <w:szCs w:val="18"/>
              </w:rPr>
              <w:t>R-square</w:t>
            </w:r>
          </w:p>
        </w:tc>
        <w:tc>
          <w:tcPr>
            <w:tcW w:w="0" w:type="auto"/>
            <w:tcBorders>
              <w:top w:val="nil"/>
              <w:left w:val="single" w:sz="4" w:space="0" w:color="auto"/>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color w:val="000000"/>
                <w:sz w:val="18"/>
                <w:szCs w:val="18"/>
              </w:rPr>
            </w:pPr>
          </w:p>
        </w:tc>
      </w:tr>
      <w:tr w:rsidR="000A22AE" w:rsidRPr="00DA7E4C" w:rsidTr="000A22AE">
        <w:trPr>
          <w:trHeight w:val="255"/>
        </w:trPr>
        <w:tc>
          <w:tcPr>
            <w:tcW w:w="0" w:type="auto"/>
            <w:tcBorders>
              <w:top w:val="nil"/>
              <w:left w:val="single" w:sz="8" w:space="0" w:color="auto"/>
              <w:bottom w:val="single" w:sz="8" w:space="0" w:color="auto"/>
              <w:right w:val="single" w:sz="8" w:space="0" w:color="auto"/>
            </w:tcBorders>
            <w:shd w:val="clear" w:color="auto" w:fill="auto"/>
            <w:noWrap/>
            <w:vAlign w:val="center"/>
            <w:hideMark/>
          </w:tcPr>
          <w:p w:rsidR="000A22AE" w:rsidRPr="00DA7E4C" w:rsidRDefault="000A22AE" w:rsidP="000A22AE">
            <w:pPr>
              <w:spacing w:before="0" w:after="0" w:line="240" w:lineRule="auto"/>
              <w:jc w:val="center"/>
              <w:rPr>
                <w:rFonts w:eastAsia="Times New Roman" w:cs="Times New Roman"/>
                <w:sz w:val="18"/>
                <w:szCs w:val="18"/>
              </w:rPr>
            </w:pPr>
            <w:r w:rsidRPr="00DA7E4C">
              <w:rPr>
                <w:rFonts w:eastAsia="Times New Roman" w:cs="Times New Roman"/>
                <w:sz w:val="18"/>
                <w:szCs w:val="18"/>
              </w:rPr>
              <w:t>No</w:t>
            </w:r>
          </w:p>
        </w:tc>
        <w:tc>
          <w:tcPr>
            <w:tcW w:w="0" w:type="auto"/>
            <w:tcBorders>
              <w:top w:val="single" w:sz="8" w:space="0" w:color="auto"/>
              <w:left w:val="nil"/>
              <w:bottom w:val="single" w:sz="8" w:space="0" w:color="auto"/>
              <w:right w:val="single" w:sz="8" w:space="0" w:color="auto"/>
            </w:tcBorders>
            <w:shd w:val="clear" w:color="auto" w:fill="auto"/>
            <w:noWrap/>
            <w:vAlign w:val="center"/>
            <w:hideMark/>
          </w:tcPr>
          <w:p w:rsidR="000A22AE" w:rsidRPr="00DA7E4C" w:rsidRDefault="000A22AE" w:rsidP="000A22AE">
            <w:pPr>
              <w:spacing w:before="0" w:after="0" w:line="240" w:lineRule="auto"/>
              <w:jc w:val="center"/>
              <w:rPr>
                <w:rFonts w:eastAsia="Times New Roman" w:cs="Times New Roman"/>
                <w:sz w:val="18"/>
                <w:szCs w:val="18"/>
              </w:rPr>
            </w:pPr>
            <w:r w:rsidRPr="00DA7E4C">
              <w:rPr>
                <w:rFonts w:eastAsia="Times New Roman" w:cs="Times New Roman"/>
                <w:sz w:val="18"/>
                <w:szCs w:val="18"/>
              </w:rPr>
              <w:t>Intercept</w:t>
            </w:r>
          </w:p>
        </w:tc>
        <w:tc>
          <w:tcPr>
            <w:tcW w:w="0" w:type="auto"/>
            <w:tcBorders>
              <w:top w:val="nil"/>
              <w:left w:val="nil"/>
              <w:bottom w:val="single" w:sz="8" w:space="0" w:color="auto"/>
              <w:right w:val="single" w:sz="8" w:space="0" w:color="auto"/>
            </w:tcBorders>
            <w:shd w:val="clear" w:color="auto" w:fill="auto"/>
            <w:vAlign w:val="center"/>
            <w:hideMark/>
          </w:tcPr>
          <w:p w:rsidR="000A22AE" w:rsidRPr="00DA7E4C" w:rsidRDefault="000A22AE" w:rsidP="000A22AE">
            <w:pPr>
              <w:spacing w:before="0" w:after="0" w:line="240" w:lineRule="auto"/>
              <w:jc w:val="center"/>
              <w:rPr>
                <w:rFonts w:eastAsia="Times New Roman" w:cs="Times New Roman"/>
                <w:sz w:val="18"/>
                <w:szCs w:val="18"/>
              </w:rPr>
            </w:pPr>
            <w:r w:rsidRPr="00DA7E4C">
              <w:rPr>
                <w:rFonts w:eastAsia="Times New Roman" w:cs="Times New Roman"/>
                <w:sz w:val="18"/>
                <w:szCs w:val="18"/>
              </w:rPr>
              <w:t>t</w:t>
            </w:r>
          </w:p>
        </w:tc>
        <w:tc>
          <w:tcPr>
            <w:tcW w:w="0" w:type="auto"/>
            <w:tcBorders>
              <w:top w:val="nil"/>
              <w:left w:val="nil"/>
              <w:bottom w:val="single" w:sz="8" w:space="0" w:color="auto"/>
              <w:right w:val="single" w:sz="8" w:space="0" w:color="auto"/>
            </w:tcBorders>
            <w:shd w:val="clear" w:color="auto" w:fill="auto"/>
            <w:vAlign w:val="center"/>
            <w:hideMark/>
          </w:tcPr>
          <w:p w:rsidR="000A22AE" w:rsidRPr="00DA7E4C" w:rsidRDefault="000A22AE" w:rsidP="000A22AE">
            <w:pPr>
              <w:spacing w:before="0" w:after="0" w:line="240" w:lineRule="auto"/>
              <w:jc w:val="center"/>
              <w:rPr>
                <w:rFonts w:eastAsia="Times New Roman" w:cs="Times New Roman"/>
                <w:sz w:val="18"/>
                <w:szCs w:val="18"/>
              </w:rPr>
            </w:pPr>
            <w:r w:rsidRPr="00DA7E4C">
              <w:rPr>
                <w:rFonts w:eastAsia="Times New Roman" w:cs="Times New Roman"/>
                <w:sz w:val="18"/>
                <w:szCs w:val="18"/>
              </w:rPr>
              <w:t>t-1</w:t>
            </w:r>
          </w:p>
        </w:tc>
        <w:tc>
          <w:tcPr>
            <w:tcW w:w="0" w:type="auto"/>
            <w:tcBorders>
              <w:top w:val="nil"/>
              <w:left w:val="nil"/>
              <w:bottom w:val="single" w:sz="8" w:space="0" w:color="auto"/>
              <w:right w:val="single" w:sz="8" w:space="0" w:color="auto"/>
            </w:tcBorders>
            <w:shd w:val="clear" w:color="auto" w:fill="auto"/>
            <w:vAlign w:val="center"/>
            <w:hideMark/>
          </w:tcPr>
          <w:p w:rsidR="000A22AE" w:rsidRPr="00DA7E4C" w:rsidRDefault="000A22AE" w:rsidP="000A22AE">
            <w:pPr>
              <w:spacing w:before="0" w:after="0" w:line="240" w:lineRule="auto"/>
              <w:jc w:val="center"/>
              <w:rPr>
                <w:rFonts w:eastAsia="Times New Roman" w:cs="Times New Roman"/>
                <w:sz w:val="18"/>
                <w:szCs w:val="18"/>
              </w:rPr>
            </w:pPr>
            <w:r w:rsidRPr="00DA7E4C">
              <w:rPr>
                <w:rFonts w:eastAsia="Times New Roman" w:cs="Times New Roman"/>
                <w:sz w:val="18"/>
                <w:szCs w:val="18"/>
              </w:rPr>
              <w:t>t-2</w:t>
            </w:r>
          </w:p>
        </w:tc>
        <w:tc>
          <w:tcPr>
            <w:tcW w:w="0" w:type="auto"/>
            <w:tcBorders>
              <w:top w:val="nil"/>
              <w:left w:val="nil"/>
              <w:bottom w:val="single" w:sz="8" w:space="0" w:color="auto"/>
              <w:right w:val="single" w:sz="8" w:space="0" w:color="auto"/>
            </w:tcBorders>
            <w:shd w:val="clear" w:color="auto" w:fill="auto"/>
            <w:vAlign w:val="center"/>
            <w:hideMark/>
          </w:tcPr>
          <w:p w:rsidR="000A22AE" w:rsidRPr="00DA7E4C" w:rsidRDefault="000A22AE" w:rsidP="000A22AE">
            <w:pPr>
              <w:spacing w:before="0" w:after="0" w:line="240" w:lineRule="auto"/>
              <w:jc w:val="center"/>
              <w:rPr>
                <w:rFonts w:eastAsia="Times New Roman" w:cs="Times New Roman"/>
                <w:sz w:val="18"/>
                <w:szCs w:val="18"/>
              </w:rPr>
            </w:pPr>
            <w:r w:rsidRPr="00DA7E4C">
              <w:rPr>
                <w:rFonts w:eastAsia="Times New Roman" w:cs="Times New Roman"/>
                <w:sz w:val="18"/>
                <w:szCs w:val="18"/>
              </w:rPr>
              <w:t>t-3</w:t>
            </w:r>
          </w:p>
        </w:tc>
        <w:tc>
          <w:tcPr>
            <w:tcW w:w="0" w:type="auto"/>
            <w:tcBorders>
              <w:top w:val="nil"/>
              <w:left w:val="nil"/>
              <w:bottom w:val="single" w:sz="8" w:space="0" w:color="auto"/>
              <w:right w:val="single" w:sz="8" w:space="0" w:color="auto"/>
            </w:tcBorders>
            <w:shd w:val="clear" w:color="auto" w:fill="auto"/>
            <w:vAlign w:val="center"/>
            <w:hideMark/>
          </w:tcPr>
          <w:p w:rsidR="000A22AE" w:rsidRPr="00DA7E4C" w:rsidRDefault="000A22AE" w:rsidP="000A22AE">
            <w:pPr>
              <w:spacing w:before="0" w:after="0" w:line="240" w:lineRule="auto"/>
              <w:jc w:val="center"/>
              <w:rPr>
                <w:rFonts w:eastAsia="Times New Roman" w:cs="Times New Roman"/>
                <w:sz w:val="18"/>
                <w:szCs w:val="18"/>
              </w:rPr>
            </w:pPr>
            <w:r w:rsidRPr="00DA7E4C">
              <w:rPr>
                <w:rFonts w:eastAsia="Times New Roman" w:cs="Times New Roman"/>
                <w:sz w:val="18"/>
                <w:szCs w:val="18"/>
              </w:rPr>
              <w:t>t-4</w:t>
            </w:r>
          </w:p>
        </w:tc>
        <w:tc>
          <w:tcPr>
            <w:tcW w:w="0" w:type="auto"/>
            <w:tcBorders>
              <w:top w:val="nil"/>
              <w:left w:val="nil"/>
              <w:bottom w:val="single" w:sz="8" w:space="0" w:color="auto"/>
              <w:right w:val="single" w:sz="8" w:space="0" w:color="auto"/>
            </w:tcBorders>
            <w:shd w:val="clear" w:color="auto" w:fill="auto"/>
            <w:vAlign w:val="center"/>
            <w:hideMark/>
          </w:tcPr>
          <w:p w:rsidR="000A22AE" w:rsidRPr="00DA7E4C" w:rsidRDefault="000A22AE" w:rsidP="000A22AE">
            <w:pPr>
              <w:spacing w:before="0" w:after="0" w:line="240" w:lineRule="auto"/>
              <w:jc w:val="center"/>
              <w:rPr>
                <w:rFonts w:eastAsia="Times New Roman" w:cs="Times New Roman"/>
                <w:sz w:val="18"/>
                <w:szCs w:val="18"/>
              </w:rPr>
            </w:pPr>
            <w:r w:rsidRPr="00DA7E4C">
              <w:rPr>
                <w:rFonts w:eastAsia="Times New Roman" w:cs="Times New Roman"/>
                <w:sz w:val="18"/>
                <w:szCs w:val="18"/>
              </w:rPr>
              <w:t>t-5</w:t>
            </w:r>
          </w:p>
        </w:tc>
        <w:tc>
          <w:tcPr>
            <w:tcW w:w="0" w:type="auto"/>
            <w:tcBorders>
              <w:top w:val="nil"/>
              <w:left w:val="nil"/>
              <w:bottom w:val="single" w:sz="8" w:space="0" w:color="auto"/>
              <w:right w:val="single" w:sz="8" w:space="0" w:color="auto"/>
            </w:tcBorders>
            <w:shd w:val="clear" w:color="auto" w:fill="auto"/>
            <w:vAlign w:val="center"/>
            <w:hideMark/>
          </w:tcPr>
          <w:p w:rsidR="000A22AE" w:rsidRPr="00DA7E4C" w:rsidRDefault="000A22AE" w:rsidP="000A22AE">
            <w:pPr>
              <w:spacing w:before="0" w:after="0" w:line="240" w:lineRule="auto"/>
              <w:jc w:val="center"/>
              <w:rPr>
                <w:rFonts w:eastAsia="Times New Roman" w:cs="Times New Roman"/>
                <w:sz w:val="18"/>
                <w:szCs w:val="18"/>
              </w:rPr>
            </w:pPr>
            <w:r w:rsidRPr="00DA7E4C">
              <w:rPr>
                <w:rFonts w:eastAsia="Times New Roman" w:cs="Times New Roman"/>
                <w:sz w:val="18"/>
                <w:szCs w:val="18"/>
              </w:rPr>
              <w:t>t-6</w:t>
            </w:r>
          </w:p>
        </w:tc>
        <w:tc>
          <w:tcPr>
            <w:tcW w:w="0" w:type="auto"/>
            <w:tcBorders>
              <w:top w:val="nil"/>
              <w:left w:val="nil"/>
              <w:bottom w:val="single" w:sz="8" w:space="0" w:color="auto"/>
              <w:right w:val="single" w:sz="8" w:space="0" w:color="auto"/>
            </w:tcBorders>
            <w:shd w:val="clear" w:color="auto" w:fill="auto"/>
            <w:vAlign w:val="center"/>
            <w:hideMark/>
          </w:tcPr>
          <w:p w:rsidR="000A22AE" w:rsidRPr="00DA7E4C" w:rsidRDefault="000A22AE" w:rsidP="000A22AE">
            <w:pPr>
              <w:spacing w:before="0" w:after="0" w:line="240" w:lineRule="auto"/>
              <w:jc w:val="center"/>
              <w:rPr>
                <w:rFonts w:eastAsia="Times New Roman" w:cs="Times New Roman"/>
                <w:sz w:val="18"/>
                <w:szCs w:val="18"/>
              </w:rPr>
            </w:pPr>
            <w:r w:rsidRPr="00DA7E4C">
              <w:rPr>
                <w:rFonts w:eastAsia="Times New Roman" w:cs="Times New Roman"/>
                <w:sz w:val="18"/>
                <w:szCs w:val="18"/>
              </w:rPr>
              <w:t>t-7</w:t>
            </w:r>
          </w:p>
        </w:tc>
        <w:tc>
          <w:tcPr>
            <w:tcW w:w="0" w:type="auto"/>
            <w:tcBorders>
              <w:top w:val="nil"/>
              <w:left w:val="nil"/>
              <w:bottom w:val="single" w:sz="8" w:space="0" w:color="auto"/>
              <w:right w:val="single" w:sz="8" w:space="0" w:color="auto"/>
            </w:tcBorders>
            <w:shd w:val="clear" w:color="auto" w:fill="auto"/>
            <w:vAlign w:val="center"/>
            <w:hideMark/>
          </w:tcPr>
          <w:p w:rsidR="000A22AE" w:rsidRPr="00DA7E4C" w:rsidRDefault="000A22AE" w:rsidP="000A22AE">
            <w:pPr>
              <w:spacing w:before="0" w:after="0" w:line="240" w:lineRule="auto"/>
              <w:jc w:val="center"/>
              <w:rPr>
                <w:rFonts w:eastAsia="Times New Roman" w:cs="Times New Roman"/>
                <w:sz w:val="18"/>
                <w:szCs w:val="18"/>
              </w:rPr>
            </w:pPr>
            <w:r w:rsidRPr="00DA7E4C">
              <w:rPr>
                <w:rFonts w:eastAsia="Times New Roman" w:cs="Times New Roman"/>
                <w:sz w:val="18"/>
                <w:szCs w:val="18"/>
              </w:rPr>
              <w:t>t-8</w:t>
            </w:r>
          </w:p>
        </w:tc>
        <w:tc>
          <w:tcPr>
            <w:tcW w:w="0" w:type="auto"/>
            <w:tcBorders>
              <w:top w:val="single" w:sz="8" w:space="0" w:color="auto"/>
              <w:left w:val="nil"/>
              <w:bottom w:val="single" w:sz="8" w:space="0" w:color="auto"/>
              <w:right w:val="single" w:sz="8" w:space="0" w:color="auto"/>
            </w:tcBorders>
            <w:shd w:val="clear" w:color="auto" w:fill="auto"/>
            <w:vAlign w:val="center"/>
            <w:hideMark/>
          </w:tcPr>
          <w:p w:rsidR="000A22AE" w:rsidRPr="00DA7E4C" w:rsidRDefault="000A22AE" w:rsidP="000A22AE">
            <w:pPr>
              <w:spacing w:before="0" w:after="0" w:line="240" w:lineRule="auto"/>
              <w:jc w:val="center"/>
              <w:rPr>
                <w:rFonts w:eastAsia="Times New Roman" w:cs="Times New Roman"/>
                <w:sz w:val="18"/>
                <w:szCs w:val="18"/>
              </w:rPr>
            </w:pPr>
            <w:r w:rsidRPr="00DA7E4C">
              <w:rPr>
                <w:rFonts w:eastAsia="Times New Roman" w:cs="Times New Roman"/>
                <w:sz w:val="18"/>
                <w:szCs w:val="18"/>
              </w:rPr>
              <w:t>AR</w:t>
            </w:r>
          </w:p>
        </w:tc>
        <w:tc>
          <w:tcPr>
            <w:tcW w:w="0" w:type="auto"/>
            <w:tcBorders>
              <w:top w:val="single" w:sz="8" w:space="0" w:color="auto"/>
              <w:left w:val="nil"/>
              <w:bottom w:val="single" w:sz="8" w:space="0" w:color="auto"/>
              <w:right w:val="single" w:sz="4" w:space="0" w:color="auto"/>
            </w:tcBorders>
            <w:shd w:val="clear" w:color="auto" w:fill="auto"/>
            <w:noWrap/>
            <w:vAlign w:val="center"/>
            <w:hideMark/>
          </w:tcPr>
          <w:p w:rsidR="000A22AE" w:rsidRPr="00DA7E4C" w:rsidRDefault="000A22AE" w:rsidP="000A22AE">
            <w:pPr>
              <w:spacing w:before="0" w:after="0" w:line="240" w:lineRule="auto"/>
              <w:jc w:val="center"/>
              <w:rPr>
                <w:rFonts w:eastAsia="Times New Roman" w:cs="Times New Roman"/>
                <w:sz w:val="18"/>
                <w:szCs w:val="18"/>
              </w:rPr>
            </w:pPr>
            <w:r w:rsidRPr="00DA7E4C">
              <w:rPr>
                <w:rFonts w:eastAsia="Times New Roman" w:cs="Times New Roman"/>
                <w:sz w:val="18"/>
                <w:szCs w:val="18"/>
              </w:rPr>
              <w:t>F Value</w:t>
            </w:r>
          </w:p>
        </w:tc>
        <w:tc>
          <w:tcPr>
            <w:tcW w:w="0" w:type="auto"/>
            <w:vMerge/>
            <w:tcBorders>
              <w:left w:val="single" w:sz="4" w:space="0" w:color="auto"/>
              <w:bottom w:val="single" w:sz="4" w:space="0" w:color="auto"/>
              <w:right w:val="single" w:sz="4" w:space="0" w:color="auto"/>
            </w:tcBorders>
            <w:shd w:val="clear" w:color="auto" w:fill="auto"/>
            <w:noWrap/>
            <w:vAlign w:val="center"/>
            <w:hideMark/>
          </w:tcPr>
          <w:p w:rsidR="000A22AE" w:rsidRPr="00DA7E4C" w:rsidRDefault="000A22AE" w:rsidP="000A22AE">
            <w:pPr>
              <w:spacing w:before="0" w:after="0" w:line="240" w:lineRule="auto"/>
              <w:jc w:val="center"/>
              <w:rPr>
                <w:rFonts w:eastAsia="Times New Roman" w:cs="Times New Roman"/>
                <w:sz w:val="18"/>
                <w:szCs w:val="18"/>
              </w:rPr>
            </w:pPr>
          </w:p>
        </w:tc>
        <w:tc>
          <w:tcPr>
            <w:tcW w:w="0" w:type="auto"/>
            <w:tcBorders>
              <w:top w:val="single" w:sz="8" w:space="0" w:color="auto"/>
              <w:left w:val="single" w:sz="4" w:space="0" w:color="auto"/>
              <w:bottom w:val="single" w:sz="8" w:space="0" w:color="auto"/>
              <w:right w:val="single" w:sz="8" w:space="0" w:color="auto"/>
            </w:tcBorders>
            <w:shd w:val="clear" w:color="auto" w:fill="auto"/>
            <w:noWrap/>
            <w:vAlign w:val="center"/>
            <w:hideMark/>
          </w:tcPr>
          <w:p w:rsidR="000A22AE" w:rsidRPr="00DA7E4C" w:rsidRDefault="000A22AE" w:rsidP="000A22AE">
            <w:pPr>
              <w:spacing w:before="0" w:after="0" w:line="240" w:lineRule="auto"/>
              <w:jc w:val="center"/>
              <w:rPr>
                <w:rFonts w:eastAsia="Times New Roman" w:cs="Times New Roman"/>
                <w:sz w:val="18"/>
                <w:szCs w:val="18"/>
              </w:rPr>
            </w:pPr>
            <w:r w:rsidRPr="00DA7E4C">
              <w:rPr>
                <w:rFonts w:eastAsia="Times New Roman" w:cs="Times New Roman"/>
                <w:sz w:val="18"/>
                <w:szCs w:val="18"/>
              </w:rPr>
              <w:t>DW</w:t>
            </w:r>
          </w:p>
        </w:tc>
        <w:tc>
          <w:tcPr>
            <w:tcW w:w="0" w:type="auto"/>
            <w:tcBorders>
              <w:top w:val="single" w:sz="8" w:space="0" w:color="auto"/>
              <w:left w:val="nil"/>
              <w:bottom w:val="single" w:sz="8" w:space="0" w:color="auto"/>
              <w:right w:val="single" w:sz="8" w:space="0" w:color="auto"/>
            </w:tcBorders>
            <w:shd w:val="clear" w:color="auto" w:fill="auto"/>
            <w:vAlign w:val="center"/>
            <w:hideMark/>
          </w:tcPr>
          <w:p w:rsidR="000A22AE" w:rsidRPr="00DA7E4C" w:rsidRDefault="000A22AE" w:rsidP="000A22AE">
            <w:pPr>
              <w:spacing w:before="0" w:after="0" w:line="240" w:lineRule="auto"/>
              <w:jc w:val="center"/>
              <w:rPr>
                <w:rFonts w:eastAsia="Times New Roman" w:cs="Times New Roman"/>
                <w:color w:val="000000"/>
                <w:sz w:val="18"/>
                <w:szCs w:val="18"/>
              </w:rPr>
            </w:pPr>
            <w:r w:rsidRPr="00DA7E4C">
              <w:rPr>
                <w:rFonts w:eastAsia="Times New Roman" w:cs="Times New Roman"/>
                <w:color w:val="000000"/>
                <w:sz w:val="18"/>
                <w:szCs w:val="18"/>
              </w:rPr>
              <w:t>Akaike</w:t>
            </w:r>
          </w:p>
        </w:tc>
      </w:tr>
      <w:tr w:rsidR="000A22AE" w:rsidRPr="00DA7E4C" w:rsidTr="000A22AE">
        <w:trPr>
          <w:trHeight w:val="240"/>
        </w:trPr>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center"/>
              <w:rPr>
                <w:rFonts w:eastAsia="Times New Roman" w:cs="Times New Roman"/>
                <w:sz w:val="18"/>
                <w:szCs w:val="18"/>
              </w:rPr>
            </w:pPr>
            <w:r w:rsidRPr="00DA7E4C">
              <w:rPr>
                <w:rFonts w:eastAsia="Times New Roman" w:cs="Times New Roman"/>
                <w:sz w:val="18"/>
                <w:szCs w:val="18"/>
              </w:rPr>
              <w:t>1</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-14.153</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120.415</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84.041</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119.950</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76.567</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-80.347</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-48.623</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43.099</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69.534</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88.513</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0.736</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54.690</w:t>
            </w:r>
          </w:p>
        </w:tc>
        <w:tc>
          <w:tcPr>
            <w:tcW w:w="0" w:type="auto"/>
            <w:tcBorders>
              <w:top w:val="single" w:sz="4" w:space="0" w:color="auto"/>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0.793</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1.381</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18.393</w:t>
            </w:r>
          </w:p>
        </w:tc>
      </w:tr>
      <w:tr w:rsidR="000A22AE" w:rsidRPr="00DA7E4C" w:rsidTr="000A22AE">
        <w:trPr>
          <w:trHeight w:val="240"/>
        </w:trPr>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center"/>
              <w:rPr>
                <w:rFonts w:eastAsia="Times New Roman" w:cs="Times New Roman"/>
                <w:b/>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b/>
                <w:color w:val="000000"/>
                <w:sz w:val="18"/>
                <w:szCs w:val="18"/>
              </w:rPr>
            </w:pPr>
            <w:r w:rsidRPr="00DA7E4C">
              <w:rPr>
                <w:rFonts w:eastAsia="Times New Roman" w:cs="Times New Roman"/>
                <w:b/>
                <w:color w:val="000000"/>
                <w:sz w:val="18"/>
                <w:szCs w:val="18"/>
              </w:rPr>
              <w:t>0.984</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b/>
                <w:color w:val="000000"/>
                <w:sz w:val="18"/>
                <w:szCs w:val="18"/>
              </w:rPr>
            </w:pPr>
            <w:r w:rsidRPr="00DA7E4C">
              <w:rPr>
                <w:rFonts w:eastAsia="Times New Roman" w:cs="Times New Roman"/>
                <w:b/>
                <w:color w:val="000000"/>
                <w:sz w:val="18"/>
                <w:szCs w:val="18"/>
              </w:rPr>
              <w:t>0.000</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b/>
                <w:color w:val="000000"/>
                <w:sz w:val="18"/>
                <w:szCs w:val="18"/>
              </w:rPr>
            </w:pPr>
            <w:r w:rsidRPr="00DA7E4C">
              <w:rPr>
                <w:rFonts w:eastAsia="Times New Roman" w:cs="Times New Roman"/>
                <w:b/>
                <w:color w:val="000000"/>
                <w:sz w:val="18"/>
                <w:szCs w:val="18"/>
              </w:rPr>
              <w:t>0.004</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b/>
                <w:color w:val="000000"/>
                <w:sz w:val="18"/>
                <w:szCs w:val="18"/>
              </w:rPr>
            </w:pPr>
            <w:r w:rsidRPr="00DA7E4C">
              <w:rPr>
                <w:rFonts w:eastAsia="Times New Roman" w:cs="Times New Roman"/>
                <w:b/>
                <w:color w:val="000000"/>
                <w:sz w:val="18"/>
                <w:szCs w:val="18"/>
              </w:rPr>
              <w:t>0.000</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b/>
                <w:color w:val="000000"/>
                <w:sz w:val="18"/>
                <w:szCs w:val="18"/>
              </w:rPr>
            </w:pPr>
            <w:r w:rsidRPr="00DA7E4C">
              <w:rPr>
                <w:rFonts w:eastAsia="Times New Roman" w:cs="Times New Roman"/>
                <w:b/>
                <w:color w:val="000000"/>
                <w:sz w:val="18"/>
                <w:szCs w:val="18"/>
              </w:rPr>
              <w:t>0.007</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b/>
                <w:color w:val="000000"/>
                <w:sz w:val="18"/>
                <w:szCs w:val="18"/>
              </w:rPr>
            </w:pPr>
            <w:r w:rsidRPr="00DA7E4C">
              <w:rPr>
                <w:rFonts w:eastAsia="Times New Roman" w:cs="Times New Roman"/>
                <w:b/>
                <w:color w:val="000000"/>
                <w:sz w:val="18"/>
                <w:szCs w:val="18"/>
              </w:rPr>
              <w:t>0.002</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b/>
                <w:color w:val="000000"/>
                <w:sz w:val="18"/>
                <w:szCs w:val="18"/>
              </w:rPr>
            </w:pPr>
            <w:r w:rsidRPr="00DA7E4C">
              <w:rPr>
                <w:rFonts w:eastAsia="Times New Roman" w:cs="Times New Roman"/>
                <w:b/>
                <w:color w:val="000000"/>
                <w:sz w:val="18"/>
                <w:szCs w:val="18"/>
              </w:rPr>
              <w:t>0.084</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b/>
                <w:color w:val="000000"/>
                <w:sz w:val="18"/>
                <w:szCs w:val="18"/>
              </w:rPr>
            </w:pPr>
            <w:r w:rsidRPr="00DA7E4C">
              <w:rPr>
                <w:rFonts w:eastAsia="Times New Roman" w:cs="Times New Roman"/>
                <w:b/>
                <w:color w:val="000000"/>
                <w:sz w:val="18"/>
                <w:szCs w:val="18"/>
              </w:rPr>
              <w:t>0.035</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b/>
                <w:color w:val="000000"/>
                <w:sz w:val="18"/>
                <w:szCs w:val="18"/>
              </w:rPr>
            </w:pPr>
            <w:r w:rsidRPr="00DA7E4C">
              <w:rPr>
                <w:rFonts w:eastAsia="Times New Roman" w:cs="Times New Roman"/>
                <w:b/>
                <w:color w:val="000000"/>
                <w:sz w:val="18"/>
                <w:szCs w:val="18"/>
              </w:rPr>
              <w:t>0.001</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b/>
                <w:color w:val="000000"/>
                <w:sz w:val="18"/>
                <w:szCs w:val="18"/>
              </w:rPr>
            </w:pPr>
            <w:r w:rsidRPr="00DA7E4C">
              <w:rPr>
                <w:rFonts w:eastAsia="Times New Roman" w:cs="Times New Roman"/>
                <w:b/>
                <w:color w:val="000000"/>
                <w:sz w:val="18"/>
                <w:szCs w:val="18"/>
              </w:rPr>
              <w:t>0.000</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b/>
                <w:color w:val="000000"/>
                <w:sz w:val="18"/>
                <w:szCs w:val="18"/>
              </w:rPr>
            </w:pPr>
            <w:r w:rsidRPr="00DA7E4C">
              <w:rPr>
                <w:rFonts w:eastAsia="Times New Roman" w:cs="Times New Roman"/>
                <w:b/>
                <w:color w:val="000000"/>
                <w:sz w:val="18"/>
                <w:szCs w:val="18"/>
              </w:rPr>
              <w:t>0.000</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b/>
                <w:color w:val="000000"/>
                <w:sz w:val="18"/>
                <w:szCs w:val="18"/>
              </w:rPr>
            </w:pPr>
            <w:r w:rsidRPr="00DA7E4C">
              <w:rPr>
                <w:rFonts w:eastAsia="Times New Roman" w:cs="Times New Roman"/>
                <w:b/>
                <w:color w:val="000000"/>
                <w:sz w:val="18"/>
                <w:szCs w:val="18"/>
              </w:rPr>
              <w:t>0.000</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b/>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b/>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b/>
                <w:color w:val="000000"/>
                <w:sz w:val="18"/>
                <w:szCs w:val="18"/>
              </w:rPr>
            </w:pPr>
          </w:p>
        </w:tc>
      </w:tr>
      <w:tr w:rsidR="000A22AE" w:rsidRPr="00DA7E4C" w:rsidTr="000A22AE">
        <w:trPr>
          <w:trHeight w:val="240"/>
        </w:trPr>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center"/>
              <w:rPr>
                <w:rFonts w:eastAsia="Times New Roman" w:cs="Times New Roman"/>
                <w:sz w:val="18"/>
                <w:szCs w:val="18"/>
              </w:rPr>
            </w:pPr>
            <w:r w:rsidRPr="00DA7E4C">
              <w:rPr>
                <w:rFonts w:eastAsia="Times New Roman" w:cs="Times New Roman"/>
                <w:sz w:val="18"/>
                <w:szCs w:val="18"/>
              </w:rPr>
              <w:t>2</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44.281</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145.886</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0.733</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161.671</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0.670</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1.252</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18.700</w:t>
            </w:r>
          </w:p>
        </w:tc>
      </w:tr>
      <w:tr w:rsidR="000A22AE" w:rsidRPr="00DA7E4C" w:rsidTr="000A22AE">
        <w:trPr>
          <w:trHeight w:val="240"/>
        </w:trPr>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center"/>
              <w:rPr>
                <w:rFonts w:eastAsia="Times New Roman" w:cs="Times New Roman"/>
                <w:b/>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b/>
                <w:color w:val="000000"/>
                <w:sz w:val="18"/>
                <w:szCs w:val="18"/>
              </w:rPr>
            </w:pPr>
            <w:r w:rsidRPr="00DA7E4C">
              <w:rPr>
                <w:rFonts w:eastAsia="Times New Roman" w:cs="Times New Roman"/>
                <w:b/>
                <w:color w:val="000000"/>
                <w:sz w:val="18"/>
                <w:szCs w:val="18"/>
              </w:rPr>
              <w:t>0.957</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b/>
                <w:color w:val="000000"/>
                <w:sz w:val="18"/>
                <w:szCs w:val="18"/>
              </w:rPr>
            </w:pPr>
            <w:r w:rsidRPr="00DA7E4C">
              <w:rPr>
                <w:rFonts w:eastAsia="Times New Roman" w:cs="Times New Roman"/>
                <w:b/>
                <w:color w:val="000000"/>
                <w:sz w:val="18"/>
                <w:szCs w:val="18"/>
              </w:rPr>
              <w:t>0.000</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b/>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b/>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b/>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b/>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b/>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b/>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b/>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b/>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b/>
                <w:color w:val="000000"/>
                <w:sz w:val="18"/>
                <w:szCs w:val="18"/>
              </w:rPr>
            </w:pPr>
            <w:r w:rsidRPr="00DA7E4C">
              <w:rPr>
                <w:rFonts w:eastAsia="Times New Roman" w:cs="Times New Roman"/>
                <w:b/>
                <w:color w:val="000000"/>
                <w:sz w:val="18"/>
                <w:szCs w:val="18"/>
              </w:rPr>
              <w:t>0.000</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b/>
                <w:color w:val="000000"/>
                <w:sz w:val="18"/>
                <w:szCs w:val="18"/>
              </w:rPr>
            </w:pPr>
            <w:r w:rsidRPr="00DA7E4C">
              <w:rPr>
                <w:rFonts w:eastAsia="Times New Roman" w:cs="Times New Roman"/>
                <w:b/>
                <w:color w:val="000000"/>
                <w:sz w:val="18"/>
                <w:szCs w:val="18"/>
              </w:rPr>
              <w:t>0.000</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b/>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b/>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b/>
                <w:color w:val="000000"/>
                <w:sz w:val="18"/>
                <w:szCs w:val="18"/>
              </w:rPr>
            </w:pPr>
          </w:p>
        </w:tc>
      </w:tr>
      <w:tr w:rsidR="000A22AE" w:rsidRPr="00DA7E4C" w:rsidTr="000A22AE">
        <w:trPr>
          <w:trHeight w:val="240"/>
        </w:trPr>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center"/>
              <w:rPr>
                <w:rFonts w:eastAsia="Times New Roman" w:cs="Times New Roman"/>
                <w:sz w:val="18"/>
                <w:szCs w:val="18"/>
              </w:rPr>
            </w:pPr>
            <w:r w:rsidRPr="00DA7E4C">
              <w:rPr>
                <w:rFonts w:eastAsia="Times New Roman" w:cs="Times New Roman"/>
                <w:sz w:val="18"/>
                <w:szCs w:val="18"/>
              </w:rPr>
              <w:t>3</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107.417</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73.264</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0.758</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140.495</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0.640</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1.380</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18.795</w:t>
            </w:r>
          </w:p>
        </w:tc>
      </w:tr>
      <w:tr w:rsidR="000A22AE" w:rsidRPr="00DA7E4C" w:rsidTr="000A22AE">
        <w:trPr>
          <w:trHeight w:val="240"/>
        </w:trPr>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center"/>
              <w:rPr>
                <w:rFonts w:eastAsia="Times New Roman" w:cs="Times New Roman"/>
                <w:b/>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b/>
                <w:color w:val="000000"/>
                <w:sz w:val="18"/>
                <w:szCs w:val="18"/>
              </w:rPr>
            </w:pPr>
            <w:r w:rsidRPr="00DA7E4C">
              <w:rPr>
                <w:rFonts w:eastAsia="Times New Roman" w:cs="Times New Roman"/>
                <w:b/>
                <w:color w:val="000000"/>
                <w:sz w:val="18"/>
                <w:szCs w:val="18"/>
              </w:rPr>
              <w:t>0.909</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b/>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b/>
                <w:color w:val="000000"/>
                <w:sz w:val="18"/>
                <w:szCs w:val="18"/>
              </w:rPr>
            </w:pPr>
            <w:r w:rsidRPr="00DA7E4C">
              <w:rPr>
                <w:rFonts w:eastAsia="Times New Roman" w:cs="Times New Roman"/>
                <w:b/>
                <w:color w:val="000000"/>
                <w:sz w:val="18"/>
                <w:szCs w:val="18"/>
              </w:rPr>
              <w:t>0.014</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b/>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b/>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b/>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b/>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b/>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b/>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b/>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b/>
                <w:color w:val="000000"/>
                <w:sz w:val="18"/>
                <w:szCs w:val="18"/>
              </w:rPr>
            </w:pPr>
            <w:r w:rsidRPr="00DA7E4C">
              <w:rPr>
                <w:rFonts w:eastAsia="Times New Roman" w:cs="Times New Roman"/>
                <w:b/>
                <w:color w:val="000000"/>
                <w:sz w:val="18"/>
                <w:szCs w:val="18"/>
              </w:rPr>
              <w:t>0.000</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b/>
                <w:color w:val="000000"/>
                <w:sz w:val="18"/>
                <w:szCs w:val="18"/>
              </w:rPr>
            </w:pPr>
            <w:r w:rsidRPr="00DA7E4C">
              <w:rPr>
                <w:rFonts w:eastAsia="Times New Roman" w:cs="Times New Roman"/>
                <w:b/>
                <w:color w:val="000000"/>
                <w:sz w:val="18"/>
                <w:szCs w:val="18"/>
              </w:rPr>
              <w:t>0.000</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b/>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b/>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b/>
                <w:color w:val="000000"/>
                <w:sz w:val="18"/>
                <w:szCs w:val="18"/>
              </w:rPr>
            </w:pPr>
          </w:p>
        </w:tc>
      </w:tr>
      <w:tr w:rsidR="000A22AE" w:rsidRPr="00DA7E4C" w:rsidTr="000A22AE">
        <w:trPr>
          <w:trHeight w:val="240"/>
        </w:trPr>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center"/>
              <w:rPr>
                <w:rFonts w:eastAsia="Times New Roman" w:cs="Times New Roman"/>
                <w:sz w:val="18"/>
                <w:szCs w:val="18"/>
              </w:rPr>
            </w:pPr>
            <w:r w:rsidRPr="00DA7E4C">
              <w:rPr>
                <w:rFonts w:eastAsia="Times New Roman" w:cs="Times New Roman"/>
                <w:sz w:val="18"/>
                <w:szCs w:val="18"/>
              </w:rPr>
              <w:t>4</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136.306</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80.409</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0.776</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142.864</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0.645</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1.211</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18.786</w:t>
            </w:r>
          </w:p>
        </w:tc>
      </w:tr>
      <w:tr w:rsidR="000A22AE" w:rsidRPr="00DA7E4C" w:rsidTr="000A22AE">
        <w:trPr>
          <w:trHeight w:val="240"/>
        </w:trPr>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center"/>
              <w:rPr>
                <w:rFonts w:eastAsia="Times New Roman" w:cs="Times New Roman"/>
                <w:b/>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b/>
                <w:color w:val="000000"/>
                <w:sz w:val="18"/>
                <w:szCs w:val="18"/>
              </w:rPr>
            </w:pPr>
            <w:r w:rsidRPr="00DA7E4C">
              <w:rPr>
                <w:rFonts w:eastAsia="Times New Roman" w:cs="Times New Roman"/>
                <w:b/>
                <w:color w:val="000000"/>
                <w:sz w:val="18"/>
                <w:szCs w:val="18"/>
              </w:rPr>
              <w:t>0.893</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b/>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b/>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b/>
                <w:color w:val="000000"/>
                <w:sz w:val="18"/>
                <w:szCs w:val="18"/>
              </w:rPr>
            </w:pPr>
            <w:r w:rsidRPr="00DA7E4C">
              <w:rPr>
                <w:rFonts w:eastAsia="Times New Roman" w:cs="Times New Roman"/>
                <w:b/>
                <w:color w:val="000000"/>
                <w:sz w:val="18"/>
                <w:szCs w:val="18"/>
              </w:rPr>
              <w:t>0.006</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b/>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b/>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b/>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b/>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b/>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b/>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b/>
                <w:color w:val="000000"/>
                <w:sz w:val="18"/>
                <w:szCs w:val="18"/>
              </w:rPr>
            </w:pPr>
            <w:r w:rsidRPr="00DA7E4C">
              <w:rPr>
                <w:rFonts w:eastAsia="Times New Roman" w:cs="Times New Roman"/>
                <w:b/>
                <w:color w:val="000000"/>
                <w:sz w:val="18"/>
                <w:szCs w:val="18"/>
              </w:rPr>
              <w:t>0.000</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b/>
                <w:color w:val="000000"/>
                <w:sz w:val="18"/>
                <w:szCs w:val="18"/>
              </w:rPr>
            </w:pPr>
            <w:r w:rsidRPr="00DA7E4C">
              <w:rPr>
                <w:rFonts w:eastAsia="Times New Roman" w:cs="Times New Roman"/>
                <w:b/>
                <w:color w:val="000000"/>
                <w:sz w:val="18"/>
                <w:szCs w:val="18"/>
              </w:rPr>
              <w:t>0.000</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b/>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b/>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b/>
                <w:color w:val="000000"/>
                <w:sz w:val="18"/>
                <w:szCs w:val="18"/>
              </w:rPr>
            </w:pPr>
          </w:p>
        </w:tc>
      </w:tr>
      <w:tr w:rsidR="000A22AE" w:rsidRPr="00DA7E4C" w:rsidTr="000A22AE">
        <w:trPr>
          <w:trHeight w:val="240"/>
        </w:trPr>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center"/>
              <w:rPr>
                <w:rFonts w:eastAsia="Times New Roman" w:cs="Times New Roman"/>
                <w:sz w:val="18"/>
                <w:szCs w:val="18"/>
              </w:rPr>
            </w:pPr>
            <w:r w:rsidRPr="00DA7E4C">
              <w:rPr>
                <w:rFonts w:eastAsia="Times New Roman" w:cs="Times New Roman"/>
                <w:sz w:val="18"/>
                <w:szCs w:val="18"/>
              </w:rPr>
              <w:t>5</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129.781</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-15.096</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0.794</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131.083</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0.627</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1.200</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18.844</w:t>
            </w:r>
          </w:p>
        </w:tc>
      </w:tr>
      <w:tr w:rsidR="000A22AE" w:rsidRPr="00DA7E4C" w:rsidTr="000A22AE">
        <w:trPr>
          <w:trHeight w:val="240"/>
        </w:trPr>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center"/>
              <w:rPr>
                <w:rFonts w:eastAsia="Times New Roman" w:cs="Times New Roman"/>
                <w:b/>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b/>
                <w:color w:val="000000"/>
                <w:sz w:val="18"/>
                <w:szCs w:val="18"/>
              </w:rPr>
            </w:pPr>
            <w:r w:rsidRPr="00DA7E4C">
              <w:rPr>
                <w:rFonts w:eastAsia="Times New Roman" w:cs="Times New Roman"/>
                <w:b/>
                <w:color w:val="000000"/>
                <w:sz w:val="18"/>
                <w:szCs w:val="18"/>
              </w:rPr>
              <w:t>0.909</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b/>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b/>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b/>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b/>
                <w:color w:val="000000"/>
                <w:sz w:val="18"/>
                <w:szCs w:val="18"/>
              </w:rPr>
            </w:pPr>
            <w:r w:rsidRPr="00DA7E4C">
              <w:rPr>
                <w:rFonts w:eastAsia="Times New Roman" w:cs="Times New Roman"/>
                <w:b/>
                <w:color w:val="000000"/>
                <w:sz w:val="18"/>
                <w:szCs w:val="18"/>
              </w:rPr>
              <w:t>0.608</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b/>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b/>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b/>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b/>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b/>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b/>
                <w:color w:val="000000"/>
                <w:sz w:val="18"/>
                <w:szCs w:val="18"/>
              </w:rPr>
            </w:pPr>
            <w:r w:rsidRPr="00DA7E4C">
              <w:rPr>
                <w:rFonts w:eastAsia="Times New Roman" w:cs="Times New Roman"/>
                <w:b/>
                <w:color w:val="000000"/>
                <w:sz w:val="18"/>
                <w:szCs w:val="18"/>
              </w:rPr>
              <w:t>0.000</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b/>
                <w:color w:val="000000"/>
                <w:sz w:val="18"/>
                <w:szCs w:val="18"/>
              </w:rPr>
            </w:pPr>
            <w:r w:rsidRPr="00DA7E4C">
              <w:rPr>
                <w:rFonts w:eastAsia="Times New Roman" w:cs="Times New Roman"/>
                <w:b/>
                <w:color w:val="000000"/>
                <w:sz w:val="18"/>
                <w:szCs w:val="18"/>
              </w:rPr>
              <w:t>0.000</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b/>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b/>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b/>
                <w:color w:val="000000"/>
                <w:sz w:val="18"/>
                <w:szCs w:val="18"/>
              </w:rPr>
            </w:pPr>
          </w:p>
        </w:tc>
      </w:tr>
      <w:tr w:rsidR="000A22AE" w:rsidRPr="00DA7E4C" w:rsidTr="000A22AE">
        <w:trPr>
          <w:trHeight w:val="240"/>
        </w:trPr>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center"/>
              <w:rPr>
                <w:rFonts w:eastAsia="Times New Roman" w:cs="Times New Roman"/>
                <w:sz w:val="18"/>
                <w:szCs w:val="18"/>
              </w:rPr>
            </w:pPr>
            <w:r w:rsidRPr="00DA7E4C">
              <w:rPr>
                <w:rFonts w:eastAsia="Times New Roman" w:cs="Times New Roman"/>
                <w:sz w:val="18"/>
                <w:szCs w:val="18"/>
              </w:rPr>
              <w:t>6</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63.760</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-79.617</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0.798</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140.668</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0.645</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1.339</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18.801</w:t>
            </w:r>
          </w:p>
        </w:tc>
      </w:tr>
      <w:tr w:rsidR="000A22AE" w:rsidRPr="00DA7E4C" w:rsidTr="000A22AE">
        <w:trPr>
          <w:trHeight w:val="240"/>
        </w:trPr>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center"/>
              <w:rPr>
                <w:rFonts w:eastAsia="Times New Roman" w:cs="Times New Roman"/>
                <w:b/>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b/>
                <w:color w:val="000000"/>
                <w:sz w:val="18"/>
                <w:szCs w:val="18"/>
              </w:rPr>
            </w:pPr>
            <w:r w:rsidRPr="00DA7E4C">
              <w:rPr>
                <w:rFonts w:eastAsia="Times New Roman" w:cs="Times New Roman"/>
                <w:b/>
                <w:color w:val="000000"/>
                <w:sz w:val="18"/>
                <w:szCs w:val="18"/>
              </w:rPr>
              <w:t>0.956</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b/>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b/>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b/>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b/>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b/>
                <w:color w:val="000000"/>
                <w:sz w:val="18"/>
                <w:szCs w:val="18"/>
              </w:rPr>
            </w:pPr>
            <w:r w:rsidRPr="00DA7E4C">
              <w:rPr>
                <w:rFonts w:eastAsia="Times New Roman" w:cs="Times New Roman"/>
                <w:b/>
                <w:color w:val="000000"/>
                <w:sz w:val="18"/>
                <w:szCs w:val="18"/>
              </w:rPr>
              <w:t>0.006</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b/>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b/>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b/>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b/>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b/>
                <w:color w:val="000000"/>
                <w:sz w:val="18"/>
                <w:szCs w:val="18"/>
              </w:rPr>
            </w:pPr>
            <w:r w:rsidRPr="00DA7E4C">
              <w:rPr>
                <w:rFonts w:eastAsia="Times New Roman" w:cs="Times New Roman"/>
                <w:b/>
                <w:color w:val="000000"/>
                <w:sz w:val="18"/>
                <w:szCs w:val="18"/>
              </w:rPr>
              <w:t>0.000</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b/>
                <w:color w:val="000000"/>
                <w:sz w:val="18"/>
                <w:szCs w:val="18"/>
              </w:rPr>
            </w:pPr>
            <w:r w:rsidRPr="00DA7E4C">
              <w:rPr>
                <w:rFonts w:eastAsia="Times New Roman" w:cs="Times New Roman"/>
                <w:b/>
                <w:color w:val="000000"/>
                <w:sz w:val="18"/>
                <w:szCs w:val="18"/>
              </w:rPr>
              <w:t>0.000</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b/>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b/>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b/>
                <w:color w:val="000000"/>
                <w:sz w:val="18"/>
                <w:szCs w:val="18"/>
              </w:rPr>
            </w:pPr>
          </w:p>
        </w:tc>
      </w:tr>
      <w:tr w:rsidR="000A22AE" w:rsidRPr="00DA7E4C" w:rsidTr="000A22AE">
        <w:trPr>
          <w:trHeight w:val="240"/>
        </w:trPr>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center"/>
              <w:rPr>
                <w:rFonts w:eastAsia="Times New Roman" w:cs="Times New Roman"/>
                <w:sz w:val="18"/>
                <w:szCs w:val="18"/>
              </w:rPr>
            </w:pPr>
            <w:r w:rsidRPr="00DA7E4C">
              <w:rPr>
                <w:rFonts w:eastAsia="Times New Roman" w:cs="Times New Roman"/>
                <w:sz w:val="18"/>
                <w:szCs w:val="18"/>
              </w:rPr>
              <w:t>7</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-11.834</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-126.886</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0.801</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154.774</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0.668</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1.376</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18.741</w:t>
            </w:r>
          </w:p>
        </w:tc>
      </w:tr>
      <w:tr w:rsidR="000A22AE" w:rsidRPr="00DA7E4C" w:rsidTr="000A22AE">
        <w:trPr>
          <w:trHeight w:val="240"/>
        </w:trPr>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center"/>
              <w:rPr>
                <w:rFonts w:eastAsia="Times New Roman" w:cs="Times New Roman"/>
                <w:b/>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b/>
                <w:color w:val="000000"/>
                <w:sz w:val="18"/>
                <w:szCs w:val="18"/>
              </w:rPr>
            </w:pPr>
            <w:r w:rsidRPr="00DA7E4C">
              <w:rPr>
                <w:rFonts w:eastAsia="Times New Roman" w:cs="Times New Roman"/>
                <w:b/>
                <w:color w:val="000000"/>
                <w:sz w:val="18"/>
                <w:szCs w:val="18"/>
              </w:rPr>
              <w:t>0.992</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b/>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b/>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b/>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b/>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b/>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b/>
                <w:color w:val="000000"/>
                <w:sz w:val="18"/>
                <w:szCs w:val="18"/>
              </w:rPr>
            </w:pPr>
            <w:r w:rsidRPr="00DA7E4C">
              <w:rPr>
                <w:rFonts w:eastAsia="Times New Roman" w:cs="Times New Roman"/>
                <w:b/>
                <w:color w:val="000000"/>
                <w:sz w:val="18"/>
                <w:szCs w:val="18"/>
              </w:rPr>
              <w:t>0.000</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b/>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b/>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b/>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b/>
                <w:color w:val="000000"/>
                <w:sz w:val="18"/>
                <w:szCs w:val="18"/>
              </w:rPr>
            </w:pPr>
            <w:r w:rsidRPr="00DA7E4C">
              <w:rPr>
                <w:rFonts w:eastAsia="Times New Roman" w:cs="Times New Roman"/>
                <w:b/>
                <w:color w:val="000000"/>
                <w:sz w:val="18"/>
                <w:szCs w:val="18"/>
              </w:rPr>
              <w:t>0.000</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b/>
                <w:color w:val="000000"/>
                <w:sz w:val="18"/>
                <w:szCs w:val="18"/>
              </w:rPr>
            </w:pPr>
            <w:r w:rsidRPr="00DA7E4C">
              <w:rPr>
                <w:rFonts w:eastAsia="Times New Roman" w:cs="Times New Roman"/>
                <w:b/>
                <w:color w:val="000000"/>
                <w:sz w:val="18"/>
                <w:szCs w:val="18"/>
              </w:rPr>
              <w:t>0.000</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b/>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b/>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b/>
                <w:color w:val="000000"/>
                <w:sz w:val="18"/>
                <w:szCs w:val="18"/>
              </w:rPr>
            </w:pPr>
          </w:p>
        </w:tc>
      </w:tr>
      <w:tr w:rsidR="000A22AE" w:rsidRPr="00DA7E4C" w:rsidTr="000A22AE">
        <w:trPr>
          <w:trHeight w:val="240"/>
        </w:trPr>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center"/>
              <w:rPr>
                <w:rFonts w:eastAsia="Times New Roman" w:cs="Times New Roman"/>
                <w:sz w:val="18"/>
                <w:szCs w:val="18"/>
              </w:rPr>
            </w:pPr>
            <w:r w:rsidRPr="00DA7E4C">
              <w:rPr>
                <w:rFonts w:eastAsia="Times New Roman" w:cs="Times New Roman"/>
                <w:sz w:val="18"/>
                <w:szCs w:val="18"/>
              </w:rPr>
              <w:t>8</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143.778</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6.663</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0.792</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128.320</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0.627</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1.186</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18.865</w:t>
            </w:r>
          </w:p>
        </w:tc>
      </w:tr>
      <w:tr w:rsidR="000A22AE" w:rsidRPr="00DA7E4C" w:rsidTr="000A22AE">
        <w:trPr>
          <w:trHeight w:val="240"/>
        </w:trPr>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center"/>
              <w:rPr>
                <w:rFonts w:eastAsia="Times New Roman" w:cs="Times New Roman"/>
                <w:b/>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b/>
                <w:color w:val="000000"/>
                <w:sz w:val="18"/>
                <w:szCs w:val="18"/>
              </w:rPr>
            </w:pPr>
            <w:r w:rsidRPr="00DA7E4C">
              <w:rPr>
                <w:rFonts w:eastAsia="Times New Roman" w:cs="Times New Roman"/>
                <w:b/>
                <w:color w:val="000000"/>
                <w:sz w:val="18"/>
                <w:szCs w:val="18"/>
              </w:rPr>
              <w:t>0.901</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b/>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b/>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b/>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b/>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b/>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b/>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b/>
                <w:color w:val="000000"/>
                <w:sz w:val="18"/>
                <w:szCs w:val="18"/>
              </w:rPr>
            </w:pPr>
            <w:r w:rsidRPr="00DA7E4C">
              <w:rPr>
                <w:rFonts w:eastAsia="Times New Roman" w:cs="Times New Roman"/>
                <w:b/>
                <w:color w:val="000000"/>
                <w:sz w:val="18"/>
                <w:szCs w:val="18"/>
              </w:rPr>
              <w:t>0.748</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b/>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b/>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b/>
                <w:color w:val="000000"/>
                <w:sz w:val="18"/>
                <w:szCs w:val="18"/>
              </w:rPr>
            </w:pPr>
            <w:r w:rsidRPr="00DA7E4C">
              <w:rPr>
                <w:rFonts w:eastAsia="Times New Roman" w:cs="Times New Roman"/>
                <w:b/>
                <w:color w:val="000000"/>
                <w:sz w:val="18"/>
                <w:szCs w:val="18"/>
              </w:rPr>
              <w:t>0.000</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b/>
                <w:color w:val="000000"/>
                <w:sz w:val="18"/>
                <w:szCs w:val="18"/>
              </w:rPr>
            </w:pPr>
            <w:r w:rsidRPr="00DA7E4C">
              <w:rPr>
                <w:rFonts w:eastAsia="Times New Roman" w:cs="Times New Roman"/>
                <w:b/>
                <w:color w:val="000000"/>
                <w:sz w:val="18"/>
                <w:szCs w:val="18"/>
              </w:rPr>
              <w:t>0.000</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b/>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b/>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b/>
                <w:color w:val="000000"/>
                <w:sz w:val="18"/>
                <w:szCs w:val="18"/>
              </w:rPr>
            </w:pPr>
          </w:p>
        </w:tc>
      </w:tr>
      <w:tr w:rsidR="000A22AE" w:rsidRPr="00DA7E4C" w:rsidTr="000A22AE">
        <w:trPr>
          <w:trHeight w:val="240"/>
        </w:trPr>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center"/>
              <w:rPr>
                <w:rFonts w:eastAsia="Times New Roman" w:cs="Times New Roman"/>
                <w:sz w:val="18"/>
                <w:szCs w:val="18"/>
              </w:rPr>
            </w:pPr>
            <w:r w:rsidRPr="00DA7E4C">
              <w:rPr>
                <w:rFonts w:eastAsia="Times New Roman" w:cs="Times New Roman"/>
                <w:sz w:val="18"/>
                <w:szCs w:val="18"/>
              </w:rPr>
              <w:t>9</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152.365</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37.959</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0.793</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131.614</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0.634</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1.244</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18.851</w:t>
            </w:r>
          </w:p>
        </w:tc>
      </w:tr>
      <w:tr w:rsidR="000A22AE" w:rsidRPr="00DA7E4C" w:rsidTr="000A22AE">
        <w:trPr>
          <w:trHeight w:val="240"/>
        </w:trPr>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center"/>
              <w:rPr>
                <w:rFonts w:eastAsia="Times New Roman" w:cs="Times New Roman"/>
                <w:b/>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b/>
                <w:color w:val="000000"/>
                <w:sz w:val="18"/>
                <w:szCs w:val="18"/>
              </w:rPr>
            </w:pPr>
            <w:r w:rsidRPr="00DA7E4C">
              <w:rPr>
                <w:rFonts w:eastAsia="Times New Roman" w:cs="Times New Roman"/>
                <w:b/>
                <w:color w:val="000000"/>
                <w:sz w:val="18"/>
                <w:szCs w:val="18"/>
              </w:rPr>
              <w:t>0.895</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b/>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b/>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b/>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b/>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b/>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b/>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b/>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b/>
                <w:color w:val="000000"/>
                <w:sz w:val="18"/>
                <w:szCs w:val="18"/>
              </w:rPr>
            </w:pPr>
            <w:r w:rsidRPr="00DA7E4C">
              <w:rPr>
                <w:rFonts w:eastAsia="Times New Roman" w:cs="Times New Roman"/>
                <w:b/>
                <w:color w:val="000000"/>
                <w:sz w:val="18"/>
                <w:szCs w:val="18"/>
              </w:rPr>
              <w:t>0.080</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b/>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b/>
                <w:color w:val="000000"/>
                <w:sz w:val="18"/>
                <w:szCs w:val="18"/>
              </w:rPr>
            </w:pPr>
            <w:r w:rsidRPr="00DA7E4C">
              <w:rPr>
                <w:rFonts w:eastAsia="Times New Roman" w:cs="Times New Roman"/>
                <w:b/>
                <w:color w:val="000000"/>
                <w:sz w:val="18"/>
                <w:szCs w:val="18"/>
              </w:rPr>
              <w:t>0.000</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b/>
                <w:color w:val="000000"/>
                <w:sz w:val="18"/>
                <w:szCs w:val="18"/>
              </w:rPr>
            </w:pPr>
            <w:r w:rsidRPr="00DA7E4C">
              <w:rPr>
                <w:rFonts w:eastAsia="Times New Roman" w:cs="Times New Roman"/>
                <w:b/>
                <w:color w:val="000000"/>
                <w:sz w:val="18"/>
                <w:szCs w:val="18"/>
              </w:rPr>
              <w:t>0.000</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b/>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b/>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b/>
                <w:color w:val="000000"/>
                <w:sz w:val="18"/>
                <w:szCs w:val="18"/>
              </w:rPr>
            </w:pPr>
          </w:p>
        </w:tc>
      </w:tr>
      <w:tr w:rsidR="000A22AE" w:rsidRPr="00DA7E4C" w:rsidTr="000A22AE">
        <w:trPr>
          <w:trHeight w:val="240"/>
        </w:trPr>
        <w:tc>
          <w:tcPr>
            <w:tcW w:w="0" w:type="auto"/>
            <w:tcBorders>
              <w:top w:val="nil"/>
              <w:left w:val="nil"/>
              <w:bottom w:val="nil"/>
              <w:right w:val="nil"/>
            </w:tcBorders>
            <w:shd w:val="clear" w:color="auto" w:fill="auto"/>
            <w:noWrap/>
            <w:vAlign w:val="center"/>
            <w:hideMark/>
          </w:tcPr>
          <w:p w:rsidR="000A22AE" w:rsidRPr="00DA7E4C" w:rsidRDefault="000A22AE" w:rsidP="000A22AE">
            <w:pPr>
              <w:spacing w:before="0" w:after="0" w:line="240" w:lineRule="auto"/>
              <w:jc w:val="center"/>
              <w:rPr>
                <w:rFonts w:eastAsia="Times New Roman" w:cs="Times New Roman"/>
                <w:color w:val="000000"/>
                <w:sz w:val="18"/>
                <w:szCs w:val="18"/>
              </w:rPr>
            </w:pPr>
            <w:r w:rsidRPr="00DA7E4C">
              <w:rPr>
                <w:rFonts w:eastAsia="Times New Roman" w:cs="Times New Roman"/>
                <w:color w:val="000000"/>
                <w:sz w:val="18"/>
                <w:szCs w:val="18"/>
              </w:rPr>
              <w:t>10</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142.131</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83.381</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0.798</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147.543</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0.662</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1.295</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18.780</w:t>
            </w:r>
          </w:p>
        </w:tc>
      </w:tr>
      <w:tr w:rsidR="000A22AE" w:rsidRPr="00DA7E4C" w:rsidTr="000A22AE">
        <w:trPr>
          <w:trHeight w:val="240"/>
        </w:trPr>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b/>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b/>
                <w:color w:val="000000"/>
                <w:sz w:val="18"/>
                <w:szCs w:val="18"/>
              </w:rPr>
            </w:pPr>
            <w:r w:rsidRPr="00DA7E4C">
              <w:rPr>
                <w:rFonts w:eastAsia="Times New Roman" w:cs="Times New Roman"/>
                <w:b/>
                <w:color w:val="000000"/>
                <w:sz w:val="18"/>
                <w:szCs w:val="18"/>
              </w:rPr>
              <w:t>0.902</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b/>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b/>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b/>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b/>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b/>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b/>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b/>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b/>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b/>
                <w:color w:val="000000"/>
                <w:sz w:val="18"/>
                <w:szCs w:val="18"/>
              </w:rPr>
            </w:pPr>
            <w:r w:rsidRPr="00DA7E4C">
              <w:rPr>
                <w:rFonts w:eastAsia="Times New Roman" w:cs="Times New Roman"/>
                <w:b/>
                <w:color w:val="000000"/>
                <w:sz w:val="18"/>
                <w:szCs w:val="18"/>
              </w:rPr>
              <w:t>0.000</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b/>
                <w:color w:val="000000"/>
                <w:sz w:val="18"/>
                <w:szCs w:val="18"/>
              </w:rPr>
            </w:pPr>
            <w:r w:rsidRPr="00DA7E4C">
              <w:rPr>
                <w:rFonts w:eastAsia="Times New Roman" w:cs="Times New Roman"/>
                <w:b/>
                <w:color w:val="000000"/>
                <w:sz w:val="18"/>
                <w:szCs w:val="18"/>
              </w:rPr>
              <w:t>0.000</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b/>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b/>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b/>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b/>
                <w:color w:val="000000"/>
                <w:sz w:val="18"/>
                <w:szCs w:val="18"/>
              </w:rPr>
            </w:pPr>
          </w:p>
        </w:tc>
      </w:tr>
    </w:tbl>
    <w:p w:rsidR="000A22AE" w:rsidRPr="00762161" w:rsidRDefault="000A22AE" w:rsidP="000A22AE"/>
    <w:p w:rsidR="000A22AE" w:rsidRPr="00762161" w:rsidRDefault="000A22AE" w:rsidP="000A22AE">
      <w:pPr>
        <w:pStyle w:val="Heading2"/>
      </w:pPr>
      <w:bookmarkStart w:id="365" w:name="_Toc286616343"/>
      <w:r w:rsidRPr="00762161">
        <w:t xml:space="preserve">Table 9: The Relationship between Inflation and </w:t>
      </w:r>
      <w:r w:rsidR="00627488">
        <w:t>Real Stock Price</w:t>
      </w:r>
      <w:r w:rsidRPr="00762161">
        <w:t>s (Quarterly 1997-2010)</w:t>
      </w:r>
      <w:bookmarkEnd w:id="365"/>
    </w:p>
    <w:tbl>
      <w:tblPr>
        <w:tblW w:w="0" w:type="auto"/>
        <w:tblInd w:w="93" w:type="dxa"/>
        <w:tblLook w:val="04A0"/>
      </w:tblPr>
      <w:tblGrid>
        <w:gridCol w:w="756"/>
        <w:gridCol w:w="996"/>
        <w:gridCol w:w="711"/>
        <w:gridCol w:w="711"/>
        <w:gridCol w:w="801"/>
        <w:gridCol w:w="711"/>
        <w:gridCol w:w="711"/>
        <w:gridCol w:w="621"/>
        <w:gridCol w:w="771"/>
        <w:gridCol w:w="771"/>
        <w:gridCol w:w="771"/>
        <w:gridCol w:w="621"/>
        <w:gridCol w:w="801"/>
        <w:gridCol w:w="866"/>
        <w:gridCol w:w="621"/>
        <w:gridCol w:w="736"/>
      </w:tblGrid>
      <w:tr w:rsidR="000A22AE" w:rsidRPr="00DA7E4C" w:rsidTr="000A22AE">
        <w:trPr>
          <w:trHeight w:val="300"/>
        </w:trPr>
        <w:tc>
          <w:tcPr>
            <w:tcW w:w="0" w:type="auto"/>
            <w:tcBorders>
              <w:top w:val="single" w:sz="8" w:space="0" w:color="auto"/>
              <w:left w:val="single" w:sz="8" w:space="0" w:color="auto"/>
              <w:bottom w:val="single" w:sz="8" w:space="0" w:color="auto"/>
              <w:right w:val="nil"/>
            </w:tcBorders>
            <w:shd w:val="clear" w:color="auto" w:fill="auto"/>
            <w:noWrap/>
            <w:vAlign w:val="bottom"/>
            <w:hideMark/>
          </w:tcPr>
          <w:p w:rsidR="000A22AE" w:rsidRPr="00DA7E4C" w:rsidRDefault="000A22AE" w:rsidP="000A22AE">
            <w:pPr>
              <w:spacing w:before="0" w:after="0" w:line="240" w:lineRule="auto"/>
              <w:jc w:val="center"/>
              <w:rPr>
                <w:rFonts w:eastAsia="Times New Roman" w:cs="Times New Roman"/>
                <w:sz w:val="18"/>
                <w:szCs w:val="18"/>
              </w:rPr>
            </w:pPr>
            <w:r w:rsidRPr="00DA7E4C">
              <w:rPr>
                <w:rFonts w:eastAsia="Times New Roman" w:cs="Times New Roman"/>
                <w:sz w:val="18"/>
                <w:szCs w:val="18"/>
              </w:rPr>
              <w:t>Sample</w:t>
            </w:r>
          </w:p>
        </w:tc>
        <w:tc>
          <w:tcPr>
            <w:tcW w:w="0" w:type="auto"/>
            <w:tcBorders>
              <w:top w:val="single" w:sz="8" w:space="0" w:color="auto"/>
              <w:left w:val="nil"/>
              <w:bottom w:val="single" w:sz="8" w:space="0" w:color="auto"/>
              <w:right w:val="single" w:sz="8" w:space="0" w:color="auto"/>
            </w:tcBorders>
            <w:shd w:val="clear" w:color="auto" w:fill="auto"/>
            <w:noWrap/>
            <w:vAlign w:val="bottom"/>
            <w:hideMark/>
          </w:tcPr>
          <w:p w:rsidR="000A22AE" w:rsidRPr="00DA7E4C" w:rsidRDefault="000A22AE" w:rsidP="000A22AE">
            <w:pPr>
              <w:spacing w:before="0" w:after="0" w:line="240" w:lineRule="auto"/>
              <w:jc w:val="center"/>
              <w:rPr>
                <w:rFonts w:eastAsia="Times New Roman" w:cs="Times New Roman"/>
                <w:sz w:val="18"/>
                <w:szCs w:val="18"/>
              </w:rPr>
            </w:pPr>
            <w:r w:rsidRPr="00DA7E4C">
              <w:rPr>
                <w:rFonts w:eastAsia="Times New Roman" w:cs="Times New Roman"/>
                <w:sz w:val="18"/>
                <w:szCs w:val="18"/>
              </w:rPr>
              <w:t>1997-2010</w:t>
            </w:r>
          </w:p>
        </w:tc>
        <w:tc>
          <w:tcPr>
            <w:tcW w:w="0" w:type="auto"/>
            <w:gridSpan w:val="9"/>
            <w:tcBorders>
              <w:top w:val="single" w:sz="8" w:space="0" w:color="auto"/>
              <w:left w:val="nil"/>
              <w:bottom w:val="nil"/>
              <w:right w:val="single" w:sz="8" w:space="0" w:color="000000"/>
            </w:tcBorders>
            <w:shd w:val="clear" w:color="auto" w:fill="auto"/>
            <w:vAlign w:val="bottom"/>
            <w:hideMark/>
          </w:tcPr>
          <w:p w:rsidR="000A22AE" w:rsidRPr="00DA7E4C" w:rsidRDefault="000A22AE" w:rsidP="000A22AE">
            <w:pPr>
              <w:spacing w:before="0" w:after="0" w:line="240" w:lineRule="auto"/>
              <w:jc w:val="center"/>
              <w:rPr>
                <w:rFonts w:eastAsia="Times New Roman" w:cs="Times New Roman"/>
                <w:color w:val="000000"/>
                <w:sz w:val="18"/>
                <w:szCs w:val="18"/>
              </w:rPr>
            </w:pPr>
            <w:r w:rsidRPr="00DA7E4C">
              <w:rPr>
                <w:rFonts w:eastAsia="Times New Roman" w:cs="Times New Roman"/>
                <w:color w:val="000000"/>
                <w:sz w:val="18"/>
                <w:szCs w:val="18"/>
              </w:rPr>
              <w:t xml:space="preserve">Real Stock </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color w:val="000000"/>
                <w:sz w:val="18"/>
                <w:szCs w:val="18"/>
              </w:rPr>
            </w:pPr>
          </w:p>
        </w:tc>
        <w:tc>
          <w:tcPr>
            <w:tcW w:w="0" w:type="auto"/>
            <w:tcBorders>
              <w:top w:val="nil"/>
              <w:left w:val="nil"/>
              <w:bottom w:val="nil"/>
              <w:right w:val="single" w:sz="4" w:space="0" w:color="auto"/>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color w:val="000000"/>
                <w:sz w:val="18"/>
                <w:szCs w:val="18"/>
              </w:rPr>
            </w:pPr>
          </w:p>
        </w:tc>
        <w:tc>
          <w:tcPr>
            <w:tcW w:w="0" w:type="auto"/>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A22AE" w:rsidRPr="00DA7E4C" w:rsidRDefault="000A22AE" w:rsidP="000A22AE">
            <w:pPr>
              <w:spacing w:before="0" w:after="0" w:line="240" w:lineRule="auto"/>
              <w:jc w:val="center"/>
              <w:rPr>
                <w:rFonts w:eastAsia="Times New Roman" w:cs="Times New Roman"/>
                <w:sz w:val="18"/>
                <w:szCs w:val="18"/>
              </w:rPr>
            </w:pPr>
            <w:r w:rsidRPr="00DA7E4C">
              <w:rPr>
                <w:rFonts w:eastAsia="Times New Roman" w:cs="Times New Roman"/>
                <w:sz w:val="18"/>
                <w:szCs w:val="18"/>
              </w:rPr>
              <w:t>Adjusted</w:t>
            </w:r>
          </w:p>
          <w:p w:rsidR="000A22AE" w:rsidRPr="00DA7E4C" w:rsidRDefault="000A22AE" w:rsidP="000A22AE">
            <w:pPr>
              <w:spacing w:before="0" w:after="0" w:line="240" w:lineRule="auto"/>
              <w:jc w:val="center"/>
              <w:rPr>
                <w:rFonts w:eastAsia="Times New Roman" w:cs="Times New Roman"/>
                <w:color w:val="000000"/>
                <w:sz w:val="18"/>
                <w:szCs w:val="18"/>
              </w:rPr>
            </w:pPr>
            <w:r w:rsidRPr="00DA7E4C">
              <w:rPr>
                <w:rFonts w:eastAsia="Times New Roman" w:cs="Times New Roman"/>
                <w:sz w:val="18"/>
                <w:szCs w:val="18"/>
              </w:rPr>
              <w:t>R-square</w:t>
            </w:r>
          </w:p>
        </w:tc>
        <w:tc>
          <w:tcPr>
            <w:tcW w:w="0" w:type="auto"/>
            <w:tcBorders>
              <w:top w:val="nil"/>
              <w:left w:val="single" w:sz="4" w:space="0" w:color="auto"/>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color w:val="000000"/>
                <w:sz w:val="18"/>
                <w:szCs w:val="18"/>
              </w:rPr>
            </w:pPr>
          </w:p>
        </w:tc>
      </w:tr>
      <w:tr w:rsidR="000A22AE" w:rsidRPr="00DA7E4C" w:rsidTr="000A22AE">
        <w:trPr>
          <w:trHeight w:val="255"/>
        </w:trPr>
        <w:tc>
          <w:tcPr>
            <w:tcW w:w="0" w:type="auto"/>
            <w:tcBorders>
              <w:top w:val="nil"/>
              <w:left w:val="single" w:sz="8" w:space="0" w:color="auto"/>
              <w:bottom w:val="single" w:sz="8" w:space="0" w:color="auto"/>
              <w:right w:val="single" w:sz="8" w:space="0" w:color="auto"/>
            </w:tcBorders>
            <w:shd w:val="clear" w:color="auto" w:fill="auto"/>
            <w:noWrap/>
            <w:vAlign w:val="center"/>
            <w:hideMark/>
          </w:tcPr>
          <w:p w:rsidR="000A22AE" w:rsidRPr="00DA7E4C" w:rsidRDefault="000A22AE" w:rsidP="000A22AE">
            <w:pPr>
              <w:spacing w:before="0" w:after="0" w:line="240" w:lineRule="auto"/>
              <w:jc w:val="center"/>
              <w:rPr>
                <w:rFonts w:eastAsia="Times New Roman" w:cs="Times New Roman"/>
                <w:sz w:val="18"/>
                <w:szCs w:val="18"/>
              </w:rPr>
            </w:pPr>
            <w:r w:rsidRPr="00DA7E4C">
              <w:rPr>
                <w:rFonts w:eastAsia="Times New Roman" w:cs="Times New Roman"/>
                <w:sz w:val="18"/>
                <w:szCs w:val="18"/>
              </w:rPr>
              <w:t>No</w:t>
            </w:r>
          </w:p>
        </w:tc>
        <w:tc>
          <w:tcPr>
            <w:tcW w:w="0" w:type="auto"/>
            <w:tcBorders>
              <w:top w:val="nil"/>
              <w:left w:val="nil"/>
              <w:bottom w:val="single" w:sz="8" w:space="0" w:color="auto"/>
              <w:right w:val="single" w:sz="8" w:space="0" w:color="auto"/>
            </w:tcBorders>
            <w:shd w:val="clear" w:color="auto" w:fill="auto"/>
            <w:noWrap/>
            <w:vAlign w:val="center"/>
            <w:hideMark/>
          </w:tcPr>
          <w:p w:rsidR="000A22AE" w:rsidRPr="00DA7E4C" w:rsidRDefault="000A22AE" w:rsidP="000A22AE">
            <w:pPr>
              <w:spacing w:before="0" w:after="0" w:line="240" w:lineRule="auto"/>
              <w:jc w:val="center"/>
              <w:rPr>
                <w:rFonts w:eastAsia="Times New Roman" w:cs="Times New Roman"/>
                <w:sz w:val="18"/>
                <w:szCs w:val="18"/>
              </w:rPr>
            </w:pPr>
            <w:r w:rsidRPr="00DA7E4C">
              <w:rPr>
                <w:rFonts w:eastAsia="Times New Roman" w:cs="Times New Roman"/>
                <w:sz w:val="18"/>
                <w:szCs w:val="18"/>
              </w:rPr>
              <w:t>Intercept</w:t>
            </w:r>
          </w:p>
        </w:tc>
        <w:tc>
          <w:tcPr>
            <w:tcW w:w="0" w:type="auto"/>
            <w:tcBorders>
              <w:top w:val="nil"/>
              <w:left w:val="nil"/>
              <w:bottom w:val="single" w:sz="8" w:space="0" w:color="auto"/>
              <w:right w:val="single" w:sz="8" w:space="0" w:color="auto"/>
            </w:tcBorders>
            <w:shd w:val="clear" w:color="auto" w:fill="auto"/>
            <w:vAlign w:val="center"/>
            <w:hideMark/>
          </w:tcPr>
          <w:p w:rsidR="000A22AE" w:rsidRPr="00DA7E4C" w:rsidRDefault="000A22AE" w:rsidP="000A22AE">
            <w:pPr>
              <w:spacing w:before="0" w:after="0" w:line="240" w:lineRule="auto"/>
              <w:jc w:val="center"/>
              <w:rPr>
                <w:rFonts w:eastAsia="Times New Roman" w:cs="Times New Roman"/>
                <w:sz w:val="18"/>
                <w:szCs w:val="18"/>
              </w:rPr>
            </w:pPr>
            <w:r w:rsidRPr="00DA7E4C">
              <w:rPr>
                <w:rFonts w:eastAsia="Times New Roman" w:cs="Times New Roman"/>
                <w:sz w:val="18"/>
                <w:szCs w:val="18"/>
              </w:rPr>
              <w:t>t</w:t>
            </w:r>
          </w:p>
        </w:tc>
        <w:tc>
          <w:tcPr>
            <w:tcW w:w="0" w:type="auto"/>
            <w:tcBorders>
              <w:top w:val="nil"/>
              <w:left w:val="nil"/>
              <w:bottom w:val="single" w:sz="8" w:space="0" w:color="auto"/>
              <w:right w:val="single" w:sz="8" w:space="0" w:color="auto"/>
            </w:tcBorders>
            <w:shd w:val="clear" w:color="auto" w:fill="auto"/>
            <w:vAlign w:val="center"/>
            <w:hideMark/>
          </w:tcPr>
          <w:p w:rsidR="000A22AE" w:rsidRPr="00DA7E4C" w:rsidRDefault="000A22AE" w:rsidP="000A22AE">
            <w:pPr>
              <w:spacing w:before="0" w:after="0" w:line="240" w:lineRule="auto"/>
              <w:jc w:val="center"/>
              <w:rPr>
                <w:rFonts w:eastAsia="Times New Roman" w:cs="Times New Roman"/>
                <w:sz w:val="18"/>
                <w:szCs w:val="18"/>
              </w:rPr>
            </w:pPr>
            <w:r w:rsidRPr="00DA7E4C">
              <w:rPr>
                <w:rFonts w:eastAsia="Times New Roman" w:cs="Times New Roman"/>
                <w:sz w:val="18"/>
                <w:szCs w:val="18"/>
              </w:rPr>
              <w:t>t-1</w:t>
            </w:r>
          </w:p>
        </w:tc>
        <w:tc>
          <w:tcPr>
            <w:tcW w:w="0" w:type="auto"/>
            <w:tcBorders>
              <w:top w:val="nil"/>
              <w:left w:val="nil"/>
              <w:bottom w:val="single" w:sz="8" w:space="0" w:color="auto"/>
              <w:right w:val="single" w:sz="8" w:space="0" w:color="auto"/>
            </w:tcBorders>
            <w:shd w:val="clear" w:color="auto" w:fill="auto"/>
            <w:vAlign w:val="center"/>
            <w:hideMark/>
          </w:tcPr>
          <w:p w:rsidR="000A22AE" w:rsidRPr="00DA7E4C" w:rsidRDefault="000A22AE" w:rsidP="000A22AE">
            <w:pPr>
              <w:spacing w:before="0" w:after="0" w:line="240" w:lineRule="auto"/>
              <w:jc w:val="center"/>
              <w:rPr>
                <w:rFonts w:eastAsia="Times New Roman" w:cs="Times New Roman"/>
                <w:sz w:val="18"/>
                <w:szCs w:val="18"/>
              </w:rPr>
            </w:pPr>
            <w:r w:rsidRPr="00DA7E4C">
              <w:rPr>
                <w:rFonts w:eastAsia="Times New Roman" w:cs="Times New Roman"/>
                <w:sz w:val="18"/>
                <w:szCs w:val="18"/>
              </w:rPr>
              <w:t>t-2</w:t>
            </w:r>
          </w:p>
        </w:tc>
        <w:tc>
          <w:tcPr>
            <w:tcW w:w="0" w:type="auto"/>
            <w:tcBorders>
              <w:top w:val="nil"/>
              <w:left w:val="nil"/>
              <w:bottom w:val="single" w:sz="8" w:space="0" w:color="auto"/>
              <w:right w:val="single" w:sz="8" w:space="0" w:color="auto"/>
            </w:tcBorders>
            <w:shd w:val="clear" w:color="auto" w:fill="auto"/>
            <w:vAlign w:val="center"/>
            <w:hideMark/>
          </w:tcPr>
          <w:p w:rsidR="000A22AE" w:rsidRPr="00DA7E4C" w:rsidRDefault="000A22AE" w:rsidP="000A22AE">
            <w:pPr>
              <w:spacing w:before="0" w:after="0" w:line="240" w:lineRule="auto"/>
              <w:jc w:val="center"/>
              <w:rPr>
                <w:rFonts w:eastAsia="Times New Roman" w:cs="Times New Roman"/>
                <w:sz w:val="18"/>
                <w:szCs w:val="18"/>
              </w:rPr>
            </w:pPr>
            <w:r w:rsidRPr="00DA7E4C">
              <w:rPr>
                <w:rFonts w:eastAsia="Times New Roman" w:cs="Times New Roman"/>
                <w:sz w:val="18"/>
                <w:szCs w:val="18"/>
              </w:rPr>
              <w:t>t-3</w:t>
            </w:r>
          </w:p>
        </w:tc>
        <w:tc>
          <w:tcPr>
            <w:tcW w:w="0" w:type="auto"/>
            <w:tcBorders>
              <w:top w:val="nil"/>
              <w:left w:val="nil"/>
              <w:bottom w:val="single" w:sz="8" w:space="0" w:color="auto"/>
              <w:right w:val="single" w:sz="8" w:space="0" w:color="auto"/>
            </w:tcBorders>
            <w:shd w:val="clear" w:color="auto" w:fill="auto"/>
            <w:vAlign w:val="center"/>
            <w:hideMark/>
          </w:tcPr>
          <w:p w:rsidR="000A22AE" w:rsidRPr="00DA7E4C" w:rsidRDefault="000A22AE" w:rsidP="000A22AE">
            <w:pPr>
              <w:spacing w:before="0" w:after="0" w:line="240" w:lineRule="auto"/>
              <w:jc w:val="center"/>
              <w:rPr>
                <w:rFonts w:eastAsia="Times New Roman" w:cs="Times New Roman"/>
                <w:sz w:val="18"/>
                <w:szCs w:val="18"/>
              </w:rPr>
            </w:pPr>
            <w:r w:rsidRPr="00DA7E4C">
              <w:rPr>
                <w:rFonts w:eastAsia="Times New Roman" w:cs="Times New Roman"/>
                <w:sz w:val="18"/>
                <w:szCs w:val="18"/>
              </w:rPr>
              <w:t>t-4</w:t>
            </w:r>
          </w:p>
        </w:tc>
        <w:tc>
          <w:tcPr>
            <w:tcW w:w="0" w:type="auto"/>
            <w:tcBorders>
              <w:top w:val="nil"/>
              <w:left w:val="nil"/>
              <w:bottom w:val="single" w:sz="8" w:space="0" w:color="auto"/>
              <w:right w:val="single" w:sz="8" w:space="0" w:color="auto"/>
            </w:tcBorders>
            <w:shd w:val="clear" w:color="auto" w:fill="auto"/>
            <w:vAlign w:val="center"/>
            <w:hideMark/>
          </w:tcPr>
          <w:p w:rsidR="000A22AE" w:rsidRPr="00DA7E4C" w:rsidRDefault="000A22AE" w:rsidP="000A22AE">
            <w:pPr>
              <w:spacing w:before="0" w:after="0" w:line="240" w:lineRule="auto"/>
              <w:jc w:val="center"/>
              <w:rPr>
                <w:rFonts w:eastAsia="Times New Roman" w:cs="Times New Roman"/>
                <w:sz w:val="18"/>
                <w:szCs w:val="18"/>
              </w:rPr>
            </w:pPr>
            <w:r w:rsidRPr="00DA7E4C">
              <w:rPr>
                <w:rFonts w:eastAsia="Times New Roman" w:cs="Times New Roman"/>
                <w:sz w:val="18"/>
                <w:szCs w:val="18"/>
              </w:rPr>
              <w:t>t-5</w:t>
            </w:r>
          </w:p>
        </w:tc>
        <w:tc>
          <w:tcPr>
            <w:tcW w:w="0" w:type="auto"/>
            <w:tcBorders>
              <w:top w:val="nil"/>
              <w:left w:val="nil"/>
              <w:bottom w:val="single" w:sz="8" w:space="0" w:color="auto"/>
              <w:right w:val="single" w:sz="8" w:space="0" w:color="auto"/>
            </w:tcBorders>
            <w:shd w:val="clear" w:color="auto" w:fill="auto"/>
            <w:vAlign w:val="center"/>
            <w:hideMark/>
          </w:tcPr>
          <w:p w:rsidR="000A22AE" w:rsidRPr="00DA7E4C" w:rsidRDefault="000A22AE" w:rsidP="000A22AE">
            <w:pPr>
              <w:spacing w:before="0" w:after="0" w:line="240" w:lineRule="auto"/>
              <w:jc w:val="center"/>
              <w:rPr>
                <w:rFonts w:eastAsia="Times New Roman" w:cs="Times New Roman"/>
                <w:sz w:val="18"/>
                <w:szCs w:val="18"/>
              </w:rPr>
            </w:pPr>
            <w:r w:rsidRPr="00DA7E4C">
              <w:rPr>
                <w:rFonts w:eastAsia="Times New Roman" w:cs="Times New Roman"/>
                <w:sz w:val="18"/>
                <w:szCs w:val="18"/>
              </w:rPr>
              <w:t>t-6</w:t>
            </w:r>
          </w:p>
        </w:tc>
        <w:tc>
          <w:tcPr>
            <w:tcW w:w="0" w:type="auto"/>
            <w:tcBorders>
              <w:top w:val="nil"/>
              <w:left w:val="nil"/>
              <w:bottom w:val="single" w:sz="8" w:space="0" w:color="auto"/>
              <w:right w:val="single" w:sz="8" w:space="0" w:color="auto"/>
            </w:tcBorders>
            <w:shd w:val="clear" w:color="auto" w:fill="auto"/>
            <w:vAlign w:val="center"/>
            <w:hideMark/>
          </w:tcPr>
          <w:p w:rsidR="000A22AE" w:rsidRPr="00DA7E4C" w:rsidRDefault="000A22AE" w:rsidP="000A22AE">
            <w:pPr>
              <w:spacing w:before="0" w:after="0" w:line="240" w:lineRule="auto"/>
              <w:jc w:val="center"/>
              <w:rPr>
                <w:rFonts w:eastAsia="Times New Roman" w:cs="Times New Roman"/>
                <w:sz w:val="18"/>
                <w:szCs w:val="18"/>
              </w:rPr>
            </w:pPr>
            <w:r w:rsidRPr="00DA7E4C">
              <w:rPr>
                <w:rFonts w:eastAsia="Times New Roman" w:cs="Times New Roman"/>
                <w:sz w:val="18"/>
                <w:szCs w:val="18"/>
              </w:rPr>
              <w:t>t-7</w:t>
            </w:r>
          </w:p>
        </w:tc>
        <w:tc>
          <w:tcPr>
            <w:tcW w:w="0" w:type="auto"/>
            <w:tcBorders>
              <w:top w:val="nil"/>
              <w:left w:val="nil"/>
              <w:bottom w:val="single" w:sz="8" w:space="0" w:color="auto"/>
              <w:right w:val="single" w:sz="8" w:space="0" w:color="auto"/>
            </w:tcBorders>
            <w:shd w:val="clear" w:color="auto" w:fill="auto"/>
            <w:vAlign w:val="center"/>
            <w:hideMark/>
          </w:tcPr>
          <w:p w:rsidR="000A22AE" w:rsidRPr="00DA7E4C" w:rsidRDefault="000A22AE" w:rsidP="000A22AE">
            <w:pPr>
              <w:spacing w:before="0" w:after="0" w:line="240" w:lineRule="auto"/>
              <w:jc w:val="center"/>
              <w:rPr>
                <w:rFonts w:eastAsia="Times New Roman" w:cs="Times New Roman"/>
                <w:sz w:val="18"/>
                <w:szCs w:val="18"/>
              </w:rPr>
            </w:pPr>
            <w:r w:rsidRPr="00DA7E4C">
              <w:rPr>
                <w:rFonts w:eastAsia="Times New Roman" w:cs="Times New Roman"/>
                <w:sz w:val="18"/>
                <w:szCs w:val="18"/>
              </w:rPr>
              <w:t>t-8</w:t>
            </w:r>
          </w:p>
        </w:tc>
        <w:tc>
          <w:tcPr>
            <w:tcW w:w="0" w:type="auto"/>
            <w:tcBorders>
              <w:top w:val="single" w:sz="8" w:space="0" w:color="auto"/>
              <w:left w:val="nil"/>
              <w:bottom w:val="single" w:sz="8" w:space="0" w:color="auto"/>
              <w:right w:val="single" w:sz="8" w:space="0" w:color="auto"/>
            </w:tcBorders>
            <w:shd w:val="clear" w:color="auto" w:fill="auto"/>
            <w:vAlign w:val="center"/>
            <w:hideMark/>
          </w:tcPr>
          <w:p w:rsidR="000A22AE" w:rsidRPr="00DA7E4C" w:rsidRDefault="000A22AE" w:rsidP="000A22AE">
            <w:pPr>
              <w:spacing w:before="0" w:after="0" w:line="240" w:lineRule="auto"/>
              <w:jc w:val="center"/>
              <w:rPr>
                <w:rFonts w:eastAsia="Times New Roman" w:cs="Times New Roman"/>
                <w:sz w:val="18"/>
                <w:szCs w:val="18"/>
              </w:rPr>
            </w:pPr>
            <w:r w:rsidRPr="00DA7E4C">
              <w:rPr>
                <w:rFonts w:eastAsia="Times New Roman" w:cs="Times New Roman"/>
                <w:sz w:val="18"/>
                <w:szCs w:val="18"/>
              </w:rPr>
              <w:t>AR</w:t>
            </w:r>
          </w:p>
        </w:tc>
        <w:tc>
          <w:tcPr>
            <w:tcW w:w="0" w:type="auto"/>
            <w:tcBorders>
              <w:top w:val="single" w:sz="8" w:space="0" w:color="auto"/>
              <w:left w:val="nil"/>
              <w:bottom w:val="single" w:sz="8" w:space="0" w:color="auto"/>
              <w:right w:val="single" w:sz="4" w:space="0" w:color="auto"/>
            </w:tcBorders>
            <w:shd w:val="clear" w:color="auto" w:fill="auto"/>
            <w:noWrap/>
            <w:vAlign w:val="center"/>
            <w:hideMark/>
          </w:tcPr>
          <w:p w:rsidR="000A22AE" w:rsidRPr="00DA7E4C" w:rsidRDefault="000A22AE" w:rsidP="000A22AE">
            <w:pPr>
              <w:spacing w:before="0" w:after="0" w:line="240" w:lineRule="auto"/>
              <w:jc w:val="center"/>
              <w:rPr>
                <w:rFonts w:eastAsia="Times New Roman" w:cs="Times New Roman"/>
                <w:sz w:val="18"/>
                <w:szCs w:val="18"/>
              </w:rPr>
            </w:pPr>
            <w:r w:rsidRPr="00DA7E4C">
              <w:rPr>
                <w:rFonts w:eastAsia="Times New Roman" w:cs="Times New Roman"/>
                <w:sz w:val="18"/>
                <w:szCs w:val="18"/>
              </w:rPr>
              <w:t>F Value</w:t>
            </w:r>
          </w:p>
        </w:tc>
        <w:tc>
          <w:tcPr>
            <w:tcW w:w="0" w:type="auto"/>
            <w:vMerge/>
            <w:tcBorders>
              <w:left w:val="single" w:sz="4" w:space="0" w:color="auto"/>
              <w:bottom w:val="single" w:sz="4" w:space="0" w:color="auto"/>
              <w:right w:val="single" w:sz="4" w:space="0" w:color="auto"/>
            </w:tcBorders>
            <w:shd w:val="clear" w:color="auto" w:fill="auto"/>
            <w:noWrap/>
            <w:vAlign w:val="center"/>
            <w:hideMark/>
          </w:tcPr>
          <w:p w:rsidR="000A22AE" w:rsidRPr="00DA7E4C" w:rsidRDefault="000A22AE" w:rsidP="000A22AE">
            <w:pPr>
              <w:spacing w:before="0" w:after="0" w:line="240" w:lineRule="auto"/>
              <w:jc w:val="center"/>
              <w:rPr>
                <w:rFonts w:eastAsia="Times New Roman" w:cs="Times New Roman"/>
                <w:sz w:val="18"/>
                <w:szCs w:val="18"/>
              </w:rPr>
            </w:pPr>
          </w:p>
        </w:tc>
        <w:tc>
          <w:tcPr>
            <w:tcW w:w="0" w:type="auto"/>
            <w:tcBorders>
              <w:top w:val="single" w:sz="8" w:space="0" w:color="auto"/>
              <w:left w:val="single" w:sz="4" w:space="0" w:color="auto"/>
              <w:bottom w:val="single" w:sz="8" w:space="0" w:color="auto"/>
              <w:right w:val="single" w:sz="8" w:space="0" w:color="auto"/>
            </w:tcBorders>
            <w:shd w:val="clear" w:color="auto" w:fill="auto"/>
            <w:noWrap/>
            <w:vAlign w:val="center"/>
            <w:hideMark/>
          </w:tcPr>
          <w:p w:rsidR="000A22AE" w:rsidRPr="00DA7E4C" w:rsidRDefault="000A22AE" w:rsidP="000A22AE">
            <w:pPr>
              <w:spacing w:before="0" w:after="0" w:line="240" w:lineRule="auto"/>
              <w:jc w:val="center"/>
              <w:rPr>
                <w:rFonts w:eastAsia="Times New Roman" w:cs="Times New Roman"/>
                <w:sz w:val="18"/>
                <w:szCs w:val="18"/>
              </w:rPr>
            </w:pPr>
            <w:r w:rsidRPr="00DA7E4C">
              <w:rPr>
                <w:rFonts w:eastAsia="Times New Roman" w:cs="Times New Roman"/>
                <w:sz w:val="18"/>
                <w:szCs w:val="18"/>
              </w:rPr>
              <w:t>DW</w:t>
            </w:r>
          </w:p>
        </w:tc>
        <w:tc>
          <w:tcPr>
            <w:tcW w:w="0" w:type="auto"/>
            <w:tcBorders>
              <w:top w:val="single" w:sz="8" w:space="0" w:color="auto"/>
              <w:left w:val="nil"/>
              <w:bottom w:val="single" w:sz="8" w:space="0" w:color="auto"/>
              <w:right w:val="single" w:sz="8" w:space="0" w:color="auto"/>
            </w:tcBorders>
            <w:shd w:val="clear" w:color="auto" w:fill="auto"/>
            <w:vAlign w:val="center"/>
            <w:hideMark/>
          </w:tcPr>
          <w:p w:rsidR="000A22AE" w:rsidRPr="00DA7E4C" w:rsidRDefault="000A22AE" w:rsidP="000A22AE">
            <w:pPr>
              <w:spacing w:before="0" w:after="0" w:line="240" w:lineRule="auto"/>
              <w:jc w:val="center"/>
              <w:rPr>
                <w:rFonts w:eastAsia="Times New Roman" w:cs="Times New Roman"/>
                <w:color w:val="000000"/>
                <w:sz w:val="18"/>
                <w:szCs w:val="18"/>
              </w:rPr>
            </w:pPr>
            <w:r w:rsidRPr="00DA7E4C">
              <w:rPr>
                <w:rFonts w:eastAsia="Times New Roman" w:cs="Times New Roman"/>
                <w:color w:val="000000"/>
                <w:sz w:val="18"/>
                <w:szCs w:val="18"/>
              </w:rPr>
              <w:t>Akaike</w:t>
            </w:r>
          </w:p>
        </w:tc>
      </w:tr>
      <w:tr w:rsidR="000A22AE" w:rsidRPr="00DA7E4C" w:rsidTr="000A22AE">
        <w:trPr>
          <w:trHeight w:val="240"/>
        </w:trPr>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center"/>
              <w:rPr>
                <w:rFonts w:eastAsia="Times New Roman" w:cs="Times New Roman"/>
                <w:sz w:val="18"/>
                <w:szCs w:val="18"/>
              </w:rPr>
            </w:pPr>
            <w:r w:rsidRPr="00DA7E4C">
              <w:rPr>
                <w:rFonts w:eastAsia="Times New Roman" w:cs="Times New Roman"/>
                <w:sz w:val="18"/>
                <w:szCs w:val="18"/>
              </w:rPr>
              <w:t>1</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138.687</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27.391</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48.247</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53.210</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35.678</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1.791</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7.630</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-5.411</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9.421</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-38.694</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0.599</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90.498</w:t>
            </w:r>
          </w:p>
        </w:tc>
        <w:tc>
          <w:tcPr>
            <w:tcW w:w="0" w:type="auto"/>
            <w:tcBorders>
              <w:top w:val="single" w:sz="4" w:space="0" w:color="auto"/>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0.864</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1.527</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18.438</w:t>
            </w:r>
          </w:p>
        </w:tc>
      </w:tr>
      <w:tr w:rsidR="000A22AE" w:rsidRPr="00DA7E4C" w:rsidTr="000A22AE">
        <w:trPr>
          <w:trHeight w:val="240"/>
        </w:trPr>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center"/>
              <w:rPr>
                <w:rFonts w:eastAsia="Times New Roman" w:cs="Times New Roman"/>
                <w:b/>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b/>
                <w:color w:val="000000"/>
                <w:sz w:val="18"/>
                <w:szCs w:val="18"/>
              </w:rPr>
            </w:pPr>
            <w:r w:rsidRPr="00DA7E4C">
              <w:rPr>
                <w:rFonts w:eastAsia="Times New Roman" w:cs="Times New Roman"/>
                <w:b/>
                <w:color w:val="000000"/>
                <w:sz w:val="18"/>
                <w:szCs w:val="18"/>
              </w:rPr>
              <w:t>0.771</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b/>
                <w:color w:val="000000"/>
                <w:sz w:val="18"/>
                <w:szCs w:val="18"/>
              </w:rPr>
            </w:pPr>
            <w:r w:rsidRPr="00DA7E4C">
              <w:rPr>
                <w:rFonts w:eastAsia="Times New Roman" w:cs="Times New Roman"/>
                <w:b/>
                <w:color w:val="000000"/>
                <w:sz w:val="18"/>
                <w:szCs w:val="18"/>
              </w:rPr>
              <w:t>0.011</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b/>
                <w:color w:val="000000"/>
                <w:sz w:val="18"/>
                <w:szCs w:val="18"/>
              </w:rPr>
            </w:pPr>
            <w:r w:rsidRPr="00DA7E4C">
              <w:rPr>
                <w:rFonts w:eastAsia="Times New Roman" w:cs="Times New Roman"/>
                <w:b/>
                <w:color w:val="000000"/>
                <w:sz w:val="18"/>
                <w:szCs w:val="18"/>
              </w:rPr>
              <w:t>0.000</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b/>
                <w:color w:val="000000"/>
                <w:sz w:val="18"/>
                <w:szCs w:val="18"/>
              </w:rPr>
            </w:pPr>
            <w:r w:rsidRPr="00DA7E4C">
              <w:rPr>
                <w:rFonts w:eastAsia="Times New Roman" w:cs="Times New Roman"/>
                <w:b/>
                <w:color w:val="000000"/>
                <w:sz w:val="18"/>
                <w:szCs w:val="18"/>
              </w:rPr>
              <w:t>0.000</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b/>
                <w:color w:val="000000"/>
                <w:sz w:val="18"/>
                <w:szCs w:val="18"/>
              </w:rPr>
            </w:pPr>
            <w:r w:rsidRPr="00DA7E4C">
              <w:rPr>
                <w:rFonts w:eastAsia="Times New Roman" w:cs="Times New Roman"/>
                <w:b/>
                <w:color w:val="000000"/>
                <w:sz w:val="18"/>
                <w:szCs w:val="18"/>
              </w:rPr>
              <w:t>0.002</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b/>
                <w:color w:val="000000"/>
                <w:sz w:val="18"/>
                <w:szCs w:val="18"/>
              </w:rPr>
            </w:pPr>
            <w:r w:rsidRPr="00DA7E4C">
              <w:rPr>
                <w:rFonts w:eastAsia="Times New Roman" w:cs="Times New Roman"/>
                <w:b/>
                <w:color w:val="000000"/>
                <w:sz w:val="18"/>
                <w:szCs w:val="18"/>
              </w:rPr>
              <w:t>0.871</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b/>
                <w:color w:val="000000"/>
                <w:sz w:val="18"/>
                <w:szCs w:val="18"/>
              </w:rPr>
            </w:pPr>
            <w:r w:rsidRPr="00DA7E4C">
              <w:rPr>
                <w:rFonts w:eastAsia="Times New Roman" w:cs="Times New Roman"/>
                <w:b/>
                <w:color w:val="000000"/>
                <w:sz w:val="18"/>
                <w:szCs w:val="18"/>
              </w:rPr>
              <w:t>0.493</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b/>
                <w:color w:val="000000"/>
                <w:sz w:val="18"/>
                <w:szCs w:val="18"/>
              </w:rPr>
            </w:pPr>
            <w:r w:rsidRPr="00DA7E4C">
              <w:rPr>
                <w:rFonts w:eastAsia="Times New Roman" w:cs="Times New Roman"/>
                <w:b/>
                <w:color w:val="000000"/>
                <w:sz w:val="18"/>
                <w:szCs w:val="18"/>
              </w:rPr>
              <w:t>0.625</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b/>
                <w:color w:val="000000"/>
                <w:sz w:val="18"/>
                <w:szCs w:val="18"/>
              </w:rPr>
            </w:pPr>
            <w:r w:rsidRPr="00DA7E4C">
              <w:rPr>
                <w:rFonts w:eastAsia="Times New Roman" w:cs="Times New Roman"/>
                <w:b/>
                <w:color w:val="000000"/>
                <w:sz w:val="18"/>
                <w:szCs w:val="18"/>
              </w:rPr>
              <w:t>0.405</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b/>
                <w:color w:val="000000"/>
                <w:sz w:val="18"/>
                <w:szCs w:val="18"/>
              </w:rPr>
            </w:pPr>
            <w:r w:rsidRPr="00DA7E4C">
              <w:rPr>
                <w:rFonts w:eastAsia="Times New Roman" w:cs="Times New Roman"/>
                <w:b/>
                <w:color w:val="000000"/>
                <w:sz w:val="18"/>
                <w:szCs w:val="18"/>
              </w:rPr>
              <w:t>0.001</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b/>
                <w:color w:val="000000"/>
                <w:sz w:val="18"/>
                <w:szCs w:val="18"/>
              </w:rPr>
            </w:pPr>
            <w:r w:rsidRPr="00DA7E4C">
              <w:rPr>
                <w:rFonts w:eastAsia="Times New Roman" w:cs="Times New Roman"/>
                <w:b/>
                <w:color w:val="000000"/>
                <w:sz w:val="18"/>
                <w:szCs w:val="18"/>
              </w:rPr>
              <w:t>0.000</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b/>
                <w:color w:val="000000"/>
                <w:sz w:val="18"/>
                <w:szCs w:val="18"/>
              </w:rPr>
            </w:pPr>
            <w:r w:rsidRPr="00DA7E4C">
              <w:rPr>
                <w:rFonts w:eastAsia="Times New Roman" w:cs="Times New Roman"/>
                <w:b/>
                <w:color w:val="000000"/>
                <w:sz w:val="18"/>
                <w:szCs w:val="18"/>
              </w:rPr>
              <w:t>0.000</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b/>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b/>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b/>
                <w:color w:val="000000"/>
                <w:sz w:val="18"/>
                <w:szCs w:val="18"/>
              </w:rPr>
            </w:pPr>
          </w:p>
        </w:tc>
      </w:tr>
      <w:tr w:rsidR="000A22AE" w:rsidRPr="00DA7E4C" w:rsidTr="000A22AE">
        <w:trPr>
          <w:trHeight w:val="240"/>
        </w:trPr>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center"/>
              <w:rPr>
                <w:rFonts w:eastAsia="Times New Roman" w:cs="Times New Roman"/>
                <w:sz w:val="18"/>
                <w:szCs w:val="18"/>
              </w:rPr>
            </w:pPr>
            <w:r w:rsidRPr="00DA7E4C">
              <w:rPr>
                <w:rFonts w:eastAsia="Times New Roman" w:cs="Times New Roman"/>
                <w:sz w:val="18"/>
                <w:szCs w:val="18"/>
              </w:rPr>
              <w:t>2</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-18.269</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63.361</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0.767</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213.544</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0.729</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1.173</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18.969</w:t>
            </w:r>
          </w:p>
        </w:tc>
      </w:tr>
      <w:tr w:rsidR="000A22AE" w:rsidRPr="00DA7E4C" w:rsidTr="000A22AE">
        <w:trPr>
          <w:trHeight w:val="240"/>
        </w:trPr>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center"/>
              <w:rPr>
                <w:rFonts w:eastAsia="Times New Roman" w:cs="Times New Roman"/>
                <w:b/>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b/>
                <w:color w:val="000000"/>
                <w:sz w:val="18"/>
                <w:szCs w:val="18"/>
              </w:rPr>
            </w:pPr>
            <w:r w:rsidRPr="00DA7E4C">
              <w:rPr>
                <w:rFonts w:eastAsia="Times New Roman" w:cs="Times New Roman"/>
                <w:b/>
                <w:color w:val="000000"/>
                <w:sz w:val="18"/>
                <w:szCs w:val="18"/>
              </w:rPr>
              <w:t>0.986</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b/>
                <w:color w:val="000000"/>
                <w:sz w:val="18"/>
                <w:szCs w:val="18"/>
              </w:rPr>
            </w:pPr>
            <w:r w:rsidRPr="00DA7E4C">
              <w:rPr>
                <w:rFonts w:eastAsia="Times New Roman" w:cs="Times New Roman"/>
                <w:b/>
                <w:color w:val="000000"/>
                <w:sz w:val="18"/>
                <w:szCs w:val="18"/>
              </w:rPr>
              <w:t>0.000</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b/>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b/>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b/>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b/>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b/>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b/>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b/>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b/>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b/>
                <w:color w:val="000000"/>
                <w:sz w:val="18"/>
                <w:szCs w:val="18"/>
              </w:rPr>
            </w:pPr>
            <w:r w:rsidRPr="00DA7E4C">
              <w:rPr>
                <w:rFonts w:eastAsia="Times New Roman" w:cs="Times New Roman"/>
                <w:b/>
                <w:color w:val="000000"/>
                <w:sz w:val="18"/>
                <w:szCs w:val="18"/>
              </w:rPr>
              <w:t>0.000</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b/>
                <w:color w:val="000000"/>
                <w:sz w:val="18"/>
                <w:szCs w:val="18"/>
              </w:rPr>
            </w:pPr>
            <w:r w:rsidRPr="00DA7E4C">
              <w:rPr>
                <w:rFonts w:eastAsia="Times New Roman" w:cs="Times New Roman"/>
                <w:b/>
                <w:color w:val="000000"/>
                <w:sz w:val="18"/>
                <w:szCs w:val="18"/>
              </w:rPr>
              <w:t>0.000</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b/>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b/>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b/>
                <w:color w:val="000000"/>
                <w:sz w:val="18"/>
                <w:szCs w:val="18"/>
              </w:rPr>
            </w:pPr>
          </w:p>
        </w:tc>
      </w:tr>
      <w:tr w:rsidR="000A22AE" w:rsidRPr="00DA7E4C" w:rsidTr="000A22AE">
        <w:trPr>
          <w:trHeight w:val="240"/>
        </w:trPr>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center"/>
              <w:rPr>
                <w:rFonts w:eastAsia="Times New Roman" w:cs="Times New Roman"/>
                <w:sz w:val="18"/>
                <w:szCs w:val="18"/>
              </w:rPr>
            </w:pPr>
            <w:r w:rsidRPr="00DA7E4C">
              <w:rPr>
                <w:rFonts w:eastAsia="Times New Roman" w:cs="Times New Roman"/>
                <w:sz w:val="18"/>
                <w:szCs w:val="18"/>
              </w:rPr>
              <w:t>3</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86.541</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97.362</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0.631</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256.754</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0.765</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1.690</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18.833</w:t>
            </w:r>
          </w:p>
        </w:tc>
      </w:tr>
      <w:tr w:rsidR="000A22AE" w:rsidRPr="00DA7E4C" w:rsidTr="000A22AE">
        <w:trPr>
          <w:trHeight w:val="240"/>
        </w:trPr>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center"/>
              <w:rPr>
                <w:rFonts w:eastAsia="Times New Roman" w:cs="Times New Roman"/>
                <w:b/>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b/>
                <w:color w:val="000000"/>
                <w:sz w:val="18"/>
                <w:szCs w:val="18"/>
              </w:rPr>
            </w:pPr>
            <w:r w:rsidRPr="00DA7E4C">
              <w:rPr>
                <w:rFonts w:eastAsia="Times New Roman" w:cs="Times New Roman"/>
                <w:b/>
                <w:color w:val="000000"/>
                <w:sz w:val="18"/>
                <w:szCs w:val="18"/>
              </w:rPr>
              <w:t>0.891</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b/>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b/>
                <w:color w:val="000000"/>
                <w:sz w:val="18"/>
                <w:szCs w:val="18"/>
              </w:rPr>
            </w:pPr>
            <w:r w:rsidRPr="00DA7E4C">
              <w:rPr>
                <w:rFonts w:eastAsia="Times New Roman" w:cs="Times New Roman"/>
                <w:b/>
                <w:color w:val="000000"/>
                <w:sz w:val="18"/>
                <w:szCs w:val="18"/>
              </w:rPr>
              <w:t>0.000</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b/>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b/>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b/>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b/>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b/>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b/>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b/>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b/>
                <w:color w:val="000000"/>
                <w:sz w:val="18"/>
                <w:szCs w:val="18"/>
              </w:rPr>
            </w:pPr>
            <w:r w:rsidRPr="00DA7E4C">
              <w:rPr>
                <w:rFonts w:eastAsia="Times New Roman" w:cs="Times New Roman"/>
                <w:b/>
                <w:color w:val="000000"/>
                <w:sz w:val="18"/>
                <w:szCs w:val="18"/>
              </w:rPr>
              <w:t>0.000</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b/>
                <w:color w:val="000000"/>
                <w:sz w:val="18"/>
                <w:szCs w:val="18"/>
              </w:rPr>
            </w:pPr>
            <w:r w:rsidRPr="00DA7E4C">
              <w:rPr>
                <w:rFonts w:eastAsia="Times New Roman" w:cs="Times New Roman"/>
                <w:b/>
                <w:color w:val="000000"/>
                <w:sz w:val="18"/>
                <w:szCs w:val="18"/>
              </w:rPr>
              <w:t>0.000</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b/>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b/>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b/>
                <w:color w:val="000000"/>
                <w:sz w:val="18"/>
                <w:szCs w:val="18"/>
              </w:rPr>
            </w:pPr>
          </w:p>
        </w:tc>
      </w:tr>
      <w:tr w:rsidR="000A22AE" w:rsidRPr="00DA7E4C" w:rsidTr="000A22AE">
        <w:trPr>
          <w:trHeight w:val="240"/>
        </w:trPr>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center"/>
              <w:rPr>
                <w:rFonts w:eastAsia="Times New Roman" w:cs="Times New Roman"/>
                <w:sz w:val="18"/>
                <w:szCs w:val="18"/>
              </w:rPr>
            </w:pPr>
            <w:r w:rsidRPr="00DA7E4C">
              <w:rPr>
                <w:rFonts w:eastAsia="Times New Roman" w:cs="Times New Roman"/>
                <w:sz w:val="18"/>
                <w:szCs w:val="18"/>
              </w:rPr>
              <w:t>4</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8.323</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111.209</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0.551</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272.945</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0.777</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1.752</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18.787</w:t>
            </w:r>
          </w:p>
        </w:tc>
      </w:tr>
      <w:tr w:rsidR="000A22AE" w:rsidRPr="00DA7E4C" w:rsidTr="000A22AE">
        <w:trPr>
          <w:trHeight w:val="240"/>
        </w:trPr>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center"/>
              <w:rPr>
                <w:rFonts w:eastAsia="Times New Roman" w:cs="Times New Roman"/>
                <w:b/>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b/>
                <w:color w:val="000000"/>
                <w:sz w:val="18"/>
                <w:szCs w:val="18"/>
              </w:rPr>
            </w:pPr>
            <w:r w:rsidRPr="00DA7E4C">
              <w:rPr>
                <w:rFonts w:eastAsia="Times New Roman" w:cs="Times New Roman"/>
                <w:b/>
                <w:color w:val="000000"/>
                <w:sz w:val="18"/>
                <w:szCs w:val="18"/>
              </w:rPr>
              <w:t>0.987</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b/>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b/>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b/>
                <w:color w:val="000000"/>
                <w:sz w:val="18"/>
                <w:szCs w:val="18"/>
              </w:rPr>
            </w:pPr>
            <w:r w:rsidRPr="00DA7E4C">
              <w:rPr>
                <w:rFonts w:eastAsia="Times New Roman" w:cs="Times New Roman"/>
                <w:b/>
                <w:color w:val="000000"/>
                <w:sz w:val="18"/>
                <w:szCs w:val="18"/>
              </w:rPr>
              <w:t>0.000</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b/>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b/>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b/>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b/>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b/>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b/>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b/>
                <w:color w:val="000000"/>
                <w:sz w:val="18"/>
                <w:szCs w:val="18"/>
              </w:rPr>
            </w:pPr>
            <w:r w:rsidRPr="00DA7E4C">
              <w:rPr>
                <w:rFonts w:eastAsia="Times New Roman" w:cs="Times New Roman"/>
                <w:b/>
                <w:color w:val="000000"/>
                <w:sz w:val="18"/>
                <w:szCs w:val="18"/>
              </w:rPr>
              <w:t>0.000</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b/>
                <w:color w:val="000000"/>
                <w:sz w:val="18"/>
                <w:szCs w:val="18"/>
              </w:rPr>
            </w:pPr>
            <w:r w:rsidRPr="00DA7E4C">
              <w:rPr>
                <w:rFonts w:eastAsia="Times New Roman" w:cs="Times New Roman"/>
                <w:b/>
                <w:color w:val="000000"/>
                <w:sz w:val="18"/>
                <w:szCs w:val="18"/>
              </w:rPr>
              <w:t>0.000</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b/>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b/>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b/>
                <w:color w:val="000000"/>
                <w:sz w:val="18"/>
                <w:szCs w:val="18"/>
              </w:rPr>
            </w:pPr>
          </w:p>
        </w:tc>
      </w:tr>
      <w:tr w:rsidR="000A22AE" w:rsidRPr="00DA7E4C" w:rsidTr="000A22AE">
        <w:trPr>
          <w:trHeight w:val="240"/>
        </w:trPr>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center"/>
              <w:rPr>
                <w:rFonts w:eastAsia="Times New Roman" w:cs="Times New Roman"/>
                <w:sz w:val="18"/>
                <w:szCs w:val="18"/>
              </w:rPr>
            </w:pPr>
            <w:r w:rsidRPr="00DA7E4C">
              <w:rPr>
                <w:rFonts w:eastAsia="Times New Roman" w:cs="Times New Roman"/>
                <w:sz w:val="18"/>
                <w:szCs w:val="18"/>
              </w:rPr>
              <w:t>5</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-21.811</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76.035</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0.719</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221.256</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0.739</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1.405</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18.948</w:t>
            </w:r>
          </w:p>
        </w:tc>
      </w:tr>
      <w:tr w:rsidR="000A22AE" w:rsidRPr="00DA7E4C" w:rsidTr="000A22AE">
        <w:trPr>
          <w:trHeight w:val="240"/>
        </w:trPr>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center"/>
              <w:rPr>
                <w:rFonts w:eastAsia="Times New Roman" w:cs="Times New Roman"/>
                <w:b/>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b/>
                <w:color w:val="000000"/>
                <w:sz w:val="18"/>
                <w:szCs w:val="18"/>
              </w:rPr>
            </w:pPr>
            <w:r w:rsidRPr="00DA7E4C">
              <w:rPr>
                <w:rFonts w:eastAsia="Times New Roman" w:cs="Times New Roman"/>
                <w:b/>
                <w:color w:val="000000"/>
                <w:sz w:val="18"/>
                <w:szCs w:val="18"/>
              </w:rPr>
              <w:t>0.980</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b/>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b/>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b/>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b/>
                <w:color w:val="000000"/>
                <w:sz w:val="18"/>
                <w:szCs w:val="18"/>
              </w:rPr>
            </w:pPr>
            <w:r w:rsidRPr="00DA7E4C">
              <w:rPr>
                <w:rFonts w:eastAsia="Times New Roman" w:cs="Times New Roman"/>
                <w:b/>
                <w:color w:val="000000"/>
                <w:sz w:val="18"/>
                <w:szCs w:val="18"/>
              </w:rPr>
              <w:t>0.000</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b/>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b/>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b/>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b/>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b/>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b/>
                <w:color w:val="000000"/>
                <w:sz w:val="18"/>
                <w:szCs w:val="18"/>
              </w:rPr>
            </w:pPr>
            <w:r w:rsidRPr="00DA7E4C">
              <w:rPr>
                <w:rFonts w:eastAsia="Times New Roman" w:cs="Times New Roman"/>
                <w:b/>
                <w:color w:val="000000"/>
                <w:sz w:val="18"/>
                <w:szCs w:val="18"/>
              </w:rPr>
              <w:t>0.000</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b/>
                <w:color w:val="000000"/>
                <w:sz w:val="18"/>
                <w:szCs w:val="18"/>
              </w:rPr>
            </w:pPr>
            <w:r w:rsidRPr="00DA7E4C">
              <w:rPr>
                <w:rFonts w:eastAsia="Times New Roman" w:cs="Times New Roman"/>
                <w:b/>
                <w:color w:val="000000"/>
                <w:sz w:val="18"/>
                <w:szCs w:val="18"/>
              </w:rPr>
              <w:t>0.000</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b/>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b/>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b/>
                <w:color w:val="000000"/>
                <w:sz w:val="18"/>
                <w:szCs w:val="18"/>
              </w:rPr>
            </w:pPr>
          </w:p>
        </w:tc>
      </w:tr>
      <w:tr w:rsidR="000A22AE" w:rsidRPr="00DA7E4C" w:rsidTr="000A22AE">
        <w:trPr>
          <w:trHeight w:val="240"/>
        </w:trPr>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center"/>
              <w:rPr>
                <w:rFonts w:eastAsia="Times New Roman" w:cs="Times New Roman"/>
                <w:sz w:val="18"/>
                <w:szCs w:val="18"/>
              </w:rPr>
            </w:pPr>
            <w:r w:rsidRPr="00DA7E4C">
              <w:rPr>
                <w:rFonts w:eastAsia="Times New Roman" w:cs="Times New Roman"/>
                <w:sz w:val="18"/>
                <w:szCs w:val="18"/>
              </w:rPr>
              <w:t>6</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-25.617</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25.234</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0.804</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174.987</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0.693</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1.224</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19.118</w:t>
            </w:r>
          </w:p>
        </w:tc>
      </w:tr>
      <w:tr w:rsidR="000A22AE" w:rsidRPr="00DA7E4C" w:rsidTr="000A22AE">
        <w:trPr>
          <w:trHeight w:val="240"/>
        </w:trPr>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center"/>
              <w:rPr>
                <w:rFonts w:eastAsia="Times New Roman" w:cs="Times New Roman"/>
                <w:b/>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b/>
                <w:color w:val="000000"/>
                <w:sz w:val="18"/>
                <w:szCs w:val="18"/>
              </w:rPr>
            </w:pPr>
            <w:r w:rsidRPr="00DA7E4C">
              <w:rPr>
                <w:rFonts w:eastAsia="Times New Roman" w:cs="Times New Roman"/>
                <w:b/>
                <w:color w:val="000000"/>
                <w:sz w:val="18"/>
                <w:szCs w:val="18"/>
              </w:rPr>
              <w:t>0.985</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b/>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b/>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b/>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b/>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b/>
                <w:color w:val="000000"/>
                <w:sz w:val="18"/>
                <w:szCs w:val="18"/>
              </w:rPr>
            </w:pPr>
            <w:r w:rsidRPr="00DA7E4C">
              <w:rPr>
                <w:rFonts w:eastAsia="Times New Roman" w:cs="Times New Roman"/>
                <w:b/>
                <w:color w:val="000000"/>
                <w:sz w:val="18"/>
                <w:szCs w:val="18"/>
              </w:rPr>
              <w:t>0.153</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b/>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b/>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b/>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b/>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b/>
                <w:color w:val="000000"/>
                <w:sz w:val="18"/>
                <w:szCs w:val="18"/>
              </w:rPr>
            </w:pPr>
            <w:r w:rsidRPr="00DA7E4C">
              <w:rPr>
                <w:rFonts w:eastAsia="Times New Roman" w:cs="Times New Roman"/>
                <w:b/>
                <w:color w:val="000000"/>
                <w:sz w:val="18"/>
                <w:szCs w:val="18"/>
              </w:rPr>
              <w:t>0.000</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b/>
                <w:color w:val="000000"/>
                <w:sz w:val="18"/>
                <w:szCs w:val="18"/>
              </w:rPr>
            </w:pPr>
            <w:r w:rsidRPr="00DA7E4C">
              <w:rPr>
                <w:rFonts w:eastAsia="Times New Roman" w:cs="Times New Roman"/>
                <w:b/>
                <w:color w:val="000000"/>
                <w:sz w:val="18"/>
                <w:szCs w:val="18"/>
              </w:rPr>
              <w:t>0.000</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b/>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b/>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b/>
                <w:color w:val="000000"/>
                <w:sz w:val="18"/>
                <w:szCs w:val="18"/>
              </w:rPr>
            </w:pPr>
          </w:p>
        </w:tc>
      </w:tr>
      <w:tr w:rsidR="000A22AE" w:rsidRPr="00DA7E4C" w:rsidTr="000A22AE">
        <w:trPr>
          <w:trHeight w:val="240"/>
        </w:trPr>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center"/>
              <w:rPr>
                <w:rFonts w:eastAsia="Times New Roman" w:cs="Times New Roman"/>
                <w:sz w:val="18"/>
                <w:szCs w:val="18"/>
              </w:rPr>
            </w:pPr>
            <w:r w:rsidRPr="00DA7E4C">
              <w:rPr>
                <w:rFonts w:eastAsia="Times New Roman" w:cs="Times New Roman"/>
                <w:sz w:val="18"/>
                <w:szCs w:val="18"/>
              </w:rPr>
              <w:t>7</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-58.897</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3.959</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0.827</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169.169</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0.687</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1.159</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19.144</w:t>
            </w:r>
          </w:p>
        </w:tc>
      </w:tr>
      <w:tr w:rsidR="000A22AE" w:rsidRPr="00DA7E4C" w:rsidTr="000A22AE">
        <w:trPr>
          <w:trHeight w:val="240"/>
        </w:trPr>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center"/>
              <w:rPr>
                <w:rFonts w:eastAsia="Times New Roman" w:cs="Times New Roman"/>
                <w:b/>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b/>
                <w:color w:val="000000"/>
                <w:sz w:val="18"/>
                <w:szCs w:val="18"/>
              </w:rPr>
            </w:pPr>
            <w:r w:rsidRPr="00DA7E4C">
              <w:rPr>
                <w:rFonts w:eastAsia="Times New Roman" w:cs="Times New Roman"/>
                <w:b/>
                <w:color w:val="000000"/>
                <w:sz w:val="18"/>
                <w:szCs w:val="18"/>
              </w:rPr>
              <w:t>0.971</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b/>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b/>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b/>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b/>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b/>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b/>
                <w:color w:val="000000"/>
                <w:sz w:val="18"/>
                <w:szCs w:val="18"/>
              </w:rPr>
            </w:pPr>
            <w:r w:rsidRPr="00DA7E4C">
              <w:rPr>
                <w:rFonts w:eastAsia="Times New Roman" w:cs="Times New Roman"/>
                <w:b/>
                <w:color w:val="000000"/>
                <w:sz w:val="18"/>
                <w:szCs w:val="18"/>
              </w:rPr>
              <w:t>0.815</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b/>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b/>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b/>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b/>
                <w:color w:val="000000"/>
                <w:sz w:val="18"/>
                <w:szCs w:val="18"/>
              </w:rPr>
            </w:pPr>
            <w:r w:rsidRPr="00DA7E4C">
              <w:rPr>
                <w:rFonts w:eastAsia="Times New Roman" w:cs="Times New Roman"/>
                <w:b/>
                <w:color w:val="000000"/>
                <w:sz w:val="18"/>
                <w:szCs w:val="18"/>
              </w:rPr>
              <w:t>0.000</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b/>
                <w:color w:val="000000"/>
                <w:sz w:val="18"/>
                <w:szCs w:val="18"/>
              </w:rPr>
            </w:pPr>
            <w:r w:rsidRPr="00DA7E4C">
              <w:rPr>
                <w:rFonts w:eastAsia="Times New Roman" w:cs="Times New Roman"/>
                <w:b/>
                <w:color w:val="000000"/>
                <w:sz w:val="18"/>
                <w:szCs w:val="18"/>
              </w:rPr>
              <w:t>0.000</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b/>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b/>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b/>
                <w:color w:val="000000"/>
                <w:sz w:val="18"/>
                <w:szCs w:val="18"/>
              </w:rPr>
            </w:pPr>
          </w:p>
        </w:tc>
      </w:tr>
      <w:tr w:rsidR="000A22AE" w:rsidRPr="00DA7E4C" w:rsidTr="000A22AE">
        <w:trPr>
          <w:trHeight w:val="240"/>
        </w:trPr>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center"/>
              <w:rPr>
                <w:rFonts w:eastAsia="Times New Roman" w:cs="Times New Roman"/>
                <w:sz w:val="18"/>
                <w:szCs w:val="18"/>
              </w:rPr>
            </w:pPr>
            <w:r w:rsidRPr="00DA7E4C">
              <w:rPr>
                <w:rFonts w:eastAsia="Times New Roman" w:cs="Times New Roman"/>
                <w:sz w:val="18"/>
                <w:szCs w:val="18"/>
              </w:rPr>
              <w:t>8</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-135.404</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-21.434</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0.839</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171.594</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0.692</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1.174</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19.136</w:t>
            </w:r>
          </w:p>
        </w:tc>
      </w:tr>
      <w:tr w:rsidR="000A22AE" w:rsidRPr="00DA7E4C" w:rsidTr="000A22AE">
        <w:trPr>
          <w:trHeight w:val="240"/>
        </w:trPr>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center"/>
              <w:rPr>
                <w:rFonts w:eastAsia="Times New Roman" w:cs="Times New Roman"/>
                <w:b/>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b/>
                <w:color w:val="000000"/>
                <w:sz w:val="18"/>
                <w:szCs w:val="18"/>
              </w:rPr>
            </w:pPr>
            <w:r w:rsidRPr="00DA7E4C">
              <w:rPr>
                <w:rFonts w:eastAsia="Times New Roman" w:cs="Times New Roman"/>
                <w:b/>
                <w:color w:val="000000"/>
                <w:sz w:val="18"/>
                <w:szCs w:val="18"/>
              </w:rPr>
              <w:t>0.937</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b/>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b/>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b/>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b/>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b/>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b/>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b/>
                <w:color w:val="000000"/>
                <w:sz w:val="18"/>
                <w:szCs w:val="18"/>
              </w:rPr>
            </w:pPr>
            <w:r w:rsidRPr="00DA7E4C">
              <w:rPr>
                <w:rFonts w:eastAsia="Times New Roman" w:cs="Times New Roman"/>
                <w:b/>
                <w:color w:val="000000"/>
                <w:sz w:val="18"/>
                <w:szCs w:val="18"/>
              </w:rPr>
              <w:t>0.182</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b/>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b/>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b/>
                <w:color w:val="000000"/>
                <w:sz w:val="18"/>
                <w:szCs w:val="18"/>
              </w:rPr>
            </w:pPr>
            <w:r w:rsidRPr="00DA7E4C">
              <w:rPr>
                <w:rFonts w:eastAsia="Times New Roman" w:cs="Times New Roman"/>
                <w:b/>
                <w:color w:val="000000"/>
                <w:sz w:val="18"/>
                <w:szCs w:val="18"/>
              </w:rPr>
              <w:t>0.000</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b/>
                <w:color w:val="000000"/>
                <w:sz w:val="18"/>
                <w:szCs w:val="18"/>
              </w:rPr>
            </w:pPr>
            <w:r w:rsidRPr="00DA7E4C">
              <w:rPr>
                <w:rFonts w:eastAsia="Times New Roman" w:cs="Times New Roman"/>
                <w:b/>
                <w:color w:val="000000"/>
                <w:sz w:val="18"/>
                <w:szCs w:val="18"/>
              </w:rPr>
              <w:t>0.000</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b/>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b/>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b/>
                <w:color w:val="000000"/>
                <w:sz w:val="18"/>
                <w:szCs w:val="18"/>
              </w:rPr>
            </w:pPr>
          </w:p>
        </w:tc>
      </w:tr>
      <w:tr w:rsidR="000A22AE" w:rsidRPr="00DA7E4C" w:rsidTr="000A22AE">
        <w:trPr>
          <w:trHeight w:val="240"/>
        </w:trPr>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center"/>
              <w:rPr>
                <w:rFonts w:eastAsia="Times New Roman" w:cs="Times New Roman"/>
                <w:sz w:val="18"/>
                <w:szCs w:val="18"/>
              </w:rPr>
            </w:pPr>
            <w:r w:rsidRPr="00DA7E4C">
              <w:rPr>
                <w:rFonts w:eastAsia="Times New Roman" w:cs="Times New Roman"/>
                <w:sz w:val="18"/>
                <w:szCs w:val="18"/>
              </w:rPr>
              <w:t>9</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-79.762</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-18.813</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0.828</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169.570</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0.691</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1.239</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19.147</w:t>
            </w:r>
          </w:p>
        </w:tc>
      </w:tr>
      <w:tr w:rsidR="000A22AE" w:rsidRPr="00DA7E4C" w:rsidTr="000A22AE">
        <w:trPr>
          <w:trHeight w:val="240"/>
        </w:trPr>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center"/>
              <w:rPr>
                <w:rFonts w:eastAsia="Times New Roman" w:cs="Times New Roman"/>
                <w:b/>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b/>
                <w:color w:val="000000"/>
                <w:sz w:val="18"/>
                <w:szCs w:val="18"/>
              </w:rPr>
            </w:pPr>
            <w:r w:rsidRPr="00DA7E4C">
              <w:rPr>
                <w:rFonts w:eastAsia="Times New Roman" w:cs="Times New Roman"/>
                <w:b/>
                <w:color w:val="000000"/>
                <w:sz w:val="18"/>
                <w:szCs w:val="18"/>
              </w:rPr>
              <w:t>0.961</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b/>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b/>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b/>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b/>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b/>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b/>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b/>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b/>
                <w:color w:val="000000"/>
                <w:sz w:val="18"/>
                <w:szCs w:val="18"/>
              </w:rPr>
            </w:pPr>
            <w:r w:rsidRPr="00DA7E4C">
              <w:rPr>
                <w:rFonts w:eastAsia="Times New Roman" w:cs="Times New Roman"/>
                <w:b/>
                <w:color w:val="000000"/>
                <w:sz w:val="18"/>
                <w:szCs w:val="18"/>
              </w:rPr>
              <w:t>0.220</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b/>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b/>
                <w:color w:val="000000"/>
                <w:sz w:val="18"/>
                <w:szCs w:val="18"/>
              </w:rPr>
            </w:pPr>
            <w:r w:rsidRPr="00DA7E4C">
              <w:rPr>
                <w:rFonts w:eastAsia="Times New Roman" w:cs="Times New Roman"/>
                <w:b/>
                <w:color w:val="000000"/>
                <w:sz w:val="18"/>
                <w:szCs w:val="18"/>
              </w:rPr>
              <w:t>0.000</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b/>
                <w:color w:val="000000"/>
                <w:sz w:val="18"/>
                <w:szCs w:val="18"/>
              </w:rPr>
            </w:pPr>
            <w:r w:rsidRPr="00DA7E4C">
              <w:rPr>
                <w:rFonts w:eastAsia="Times New Roman" w:cs="Times New Roman"/>
                <w:b/>
                <w:color w:val="000000"/>
                <w:sz w:val="18"/>
                <w:szCs w:val="18"/>
              </w:rPr>
              <w:t>0.000</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b/>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b/>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b/>
                <w:color w:val="000000"/>
                <w:sz w:val="18"/>
                <w:szCs w:val="18"/>
              </w:rPr>
            </w:pPr>
          </w:p>
        </w:tc>
      </w:tr>
      <w:tr w:rsidR="000A22AE" w:rsidRPr="00DA7E4C" w:rsidTr="000A22AE">
        <w:trPr>
          <w:trHeight w:val="240"/>
        </w:trPr>
        <w:tc>
          <w:tcPr>
            <w:tcW w:w="0" w:type="auto"/>
            <w:tcBorders>
              <w:top w:val="nil"/>
              <w:left w:val="nil"/>
              <w:bottom w:val="nil"/>
              <w:right w:val="nil"/>
            </w:tcBorders>
            <w:shd w:val="clear" w:color="auto" w:fill="auto"/>
            <w:noWrap/>
            <w:vAlign w:val="center"/>
            <w:hideMark/>
          </w:tcPr>
          <w:p w:rsidR="000A22AE" w:rsidRPr="00DA7E4C" w:rsidRDefault="000A22AE" w:rsidP="000A22AE">
            <w:pPr>
              <w:spacing w:before="0" w:after="0" w:line="240" w:lineRule="auto"/>
              <w:jc w:val="center"/>
              <w:rPr>
                <w:rFonts w:eastAsia="Times New Roman" w:cs="Times New Roman"/>
                <w:color w:val="000000"/>
                <w:sz w:val="18"/>
                <w:szCs w:val="18"/>
              </w:rPr>
            </w:pPr>
            <w:r w:rsidRPr="00DA7E4C">
              <w:rPr>
                <w:rFonts w:eastAsia="Times New Roman" w:cs="Times New Roman"/>
                <w:color w:val="000000"/>
                <w:sz w:val="18"/>
                <w:szCs w:val="18"/>
              </w:rPr>
              <w:t>10</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20.133</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-60.530</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0.825</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195.173</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0.721</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1.224</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19.049</w:t>
            </w:r>
          </w:p>
        </w:tc>
      </w:tr>
      <w:tr w:rsidR="000A22AE" w:rsidRPr="00DA7E4C" w:rsidTr="000A22AE">
        <w:trPr>
          <w:trHeight w:val="240"/>
        </w:trPr>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b/>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b/>
                <w:color w:val="000000"/>
                <w:sz w:val="18"/>
                <w:szCs w:val="18"/>
              </w:rPr>
            </w:pPr>
            <w:r w:rsidRPr="00DA7E4C">
              <w:rPr>
                <w:rFonts w:eastAsia="Times New Roman" w:cs="Times New Roman"/>
                <w:b/>
                <w:color w:val="000000"/>
                <w:sz w:val="18"/>
                <w:szCs w:val="18"/>
              </w:rPr>
              <w:t>0.989</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b/>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b/>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b/>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b/>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b/>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b/>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b/>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b/>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b/>
                <w:color w:val="000000"/>
                <w:sz w:val="18"/>
                <w:szCs w:val="18"/>
              </w:rPr>
            </w:pPr>
            <w:r w:rsidRPr="00DA7E4C">
              <w:rPr>
                <w:rFonts w:eastAsia="Times New Roman" w:cs="Times New Roman"/>
                <w:b/>
                <w:color w:val="000000"/>
                <w:sz w:val="18"/>
                <w:szCs w:val="18"/>
              </w:rPr>
              <w:t>0.000</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b/>
                <w:color w:val="000000"/>
                <w:sz w:val="18"/>
                <w:szCs w:val="18"/>
              </w:rPr>
            </w:pPr>
            <w:r w:rsidRPr="00DA7E4C">
              <w:rPr>
                <w:rFonts w:eastAsia="Times New Roman" w:cs="Times New Roman"/>
                <w:b/>
                <w:color w:val="000000"/>
                <w:sz w:val="18"/>
                <w:szCs w:val="18"/>
              </w:rPr>
              <w:t>0.000</w:t>
            </w: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b/>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b/>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b/>
                <w:color w:val="000000"/>
                <w:sz w:val="18"/>
                <w:szCs w:val="18"/>
              </w:rPr>
            </w:pPr>
          </w:p>
        </w:tc>
        <w:tc>
          <w:tcPr>
            <w:tcW w:w="0" w:type="auto"/>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b/>
                <w:color w:val="000000"/>
                <w:sz w:val="18"/>
                <w:szCs w:val="18"/>
              </w:rPr>
            </w:pPr>
          </w:p>
        </w:tc>
      </w:tr>
    </w:tbl>
    <w:p w:rsidR="000A22AE" w:rsidRPr="00762161" w:rsidRDefault="000A22AE" w:rsidP="000A22AE">
      <w:pPr>
        <w:spacing w:before="0" w:after="0" w:line="240" w:lineRule="auto"/>
        <w:jc w:val="left"/>
      </w:pPr>
      <w:r w:rsidRPr="00762161">
        <w:br w:type="page"/>
      </w:r>
    </w:p>
    <w:p w:rsidR="000A22AE" w:rsidRPr="00762161" w:rsidRDefault="000A22AE" w:rsidP="000A22AE">
      <w:pPr>
        <w:pStyle w:val="Heading2"/>
      </w:pPr>
      <w:bookmarkStart w:id="366" w:name="_Toc282531645"/>
      <w:bookmarkStart w:id="367" w:name="_Toc286616344"/>
      <w:r w:rsidRPr="00762161">
        <w:t xml:space="preserve">Table </w:t>
      </w:r>
      <w:bookmarkEnd w:id="366"/>
      <w:r w:rsidRPr="00762161">
        <w:t xml:space="preserve">10: The Relationship between GDP and </w:t>
      </w:r>
      <w:r w:rsidR="00627488">
        <w:t>Real Stock Price</w:t>
      </w:r>
      <w:r w:rsidRPr="00762161">
        <w:t>s (Yearly 1970-1988)</w:t>
      </w:r>
      <w:bookmarkEnd w:id="367"/>
    </w:p>
    <w:tbl>
      <w:tblPr>
        <w:tblW w:w="10567" w:type="dxa"/>
        <w:tblInd w:w="93" w:type="dxa"/>
        <w:tblLook w:val="04A0"/>
      </w:tblPr>
      <w:tblGrid>
        <w:gridCol w:w="960"/>
        <w:gridCol w:w="967"/>
        <w:gridCol w:w="960"/>
        <w:gridCol w:w="960"/>
        <w:gridCol w:w="960"/>
        <w:gridCol w:w="960"/>
        <w:gridCol w:w="960"/>
        <w:gridCol w:w="960"/>
        <w:gridCol w:w="960"/>
        <w:gridCol w:w="960"/>
        <w:gridCol w:w="960"/>
      </w:tblGrid>
      <w:tr w:rsidR="000A22AE" w:rsidRPr="00DA7E4C" w:rsidTr="000A22AE">
        <w:trPr>
          <w:trHeight w:val="300"/>
        </w:trPr>
        <w:tc>
          <w:tcPr>
            <w:tcW w:w="1927" w:type="dxa"/>
            <w:gridSpan w:val="2"/>
            <w:tcBorders>
              <w:top w:val="single" w:sz="8" w:space="0" w:color="auto"/>
              <w:left w:val="single" w:sz="8" w:space="0" w:color="auto"/>
              <w:bottom w:val="single" w:sz="8" w:space="0" w:color="auto"/>
              <w:right w:val="nil"/>
            </w:tcBorders>
            <w:shd w:val="clear" w:color="auto" w:fill="auto"/>
            <w:noWrap/>
            <w:vAlign w:val="bottom"/>
            <w:hideMark/>
          </w:tcPr>
          <w:p w:rsidR="000A22AE" w:rsidRPr="00DA7E4C" w:rsidRDefault="000A22AE" w:rsidP="000A22AE">
            <w:pPr>
              <w:spacing w:before="0" w:after="0" w:line="240" w:lineRule="auto"/>
              <w:jc w:val="center"/>
              <w:rPr>
                <w:rFonts w:eastAsia="Times New Roman" w:cs="Times New Roman"/>
                <w:sz w:val="18"/>
                <w:szCs w:val="18"/>
              </w:rPr>
            </w:pPr>
            <w:r w:rsidRPr="00DA7E4C">
              <w:rPr>
                <w:rFonts w:eastAsia="Times New Roman" w:cs="Times New Roman"/>
                <w:sz w:val="18"/>
                <w:szCs w:val="18"/>
              </w:rPr>
              <w:t>Sample</w:t>
            </w:r>
          </w:p>
          <w:p w:rsidR="000A22AE" w:rsidRPr="00DA7E4C" w:rsidRDefault="000A22AE" w:rsidP="000A22AE">
            <w:pPr>
              <w:spacing w:before="0" w:after="0" w:line="240" w:lineRule="auto"/>
              <w:jc w:val="center"/>
              <w:rPr>
                <w:rFonts w:eastAsia="Times New Roman" w:cs="Times New Roman"/>
                <w:sz w:val="18"/>
                <w:szCs w:val="18"/>
              </w:rPr>
            </w:pPr>
            <w:r w:rsidRPr="00DA7E4C">
              <w:rPr>
                <w:rFonts w:eastAsia="Times New Roman" w:cs="Times New Roman"/>
                <w:sz w:val="18"/>
                <w:szCs w:val="18"/>
              </w:rPr>
              <w:t>1970-1988</w:t>
            </w:r>
          </w:p>
        </w:tc>
        <w:tc>
          <w:tcPr>
            <w:tcW w:w="3840" w:type="dxa"/>
            <w:gridSpan w:val="4"/>
            <w:tcBorders>
              <w:top w:val="single" w:sz="8" w:space="0" w:color="auto"/>
              <w:left w:val="single" w:sz="8" w:space="0" w:color="auto"/>
              <w:bottom w:val="nil"/>
              <w:right w:val="single" w:sz="8" w:space="0" w:color="000000"/>
            </w:tcBorders>
            <w:shd w:val="clear" w:color="auto" w:fill="auto"/>
            <w:vAlign w:val="bottom"/>
            <w:hideMark/>
          </w:tcPr>
          <w:p w:rsidR="000A22AE" w:rsidRPr="00DA7E4C" w:rsidRDefault="000A22AE" w:rsidP="000A22AE">
            <w:pPr>
              <w:spacing w:before="0" w:after="0" w:line="240" w:lineRule="auto"/>
              <w:jc w:val="center"/>
              <w:rPr>
                <w:rFonts w:ascii="Calibri" w:eastAsia="Times New Roman" w:hAnsi="Calibri" w:cs="Times New Roman"/>
                <w:color w:val="000000"/>
                <w:sz w:val="18"/>
                <w:szCs w:val="18"/>
              </w:rPr>
            </w:pPr>
            <w:r w:rsidRPr="00DA7E4C">
              <w:rPr>
                <w:rFonts w:ascii="Calibri" w:eastAsia="Times New Roman" w:hAnsi="Calibri" w:cs="Times New Roman"/>
                <w:color w:val="000000"/>
                <w:sz w:val="18"/>
                <w:szCs w:val="18"/>
              </w:rPr>
              <w:t xml:space="preserve">Real Stock </w:t>
            </w:r>
          </w:p>
        </w:tc>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ascii="Calibri" w:eastAsia="Times New Roman" w:hAnsi="Calibri" w:cs="Times New Roman"/>
                <w:color w:val="000000"/>
                <w:sz w:val="18"/>
                <w:szCs w:val="18"/>
              </w:rPr>
            </w:pPr>
          </w:p>
        </w:tc>
        <w:tc>
          <w:tcPr>
            <w:tcW w:w="960" w:type="dxa"/>
            <w:tcBorders>
              <w:top w:val="nil"/>
              <w:left w:val="nil"/>
              <w:bottom w:val="nil"/>
              <w:right w:val="single" w:sz="4" w:space="0" w:color="auto"/>
            </w:tcBorders>
            <w:shd w:val="clear" w:color="auto" w:fill="auto"/>
            <w:noWrap/>
            <w:vAlign w:val="bottom"/>
            <w:hideMark/>
          </w:tcPr>
          <w:p w:rsidR="000A22AE" w:rsidRPr="00DA7E4C" w:rsidRDefault="000A22AE" w:rsidP="000A22AE">
            <w:pPr>
              <w:spacing w:before="0" w:after="0" w:line="240" w:lineRule="auto"/>
              <w:jc w:val="left"/>
              <w:rPr>
                <w:rFonts w:ascii="Calibri" w:eastAsia="Times New Roman" w:hAnsi="Calibri" w:cs="Times New Roman"/>
                <w:color w:val="000000"/>
                <w:sz w:val="18"/>
                <w:szCs w:val="18"/>
              </w:rPr>
            </w:pPr>
          </w:p>
        </w:tc>
        <w:tc>
          <w:tcPr>
            <w:tcW w:w="960"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A22AE" w:rsidRPr="00DA7E4C" w:rsidRDefault="000A22AE" w:rsidP="000A22AE">
            <w:pPr>
              <w:spacing w:before="0" w:after="0" w:line="240" w:lineRule="auto"/>
              <w:jc w:val="center"/>
              <w:rPr>
                <w:rFonts w:eastAsia="Times New Roman" w:cs="Times New Roman"/>
                <w:sz w:val="18"/>
                <w:szCs w:val="18"/>
              </w:rPr>
            </w:pPr>
            <w:r w:rsidRPr="00DA7E4C">
              <w:rPr>
                <w:rFonts w:eastAsia="Times New Roman" w:cs="Times New Roman"/>
                <w:sz w:val="18"/>
                <w:szCs w:val="18"/>
              </w:rPr>
              <w:t>Adjusted</w:t>
            </w:r>
          </w:p>
          <w:p w:rsidR="000A22AE" w:rsidRPr="00DA7E4C" w:rsidRDefault="000A22AE" w:rsidP="000A22AE">
            <w:pPr>
              <w:spacing w:before="0" w:after="0" w:line="240" w:lineRule="auto"/>
              <w:jc w:val="center"/>
              <w:rPr>
                <w:rFonts w:eastAsia="Times New Roman" w:cs="Times New Roman"/>
                <w:color w:val="000000"/>
                <w:sz w:val="18"/>
                <w:szCs w:val="18"/>
              </w:rPr>
            </w:pPr>
            <w:r w:rsidRPr="00DA7E4C">
              <w:rPr>
                <w:rFonts w:eastAsia="Times New Roman" w:cs="Times New Roman"/>
                <w:sz w:val="18"/>
                <w:szCs w:val="18"/>
              </w:rPr>
              <w:t>R-square</w:t>
            </w:r>
          </w:p>
        </w:tc>
        <w:tc>
          <w:tcPr>
            <w:tcW w:w="960" w:type="dxa"/>
            <w:tcBorders>
              <w:top w:val="nil"/>
              <w:left w:val="single" w:sz="4" w:space="0" w:color="auto"/>
              <w:bottom w:val="nil"/>
              <w:right w:val="nil"/>
            </w:tcBorders>
            <w:shd w:val="clear" w:color="auto" w:fill="auto"/>
            <w:noWrap/>
            <w:vAlign w:val="bottom"/>
            <w:hideMark/>
          </w:tcPr>
          <w:p w:rsidR="000A22AE" w:rsidRPr="00DA7E4C" w:rsidRDefault="000A22AE" w:rsidP="000A22AE">
            <w:pPr>
              <w:spacing w:before="0" w:after="0" w:line="240" w:lineRule="auto"/>
              <w:jc w:val="left"/>
              <w:rPr>
                <w:rFonts w:ascii="Calibri" w:eastAsia="Times New Roman" w:hAnsi="Calibri" w:cs="Times New Roman"/>
                <w:color w:val="000000"/>
                <w:sz w:val="18"/>
                <w:szCs w:val="18"/>
              </w:rPr>
            </w:pPr>
          </w:p>
        </w:tc>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ascii="Calibri" w:eastAsia="Times New Roman" w:hAnsi="Calibri" w:cs="Times New Roman"/>
                <w:color w:val="000000"/>
                <w:sz w:val="18"/>
                <w:szCs w:val="18"/>
              </w:rPr>
            </w:pPr>
          </w:p>
        </w:tc>
      </w:tr>
      <w:tr w:rsidR="000A22AE" w:rsidRPr="00DA7E4C" w:rsidTr="000A22AE">
        <w:trPr>
          <w:trHeight w:val="315"/>
        </w:trPr>
        <w:tc>
          <w:tcPr>
            <w:tcW w:w="960" w:type="dxa"/>
            <w:tcBorders>
              <w:top w:val="nil"/>
              <w:left w:val="single" w:sz="8" w:space="0" w:color="auto"/>
              <w:bottom w:val="single" w:sz="8" w:space="0" w:color="auto"/>
              <w:right w:val="single" w:sz="8" w:space="0" w:color="auto"/>
            </w:tcBorders>
            <w:shd w:val="clear" w:color="auto" w:fill="auto"/>
            <w:noWrap/>
            <w:vAlign w:val="center"/>
            <w:hideMark/>
          </w:tcPr>
          <w:p w:rsidR="000A22AE" w:rsidRPr="00DA7E4C" w:rsidRDefault="000A22AE" w:rsidP="000A22AE">
            <w:pPr>
              <w:spacing w:before="0" w:after="0" w:line="240" w:lineRule="auto"/>
              <w:jc w:val="center"/>
              <w:rPr>
                <w:rFonts w:ascii="Arial" w:eastAsia="Times New Roman" w:hAnsi="Arial" w:cs="Arial"/>
                <w:sz w:val="18"/>
                <w:szCs w:val="18"/>
              </w:rPr>
            </w:pPr>
            <w:r w:rsidRPr="00DA7E4C">
              <w:rPr>
                <w:rFonts w:ascii="Arial" w:eastAsia="Times New Roman" w:hAnsi="Arial" w:cs="Arial"/>
                <w:sz w:val="18"/>
                <w:szCs w:val="18"/>
              </w:rPr>
              <w:t>No</w:t>
            </w:r>
          </w:p>
        </w:tc>
        <w:tc>
          <w:tcPr>
            <w:tcW w:w="967" w:type="dxa"/>
            <w:tcBorders>
              <w:top w:val="single" w:sz="8" w:space="0" w:color="auto"/>
              <w:left w:val="nil"/>
              <w:bottom w:val="single" w:sz="8" w:space="0" w:color="auto"/>
              <w:right w:val="single" w:sz="8" w:space="0" w:color="auto"/>
            </w:tcBorders>
            <w:shd w:val="clear" w:color="auto" w:fill="auto"/>
            <w:noWrap/>
            <w:vAlign w:val="center"/>
            <w:hideMark/>
          </w:tcPr>
          <w:p w:rsidR="000A22AE" w:rsidRPr="00DA7E4C" w:rsidRDefault="000A22AE" w:rsidP="000A22AE">
            <w:pPr>
              <w:spacing w:before="0" w:after="0" w:line="240" w:lineRule="auto"/>
              <w:jc w:val="center"/>
              <w:rPr>
                <w:rFonts w:ascii="Arial" w:eastAsia="Times New Roman" w:hAnsi="Arial" w:cs="Arial"/>
                <w:sz w:val="18"/>
                <w:szCs w:val="18"/>
              </w:rPr>
            </w:pPr>
            <w:r w:rsidRPr="00DA7E4C">
              <w:rPr>
                <w:rFonts w:ascii="Arial" w:eastAsia="Times New Roman" w:hAnsi="Arial" w:cs="Arial"/>
                <w:sz w:val="18"/>
                <w:szCs w:val="18"/>
              </w:rPr>
              <w:t>Intercept</w:t>
            </w:r>
          </w:p>
        </w:tc>
        <w:tc>
          <w:tcPr>
            <w:tcW w:w="960" w:type="dxa"/>
            <w:tcBorders>
              <w:top w:val="nil"/>
              <w:left w:val="nil"/>
              <w:bottom w:val="single" w:sz="8" w:space="0" w:color="auto"/>
              <w:right w:val="single" w:sz="8" w:space="0" w:color="auto"/>
            </w:tcBorders>
            <w:shd w:val="clear" w:color="auto" w:fill="auto"/>
            <w:vAlign w:val="center"/>
            <w:hideMark/>
          </w:tcPr>
          <w:p w:rsidR="000A22AE" w:rsidRPr="00DA7E4C" w:rsidRDefault="000A22AE" w:rsidP="000A22AE">
            <w:pPr>
              <w:spacing w:before="0" w:after="0" w:line="240" w:lineRule="auto"/>
              <w:jc w:val="center"/>
              <w:rPr>
                <w:rFonts w:ascii="Arial" w:eastAsia="Times New Roman" w:hAnsi="Arial" w:cs="Arial"/>
                <w:sz w:val="18"/>
                <w:szCs w:val="18"/>
              </w:rPr>
            </w:pPr>
            <w:r w:rsidRPr="00DA7E4C">
              <w:rPr>
                <w:rFonts w:ascii="Arial" w:eastAsia="Times New Roman" w:hAnsi="Arial" w:cs="Arial"/>
                <w:sz w:val="18"/>
                <w:szCs w:val="18"/>
              </w:rPr>
              <w:t>t</w:t>
            </w:r>
          </w:p>
        </w:tc>
        <w:tc>
          <w:tcPr>
            <w:tcW w:w="960" w:type="dxa"/>
            <w:tcBorders>
              <w:top w:val="nil"/>
              <w:left w:val="nil"/>
              <w:bottom w:val="single" w:sz="8" w:space="0" w:color="auto"/>
              <w:right w:val="single" w:sz="8" w:space="0" w:color="auto"/>
            </w:tcBorders>
            <w:shd w:val="clear" w:color="auto" w:fill="auto"/>
            <w:vAlign w:val="center"/>
            <w:hideMark/>
          </w:tcPr>
          <w:p w:rsidR="000A22AE" w:rsidRPr="00DA7E4C" w:rsidRDefault="000A22AE" w:rsidP="000A22AE">
            <w:pPr>
              <w:spacing w:before="0" w:after="0" w:line="240" w:lineRule="auto"/>
              <w:jc w:val="center"/>
              <w:rPr>
                <w:rFonts w:ascii="Arial" w:eastAsia="Times New Roman" w:hAnsi="Arial" w:cs="Arial"/>
                <w:sz w:val="18"/>
                <w:szCs w:val="18"/>
              </w:rPr>
            </w:pPr>
            <w:r w:rsidRPr="00DA7E4C">
              <w:rPr>
                <w:rFonts w:ascii="Arial" w:eastAsia="Times New Roman" w:hAnsi="Arial" w:cs="Arial"/>
                <w:sz w:val="18"/>
                <w:szCs w:val="18"/>
              </w:rPr>
              <w:t>t-1</w:t>
            </w:r>
          </w:p>
        </w:tc>
        <w:tc>
          <w:tcPr>
            <w:tcW w:w="960" w:type="dxa"/>
            <w:tcBorders>
              <w:top w:val="nil"/>
              <w:left w:val="nil"/>
              <w:bottom w:val="single" w:sz="8" w:space="0" w:color="auto"/>
              <w:right w:val="single" w:sz="8" w:space="0" w:color="auto"/>
            </w:tcBorders>
            <w:shd w:val="clear" w:color="auto" w:fill="auto"/>
            <w:vAlign w:val="center"/>
            <w:hideMark/>
          </w:tcPr>
          <w:p w:rsidR="000A22AE" w:rsidRPr="00DA7E4C" w:rsidRDefault="000A22AE" w:rsidP="000A22AE">
            <w:pPr>
              <w:spacing w:before="0" w:after="0" w:line="240" w:lineRule="auto"/>
              <w:jc w:val="center"/>
              <w:rPr>
                <w:rFonts w:ascii="Arial" w:eastAsia="Times New Roman" w:hAnsi="Arial" w:cs="Arial"/>
                <w:sz w:val="18"/>
                <w:szCs w:val="18"/>
              </w:rPr>
            </w:pPr>
            <w:r w:rsidRPr="00DA7E4C">
              <w:rPr>
                <w:rFonts w:ascii="Arial" w:eastAsia="Times New Roman" w:hAnsi="Arial" w:cs="Arial"/>
                <w:sz w:val="18"/>
                <w:szCs w:val="18"/>
              </w:rPr>
              <w:t>t-2</w:t>
            </w:r>
          </w:p>
        </w:tc>
        <w:tc>
          <w:tcPr>
            <w:tcW w:w="960" w:type="dxa"/>
            <w:tcBorders>
              <w:top w:val="nil"/>
              <w:left w:val="nil"/>
              <w:bottom w:val="single" w:sz="8" w:space="0" w:color="auto"/>
              <w:right w:val="single" w:sz="8" w:space="0" w:color="auto"/>
            </w:tcBorders>
            <w:shd w:val="clear" w:color="auto" w:fill="auto"/>
            <w:vAlign w:val="center"/>
            <w:hideMark/>
          </w:tcPr>
          <w:p w:rsidR="000A22AE" w:rsidRPr="00DA7E4C" w:rsidRDefault="000A22AE" w:rsidP="000A22AE">
            <w:pPr>
              <w:spacing w:before="0" w:after="0" w:line="240" w:lineRule="auto"/>
              <w:jc w:val="center"/>
              <w:rPr>
                <w:rFonts w:ascii="Arial" w:eastAsia="Times New Roman" w:hAnsi="Arial" w:cs="Arial"/>
                <w:sz w:val="18"/>
                <w:szCs w:val="18"/>
              </w:rPr>
            </w:pPr>
            <w:r w:rsidRPr="00DA7E4C">
              <w:rPr>
                <w:rFonts w:ascii="Arial" w:eastAsia="Times New Roman" w:hAnsi="Arial" w:cs="Arial"/>
                <w:sz w:val="18"/>
                <w:szCs w:val="18"/>
              </w:rPr>
              <w:t>t-3</w:t>
            </w:r>
          </w:p>
        </w:tc>
        <w:tc>
          <w:tcPr>
            <w:tcW w:w="960" w:type="dxa"/>
            <w:tcBorders>
              <w:top w:val="single" w:sz="8" w:space="0" w:color="auto"/>
              <w:left w:val="nil"/>
              <w:bottom w:val="single" w:sz="8" w:space="0" w:color="auto"/>
              <w:right w:val="single" w:sz="8" w:space="0" w:color="auto"/>
            </w:tcBorders>
            <w:shd w:val="clear" w:color="auto" w:fill="auto"/>
            <w:vAlign w:val="center"/>
            <w:hideMark/>
          </w:tcPr>
          <w:p w:rsidR="000A22AE" w:rsidRPr="00DA7E4C" w:rsidRDefault="000A22AE" w:rsidP="000A22AE">
            <w:pPr>
              <w:spacing w:before="0" w:after="0" w:line="240" w:lineRule="auto"/>
              <w:jc w:val="center"/>
              <w:rPr>
                <w:rFonts w:ascii="Arial" w:eastAsia="Times New Roman" w:hAnsi="Arial" w:cs="Arial"/>
                <w:sz w:val="18"/>
                <w:szCs w:val="18"/>
              </w:rPr>
            </w:pPr>
            <w:r w:rsidRPr="00DA7E4C">
              <w:rPr>
                <w:rFonts w:ascii="Arial" w:eastAsia="Times New Roman" w:hAnsi="Arial" w:cs="Arial"/>
                <w:sz w:val="18"/>
                <w:szCs w:val="18"/>
              </w:rPr>
              <w:t>AR</w:t>
            </w:r>
          </w:p>
        </w:tc>
        <w:tc>
          <w:tcPr>
            <w:tcW w:w="960" w:type="dxa"/>
            <w:tcBorders>
              <w:top w:val="single" w:sz="8" w:space="0" w:color="auto"/>
              <w:left w:val="nil"/>
              <w:bottom w:val="single" w:sz="8" w:space="0" w:color="auto"/>
              <w:right w:val="single" w:sz="4" w:space="0" w:color="auto"/>
            </w:tcBorders>
            <w:shd w:val="clear" w:color="auto" w:fill="auto"/>
            <w:noWrap/>
            <w:vAlign w:val="center"/>
            <w:hideMark/>
          </w:tcPr>
          <w:p w:rsidR="000A22AE" w:rsidRPr="00DA7E4C" w:rsidRDefault="000A22AE" w:rsidP="000A22AE">
            <w:pPr>
              <w:spacing w:before="0" w:after="0" w:line="240" w:lineRule="auto"/>
              <w:jc w:val="center"/>
              <w:rPr>
                <w:rFonts w:ascii="Arial" w:eastAsia="Times New Roman" w:hAnsi="Arial" w:cs="Arial"/>
                <w:sz w:val="18"/>
                <w:szCs w:val="18"/>
              </w:rPr>
            </w:pPr>
            <w:r w:rsidRPr="00DA7E4C">
              <w:rPr>
                <w:rFonts w:ascii="Arial" w:eastAsia="Times New Roman" w:hAnsi="Arial" w:cs="Arial"/>
                <w:sz w:val="18"/>
                <w:szCs w:val="18"/>
              </w:rPr>
              <w:t>F Value</w:t>
            </w:r>
          </w:p>
        </w:tc>
        <w:tc>
          <w:tcPr>
            <w:tcW w:w="960" w:type="dxa"/>
            <w:vMerge/>
            <w:tcBorders>
              <w:left w:val="single" w:sz="4" w:space="0" w:color="auto"/>
              <w:bottom w:val="single" w:sz="4" w:space="0" w:color="auto"/>
              <w:right w:val="single" w:sz="4" w:space="0" w:color="auto"/>
            </w:tcBorders>
            <w:shd w:val="clear" w:color="auto" w:fill="auto"/>
            <w:noWrap/>
            <w:vAlign w:val="center"/>
            <w:hideMark/>
          </w:tcPr>
          <w:p w:rsidR="000A22AE" w:rsidRPr="00DA7E4C" w:rsidRDefault="000A22AE" w:rsidP="000A22AE">
            <w:pPr>
              <w:spacing w:before="0" w:after="0" w:line="240" w:lineRule="auto"/>
              <w:jc w:val="center"/>
              <w:rPr>
                <w:rFonts w:ascii="Arial" w:eastAsia="Times New Roman" w:hAnsi="Arial" w:cs="Arial"/>
                <w:sz w:val="18"/>
                <w:szCs w:val="18"/>
              </w:rPr>
            </w:pPr>
          </w:p>
        </w:tc>
        <w:tc>
          <w:tcPr>
            <w:tcW w:w="960" w:type="dxa"/>
            <w:tcBorders>
              <w:top w:val="single" w:sz="8" w:space="0" w:color="auto"/>
              <w:left w:val="single" w:sz="4" w:space="0" w:color="auto"/>
              <w:bottom w:val="single" w:sz="8" w:space="0" w:color="auto"/>
              <w:right w:val="single" w:sz="8" w:space="0" w:color="auto"/>
            </w:tcBorders>
            <w:shd w:val="clear" w:color="auto" w:fill="auto"/>
            <w:noWrap/>
            <w:vAlign w:val="center"/>
            <w:hideMark/>
          </w:tcPr>
          <w:p w:rsidR="000A22AE" w:rsidRPr="00DA7E4C" w:rsidRDefault="000A22AE" w:rsidP="000A22AE">
            <w:pPr>
              <w:spacing w:before="0" w:after="0" w:line="240" w:lineRule="auto"/>
              <w:jc w:val="center"/>
              <w:rPr>
                <w:rFonts w:ascii="Arial" w:eastAsia="Times New Roman" w:hAnsi="Arial" w:cs="Arial"/>
                <w:sz w:val="18"/>
                <w:szCs w:val="18"/>
              </w:rPr>
            </w:pPr>
            <w:r w:rsidRPr="00DA7E4C">
              <w:rPr>
                <w:rFonts w:ascii="Arial" w:eastAsia="Times New Roman" w:hAnsi="Arial" w:cs="Arial"/>
                <w:sz w:val="18"/>
                <w:szCs w:val="18"/>
              </w:rPr>
              <w:t>DW</w:t>
            </w:r>
          </w:p>
        </w:tc>
        <w:tc>
          <w:tcPr>
            <w:tcW w:w="960" w:type="dxa"/>
            <w:tcBorders>
              <w:top w:val="single" w:sz="8" w:space="0" w:color="auto"/>
              <w:left w:val="nil"/>
              <w:bottom w:val="single" w:sz="8" w:space="0" w:color="auto"/>
              <w:right w:val="single" w:sz="8" w:space="0" w:color="auto"/>
            </w:tcBorders>
            <w:shd w:val="clear" w:color="auto" w:fill="auto"/>
            <w:vAlign w:val="center"/>
            <w:hideMark/>
          </w:tcPr>
          <w:p w:rsidR="000A22AE" w:rsidRPr="00DA7E4C" w:rsidRDefault="000A22AE" w:rsidP="000A22AE">
            <w:pPr>
              <w:spacing w:before="0" w:after="0" w:line="240" w:lineRule="auto"/>
              <w:jc w:val="center"/>
              <w:rPr>
                <w:rFonts w:ascii="Arial" w:eastAsia="Times New Roman" w:hAnsi="Arial" w:cs="Arial"/>
                <w:color w:val="000000"/>
                <w:sz w:val="18"/>
                <w:szCs w:val="18"/>
              </w:rPr>
            </w:pPr>
            <w:r w:rsidRPr="00DA7E4C">
              <w:rPr>
                <w:rFonts w:ascii="Arial" w:eastAsia="Times New Roman" w:hAnsi="Arial" w:cs="Arial"/>
                <w:color w:val="000000"/>
                <w:sz w:val="18"/>
                <w:szCs w:val="18"/>
              </w:rPr>
              <w:t>Akaike</w:t>
            </w:r>
          </w:p>
        </w:tc>
      </w:tr>
      <w:tr w:rsidR="000A22AE" w:rsidRPr="00DA7E4C" w:rsidTr="000A22AE">
        <w:trPr>
          <w:trHeight w:val="300"/>
        </w:trPr>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center"/>
              <w:rPr>
                <w:rFonts w:eastAsia="Times New Roman" w:cs="Times New Roman"/>
                <w:sz w:val="18"/>
                <w:szCs w:val="18"/>
              </w:rPr>
            </w:pPr>
            <w:r w:rsidRPr="00DA7E4C">
              <w:rPr>
                <w:rFonts w:eastAsia="Times New Roman" w:cs="Times New Roman"/>
                <w:sz w:val="18"/>
                <w:szCs w:val="18"/>
              </w:rPr>
              <w:t>1</w:t>
            </w:r>
          </w:p>
        </w:tc>
        <w:tc>
          <w:tcPr>
            <w:tcW w:w="967"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ascii="Arial" w:eastAsia="Times New Roman" w:hAnsi="Arial" w:cs="Arial"/>
                <w:color w:val="000000"/>
                <w:sz w:val="18"/>
                <w:szCs w:val="18"/>
              </w:rPr>
            </w:pPr>
            <w:r w:rsidRPr="00DA7E4C">
              <w:rPr>
                <w:rFonts w:ascii="Arial" w:eastAsia="Times New Roman" w:hAnsi="Arial" w:cs="Arial"/>
                <w:color w:val="000000"/>
                <w:sz w:val="18"/>
                <w:szCs w:val="18"/>
              </w:rPr>
              <w:t>683.211</w:t>
            </w:r>
          </w:p>
        </w:tc>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ascii="Arial" w:eastAsia="Times New Roman" w:hAnsi="Arial" w:cs="Arial"/>
                <w:color w:val="000000"/>
                <w:sz w:val="18"/>
                <w:szCs w:val="18"/>
              </w:rPr>
            </w:pPr>
            <w:r w:rsidRPr="00DA7E4C">
              <w:rPr>
                <w:rFonts w:ascii="Arial" w:eastAsia="Times New Roman" w:hAnsi="Arial" w:cs="Arial"/>
                <w:color w:val="000000"/>
                <w:sz w:val="18"/>
                <w:szCs w:val="18"/>
              </w:rPr>
              <w:t>-6.544</w:t>
            </w:r>
          </w:p>
        </w:tc>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ascii="Arial" w:eastAsia="Times New Roman" w:hAnsi="Arial" w:cs="Arial"/>
                <w:color w:val="000000"/>
                <w:sz w:val="18"/>
                <w:szCs w:val="18"/>
              </w:rPr>
            </w:pPr>
            <w:r w:rsidRPr="00DA7E4C">
              <w:rPr>
                <w:rFonts w:ascii="Arial" w:eastAsia="Times New Roman" w:hAnsi="Arial" w:cs="Arial"/>
                <w:color w:val="000000"/>
                <w:sz w:val="18"/>
                <w:szCs w:val="18"/>
              </w:rPr>
              <w:t>119.821</w:t>
            </w:r>
          </w:p>
        </w:tc>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ascii="Arial" w:eastAsia="Times New Roman" w:hAnsi="Arial" w:cs="Arial"/>
                <w:color w:val="000000"/>
                <w:sz w:val="18"/>
                <w:szCs w:val="18"/>
              </w:rPr>
            </w:pPr>
            <w:r w:rsidRPr="00DA7E4C">
              <w:rPr>
                <w:rFonts w:ascii="Arial" w:eastAsia="Times New Roman" w:hAnsi="Arial" w:cs="Arial"/>
                <w:color w:val="000000"/>
                <w:sz w:val="18"/>
                <w:szCs w:val="18"/>
              </w:rPr>
              <w:t>446.873</w:t>
            </w:r>
          </w:p>
        </w:tc>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ascii="Arial" w:eastAsia="Times New Roman" w:hAnsi="Arial" w:cs="Arial"/>
                <w:color w:val="000000"/>
                <w:sz w:val="18"/>
                <w:szCs w:val="18"/>
              </w:rPr>
            </w:pPr>
            <w:r w:rsidRPr="00DA7E4C">
              <w:rPr>
                <w:rFonts w:ascii="Arial" w:eastAsia="Times New Roman" w:hAnsi="Arial" w:cs="Arial"/>
                <w:color w:val="000000"/>
                <w:sz w:val="18"/>
                <w:szCs w:val="18"/>
              </w:rPr>
              <w:t>-259.678</w:t>
            </w:r>
          </w:p>
        </w:tc>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ascii="Arial" w:eastAsia="Times New Roman" w:hAnsi="Arial" w:cs="Arial"/>
                <w:color w:val="000000"/>
                <w:sz w:val="18"/>
                <w:szCs w:val="18"/>
              </w:rPr>
            </w:pPr>
            <w:r w:rsidRPr="00DA7E4C">
              <w:rPr>
                <w:rFonts w:ascii="Arial" w:eastAsia="Times New Roman" w:hAnsi="Arial" w:cs="Arial"/>
                <w:color w:val="000000"/>
                <w:sz w:val="18"/>
                <w:szCs w:val="18"/>
              </w:rPr>
              <w:t>0.394</w:t>
            </w:r>
          </w:p>
        </w:tc>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ascii="Arial" w:eastAsia="Times New Roman" w:hAnsi="Arial" w:cs="Arial"/>
                <w:color w:val="000000"/>
                <w:sz w:val="18"/>
                <w:szCs w:val="18"/>
              </w:rPr>
            </w:pPr>
            <w:r w:rsidRPr="00DA7E4C">
              <w:rPr>
                <w:rFonts w:ascii="Arial" w:eastAsia="Times New Roman" w:hAnsi="Arial" w:cs="Arial"/>
                <w:color w:val="000000"/>
                <w:sz w:val="18"/>
                <w:szCs w:val="18"/>
              </w:rPr>
              <w:t>22.649</w:t>
            </w:r>
          </w:p>
        </w:tc>
        <w:tc>
          <w:tcPr>
            <w:tcW w:w="960" w:type="dxa"/>
            <w:tcBorders>
              <w:top w:val="single" w:sz="4" w:space="0" w:color="auto"/>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ascii="Arial" w:eastAsia="Times New Roman" w:hAnsi="Arial" w:cs="Arial"/>
                <w:color w:val="000000"/>
                <w:sz w:val="18"/>
                <w:szCs w:val="18"/>
              </w:rPr>
            </w:pPr>
            <w:r w:rsidRPr="00DA7E4C">
              <w:rPr>
                <w:rFonts w:ascii="Arial" w:eastAsia="Times New Roman" w:hAnsi="Arial" w:cs="Arial"/>
                <w:color w:val="000000"/>
                <w:sz w:val="18"/>
                <w:szCs w:val="18"/>
              </w:rPr>
              <w:t>0.791</w:t>
            </w:r>
          </w:p>
        </w:tc>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ascii="Arial" w:eastAsia="Times New Roman" w:hAnsi="Arial" w:cs="Arial"/>
                <w:color w:val="000000"/>
                <w:sz w:val="18"/>
                <w:szCs w:val="18"/>
              </w:rPr>
            </w:pPr>
            <w:r w:rsidRPr="00DA7E4C">
              <w:rPr>
                <w:rFonts w:ascii="Arial" w:eastAsia="Times New Roman" w:hAnsi="Arial" w:cs="Arial"/>
                <w:color w:val="000000"/>
                <w:sz w:val="18"/>
                <w:szCs w:val="18"/>
              </w:rPr>
              <w:t>1.998</w:t>
            </w:r>
          </w:p>
        </w:tc>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ascii="Arial" w:eastAsia="Times New Roman" w:hAnsi="Arial" w:cs="Arial"/>
                <w:color w:val="000000"/>
                <w:sz w:val="18"/>
                <w:szCs w:val="18"/>
              </w:rPr>
            </w:pPr>
            <w:r w:rsidRPr="00DA7E4C">
              <w:rPr>
                <w:rFonts w:ascii="Arial" w:eastAsia="Times New Roman" w:hAnsi="Arial" w:cs="Arial"/>
                <w:color w:val="000000"/>
                <w:sz w:val="18"/>
                <w:szCs w:val="18"/>
              </w:rPr>
              <w:t>20.633</w:t>
            </w:r>
          </w:p>
        </w:tc>
      </w:tr>
      <w:tr w:rsidR="000A22AE" w:rsidRPr="00DA7E4C" w:rsidTr="000A22AE">
        <w:trPr>
          <w:trHeight w:val="300"/>
        </w:trPr>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center"/>
              <w:rPr>
                <w:rFonts w:eastAsia="Times New Roman" w:cs="Times New Roman"/>
                <w:b/>
                <w:sz w:val="18"/>
                <w:szCs w:val="18"/>
              </w:rPr>
            </w:pPr>
          </w:p>
        </w:tc>
        <w:tc>
          <w:tcPr>
            <w:tcW w:w="967"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ascii="Arial" w:eastAsia="Times New Roman" w:hAnsi="Arial" w:cs="Arial"/>
                <w:b/>
                <w:color w:val="000000"/>
                <w:sz w:val="18"/>
                <w:szCs w:val="18"/>
              </w:rPr>
            </w:pPr>
            <w:r w:rsidRPr="00DA7E4C">
              <w:rPr>
                <w:rFonts w:ascii="Arial" w:eastAsia="Times New Roman" w:hAnsi="Arial" w:cs="Arial"/>
                <w:b/>
                <w:color w:val="000000"/>
                <w:sz w:val="18"/>
                <w:szCs w:val="18"/>
              </w:rPr>
              <w:t>0.718</w:t>
            </w:r>
          </w:p>
        </w:tc>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ascii="Arial" w:eastAsia="Times New Roman" w:hAnsi="Arial" w:cs="Arial"/>
                <w:b/>
                <w:color w:val="000000"/>
                <w:sz w:val="18"/>
                <w:szCs w:val="18"/>
              </w:rPr>
            </w:pPr>
            <w:r w:rsidRPr="00DA7E4C">
              <w:rPr>
                <w:rFonts w:ascii="Arial" w:eastAsia="Times New Roman" w:hAnsi="Arial" w:cs="Arial"/>
                <w:b/>
                <w:color w:val="000000"/>
                <w:sz w:val="18"/>
                <w:szCs w:val="18"/>
              </w:rPr>
              <w:t>0.914</w:t>
            </w:r>
          </w:p>
        </w:tc>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ascii="Arial" w:eastAsia="Times New Roman" w:hAnsi="Arial" w:cs="Arial"/>
                <w:b/>
                <w:color w:val="000000"/>
                <w:sz w:val="18"/>
                <w:szCs w:val="18"/>
              </w:rPr>
            </w:pPr>
            <w:r w:rsidRPr="00DA7E4C">
              <w:rPr>
                <w:rFonts w:ascii="Arial" w:eastAsia="Times New Roman" w:hAnsi="Arial" w:cs="Arial"/>
                <w:b/>
                <w:color w:val="000000"/>
                <w:sz w:val="18"/>
                <w:szCs w:val="18"/>
              </w:rPr>
              <w:t>0.046</w:t>
            </w:r>
          </w:p>
        </w:tc>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ascii="Arial" w:eastAsia="Times New Roman" w:hAnsi="Arial" w:cs="Arial"/>
                <w:b/>
                <w:color w:val="000000"/>
                <w:sz w:val="18"/>
                <w:szCs w:val="18"/>
              </w:rPr>
            </w:pPr>
            <w:r w:rsidRPr="00DA7E4C">
              <w:rPr>
                <w:rFonts w:ascii="Arial" w:eastAsia="Times New Roman" w:hAnsi="Arial" w:cs="Arial"/>
                <w:b/>
                <w:color w:val="000000"/>
                <w:sz w:val="18"/>
                <w:szCs w:val="18"/>
              </w:rPr>
              <w:t>0.000</w:t>
            </w:r>
          </w:p>
        </w:tc>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ascii="Arial" w:eastAsia="Times New Roman" w:hAnsi="Arial" w:cs="Arial"/>
                <w:b/>
                <w:color w:val="000000"/>
                <w:sz w:val="18"/>
                <w:szCs w:val="18"/>
              </w:rPr>
            </w:pPr>
            <w:r w:rsidRPr="00DA7E4C">
              <w:rPr>
                <w:rFonts w:ascii="Arial" w:eastAsia="Times New Roman" w:hAnsi="Arial" w:cs="Arial"/>
                <w:b/>
                <w:color w:val="000000"/>
                <w:sz w:val="18"/>
                <w:szCs w:val="18"/>
              </w:rPr>
              <w:t>0.000</w:t>
            </w:r>
          </w:p>
        </w:tc>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ascii="Arial" w:eastAsia="Times New Roman" w:hAnsi="Arial" w:cs="Arial"/>
                <w:b/>
                <w:color w:val="000000"/>
                <w:sz w:val="18"/>
                <w:szCs w:val="18"/>
              </w:rPr>
            </w:pPr>
            <w:r w:rsidRPr="00DA7E4C">
              <w:rPr>
                <w:rFonts w:ascii="Arial" w:eastAsia="Times New Roman" w:hAnsi="Arial" w:cs="Arial"/>
                <w:b/>
                <w:color w:val="000000"/>
                <w:sz w:val="18"/>
                <w:szCs w:val="18"/>
              </w:rPr>
              <w:t>0.026</w:t>
            </w:r>
          </w:p>
        </w:tc>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ascii="Arial" w:eastAsia="Times New Roman" w:hAnsi="Arial" w:cs="Arial"/>
                <w:b/>
                <w:color w:val="000000"/>
                <w:sz w:val="18"/>
                <w:szCs w:val="18"/>
              </w:rPr>
            </w:pPr>
            <w:r w:rsidRPr="00DA7E4C">
              <w:rPr>
                <w:rFonts w:ascii="Arial" w:eastAsia="Times New Roman" w:hAnsi="Arial" w:cs="Arial"/>
                <w:b/>
                <w:color w:val="000000"/>
                <w:sz w:val="18"/>
                <w:szCs w:val="18"/>
              </w:rPr>
              <w:t>0.000</w:t>
            </w:r>
          </w:p>
        </w:tc>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ascii="Arial" w:eastAsia="Times New Roman" w:hAnsi="Arial" w:cs="Arial"/>
                <w:b/>
                <w:color w:val="000000"/>
                <w:sz w:val="18"/>
                <w:szCs w:val="18"/>
              </w:rPr>
            </w:pPr>
          </w:p>
        </w:tc>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ascii="Arial" w:eastAsia="Times New Roman" w:hAnsi="Arial" w:cs="Arial"/>
                <w:b/>
                <w:color w:val="000000"/>
                <w:sz w:val="18"/>
                <w:szCs w:val="18"/>
              </w:rPr>
            </w:pPr>
          </w:p>
        </w:tc>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ascii="Arial" w:eastAsia="Times New Roman" w:hAnsi="Arial" w:cs="Arial"/>
                <w:b/>
                <w:color w:val="000000"/>
                <w:sz w:val="18"/>
                <w:szCs w:val="18"/>
              </w:rPr>
            </w:pPr>
          </w:p>
        </w:tc>
      </w:tr>
      <w:tr w:rsidR="000A22AE" w:rsidRPr="00DA7E4C" w:rsidTr="000A22AE">
        <w:trPr>
          <w:trHeight w:val="300"/>
        </w:trPr>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center"/>
              <w:rPr>
                <w:rFonts w:eastAsia="Times New Roman" w:cs="Times New Roman"/>
                <w:sz w:val="18"/>
                <w:szCs w:val="18"/>
              </w:rPr>
            </w:pPr>
            <w:r w:rsidRPr="00DA7E4C">
              <w:rPr>
                <w:rFonts w:eastAsia="Times New Roman" w:cs="Times New Roman"/>
                <w:sz w:val="18"/>
                <w:szCs w:val="18"/>
              </w:rPr>
              <w:t>2</w:t>
            </w:r>
          </w:p>
        </w:tc>
        <w:tc>
          <w:tcPr>
            <w:tcW w:w="967"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ascii="Arial" w:eastAsia="Times New Roman" w:hAnsi="Arial" w:cs="Arial"/>
                <w:color w:val="000000"/>
                <w:sz w:val="18"/>
                <w:szCs w:val="18"/>
              </w:rPr>
            </w:pPr>
            <w:r w:rsidRPr="00DA7E4C">
              <w:rPr>
                <w:rFonts w:ascii="Arial" w:eastAsia="Times New Roman" w:hAnsi="Arial" w:cs="Arial"/>
                <w:color w:val="000000"/>
                <w:sz w:val="18"/>
                <w:szCs w:val="18"/>
              </w:rPr>
              <w:t>1041.275</w:t>
            </w:r>
          </w:p>
        </w:tc>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ascii="Arial" w:eastAsia="Times New Roman" w:hAnsi="Arial" w:cs="Arial"/>
                <w:color w:val="000000"/>
                <w:sz w:val="18"/>
                <w:szCs w:val="18"/>
              </w:rPr>
            </w:pPr>
            <w:r w:rsidRPr="00DA7E4C">
              <w:rPr>
                <w:rFonts w:ascii="Arial" w:eastAsia="Times New Roman" w:hAnsi="Arial" w:cs="Arial"/>
                <w:color w:val="000000"/>
                <w:sz w:val="18"/>
                <w:szCs w:val="18"/>
              </w:rPr>
              <w:t>-44.061</w:t>
            </w:r>
          </w:p>
        </w:tc>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ascii="Calibri" w:eastAsia="Times New Roman" w:hAnsi="Calibri" w:cs="Times New Roman"/>
                <w:color w:val="000000"/>
                <w:sz w:val="18"/>
                <w:szCs w:val="18"/>
              </w:rPr>
            </w:pPr>
          </w:p>
        </w:tc>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ascii="Calibri" w:eastAsia="Times New Roman" w:hAnsi="Calibri" w:cs="Times New Roman"/>
                <w:color w:val="000000"/>
                <w:sz w:val="18"/>
                <w:szCs w:val="18"/>
              </w:rPr>
            </w:pPr>
          </w:p>
        </w:tc>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ascii="Calibri" w:eastAsia="Times New Roman" w:hAnsi="Calibri" w:cs="Times New Roman"/>
                <w:color w:val="000000"/>
                <w:sz w:val="18"/>
                <w:szCs w:val="18"/>
              </w:rPr>
            </w:pPr>
          </w:p>
        </w:tc>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ascii="Arial" w:eastAsia="Times New Roman" w:hAnsi="Arial" w:cs="Arial"/>
                <w:color w:val="000000"/>
                <w:sz w:val="18"/>
                <w:szCs w:val="18"/>
              </w:rPr>
            </w:pPr>
            <w:r w:rsidRPr="00DA7E4C">
              <w:rPr>
                <w:rFonts w:ascii="Arial" w:eastAsia="Times New Roman" w:hAnsi="Arial" w:cs="Arial"/>
                <w:color w:val="000000"/>
                <w:sz w:val="18"/>
                <w:szCs w:val="18"/>
              </w:rPr>
              <w:t>0.363</w:t>
            </w:r>
          </w:p>
        </w:tc>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ascii="Arial" w:eastAsia="Times New Roman" w:hAnsi="Arial" w:cs="Arial"/>
                <w:color w:val="000000"/>
                <w:sz w:val="18"/>
                <w:szCs w:val="18"/>
              </w:rPr>
            </w:pPr>
            <w:r w:rsidRPr="00DA7E4C">
              <w:rPr>
                <w:rFonts w:ascii="Arial" w:eastAsia="Times New Roman" w:hAnsi="Arial" w:cs="Arial"/>
                <w:color w:val="000000"/>
                <w:sz w:val="18"/>
                <w:szCs w:val="18"/>
              </w:rPr>
              <w:t>2.304</w:t>
            </w:r>
          </w:p>
        </w:tc>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ascii="Arial" w:eastAsia="Times New Roman" w:hAnsi="Arial" w:cs="Arial"/>
                <w:color w:val="000000"/>
                <w:sz w:val="18"/>
                <w:szCs w:val="18"/>
              </w:rPr>
            </w:pPr>
            <w:r w:rsidRPr="00DA7E4C">
              <w:rPr>
                <w:rFonts w:ascii="Arial" w:eastAsia="Times New Roman" w:hAnsi="Arial" w:cs="Arial"/>
                <w:color w:val="000000"/>
                <w:sz w:val="18"/>
                <w:szCs w:val="18"/>
              </w:rPr>
              <w:t>0.113</w:t>
            </w:r>
          </w:p>
        </w:tc>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ascii="Arial" w:eastAsia="Times New Roman" w:hAnsi="Arial" w:cs="Arial"/>
                <w:color w:val="000000"/>
                <w:sz w:val="18"/>
                <w:szCs w:val="18"/>
              </w:rPr>
            </w:pPr>
            <w:r w:rsidRPr="00DA7E4C">
              <w:rPr>
                <w:rFonts w:ascii="Arial" w:eastAsia="Times New Roman" w:hAnsi="Arial" w:cs="Arial"/>
                <w:color w:val="000000"/>
                <w:sz w:val="18"/>
                <w:szCs w:val="18"/>
              </w:rPr>
              <w:t>1.744</w:t>
            </w:r>
          </w:p>
        </w:tc>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ascii="Arial" w:eastAsia="Times New Roman" w:hAnsi="Arial" w:cs="Arial"/>
                <w:color w:val="000000"/>
                <w:sz w:val="18"/>
                <w:szCs w:val="18"/>
              </w:rPr>
            </w:pPr>
            <w:r w:rsidRPr="00DA7E4C">
              <w:rPr>
                <w:rFonts w:ascii="Arial" w:eastAsia="Times New Roman" w:hAnsi="Arial" w:cs="Arial"/>
                <w:color w:val="000000"/>
                <w:sz w:val="18"/>
                <w:szCs w:val="18"/>
              </w:rPr>
              <w:t>21.840</w:t>
            </w:r>
          </w:p>
        </w:tc>
      </w:tr>
      <w:tr w:rsidR="000A22AE" w:rsidRPr="00DA7E4C" w:rsidTr="000A22AE">
        <w:trPr>
          <w:trHeight w:val="300"/>
        </w:trPr>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center"/>
              <w:rPr>
                <w:rFonts w:eastAsia="Times New Roman" w:cs="Times New Roman"/>
                <w:b/>
                <w:sz w:val="18"/>
                <w:szCs w:val="18"/>
              </w:rPr>
            </w:pPr>
          </w:p>
        </w:tc>
        <w:tc>
          <w:tcPr>
            <w:tcW w:w="967"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ascii="Arial" w:eastAsia="Times New Roman" w:hAnsi="Arial" w:cs="Arial"/>
                <w:b/>
                <w:color w:val="000000"/>
                <w:sz w:val="18"/>
                <w:szCs w:val="18"/>
              </w:rPr>
            </w:pPr>
            <w:r w:rsidRPr="00DA7E4C">
              <w:rPr>
                <w:rFonts w:ascii="Arial" w:eastAsia="Times New Roman" w:hAnsi="Arial" w:cs="Arial"/>
                <w:b/>
                <w:color w:val="000000"/>
                <w:sz w:val="18"/>
                <w:szCs w:val="18"/>
              </w:rPr>
              <w:t>0.750</w:t>
            </w:r>
          </w:p>
        </w:tc>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ascii="Arial" w:eastAsia="Times New Roman" w:hAnsi="Arial" w:cs="Arial"/>
                <w:b/>
                <w:color w:val="000000"/>
                <w:sz w:val="18"/>
                <w:szCs w:val="18"/>
              </w:rPr>
            </w:pPr>
            <w:r w:rsidRPr="00DA7E4C">
              <w:rPr>
                <w:rFonts w:ascii="Arial" w:eastAsia="Times New Roman" w:hAnsi="Arial" w:cs="Arial"/>
                <w:b/>
                <w:color w:val="000000"/>
                <w:sz w:val="18"/>
                <w:szCs w:val="18"/>
              </w:rPr>
              <w:t>0.643</w:t>
            </w:r>
          </w:p>
        </w:tc>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ascii="Calibri" w:eastAsia="Times New Roman" w:hAnsi="Calibri" w:cs="Times New Roman"/>
                <w:b/>
                <w:color w:val="000000"/>
                <w:sz w:val="18"/>
                <w:szCs w:val="18"/>
              </w:rPr>
            </w:pPr>
          </w:p>
        </w:tc>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ascii="Calibri" w:eastAsia="Times New Roman" w:hAnsi="Calibri" w:cs="Times New Roman"/>
                <w:b/>
                <w:color w:val="000000"/>
                <w:sz w:val="18"/>
                <w:szCs w:val="18"/>
              </w:rPr>
            </w:pPr>
          </w:p>
        </w:tc>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ascii="Calibri" w:eastAsia="Times New Roman" w:hAnsi="Calibri" w:cs="Times New Roman"/>
                <w:b/>
                <w:color w:val="000000"/>
                <w:sz w:val="18"/>
                <w:szCs w:val="18"/>
              </w:rPr>
            </w:pPr>
          </w:p>
        </w:tc>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ascii="Arial" w:eastAsia="Times New Roman" w:hAnsi="Arial" w:cs="Arial"/>
                <w:b/>
                <w:color w:val="000000"/>
                <w:sz w:val="18"/>
                <w:szCs w:val="18"/>
              </w:rPr>
            </w:pPr>
            <w:r w:rsidRPr="00DA7E4C">
              <w:rPr>
                <w:rFonts w:ascii="Arial" w:eastAsia="Times New Roman" w:hAnsi="Arial" w:cs="Arial"/>
                <w:b/>
                <w:color w:val="000000"/>
                <w:sz w:val="18"/>
                <w:szCs w:val="18"/>
              </w:rPr>
              <w:t>0.026</w:t>
            </w:r>
          </w:p>
        </w:tc>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ascii="Arial" w:eastAsia="Times New Roman" w:hAnsi="Arial" w:cs="Arial"/>
                <w:b/>
                <w:color w:val="000000"/>
                <w:sz w:val="18"/>
                <w:szCs w:val="18"/>
              </w:rPr>
            </w:pPr>
            <w:r w:rsidRPr="00DA7E4C">
              <w:rPr>
                <w:rFonts w:ascii="Arial" w:eastAsia="Times New Roman" w:hAnsi="Arial" w:cs="Arial"/>
                <w:b/>
                <w:color w:val="000000"/>
                <w:sz w:val="18"/>
                <w:szCs w:val="18"/>
              </w:rPr>
              <w:t>0.114</w:t>
            </w:r>
          </w:p>
        </w:tc>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ascii="Arial" w:eastAsia="Times New Roman" w:hAnsi="Arial" w:cs="Arial"/>
                <w:b/>
                <w:color w:val="000000"/>
                <w:sz w:val="18"/>
                <w:szCs w:val="18"/>
              </w:rPr>
            </w:pPr>
          </w:p>
        </w:tc>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ascii="Calibri" w:eastAsia="Times New Roman" w:hAnsi="Calibri" w:cs="Times New Roman"/>
                <w:b/>
                <w:color w:val="000000"/>
                <w:sz w:val="18"/>
                <w:szCs w:val="18"/>
              </w:rPr>
            </w:pPr>
          </w:p>
        </w:tc>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ascii="Arial" w:eastAsia="Times New Roman" w:hAnsi="Arial" w:cs="Arial"/>
                <w:b/>
                <w:color w:val="000000"/>
                <w:sz w:val="18"/>
                <w:szCs w:val="18"/>
              </w:rPr>
            </w:pPr>
          </w:p>
        </w:tc>
      </w:tr>
      <w:tr w:rsidR="000A22AE" w:rsidRPr="00DA7E4C" w:rsidTr="000A22AE">
        <w:trPr>
          <w:trHeight w:val="300"/>
        </w:trPr>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center"/>
              <w:rPr>
                <w:rFonts w:eastAsia="Times New Roman" w:cs="Times New Roman"/>
                <w:sz w:val="18"/>
                <w:szCs w:val="18"/>
              </w:rPr>
            </w:pPr>
            <w:r w:rsidRPr="00DA7E4C">
              <w:rPr>
                <w:rFonts w:eastAsia="Times New Roman" w:cs="Times New Roman"/>
                <w:sz w:val="18"/>
                <w:szCs w:val="18"/>
              </w:rPr>
              <w:t>3</w:t>
            </w:r>
          </w:p>
        </w:tc>
        <w:tc>
          <w:tcPr>
            <w:tcW w:w="967"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ascii="Arial" w:eastAsia="Times New Roman" w:hAnsi="Arial" w:cs="Arial"/>
                <w:color w:val="000000"/>
                <w:sz w:val="18"/>
                <w:szCs w:val="18"/>
              </w:rPr>
            </w:pPr>
            <w:r w:rsidRPr="00DA7E4C">
              <w:rPr>
                <w:rFonts w:ascii="Arial" w:eastAsia="Times New Roman" w:hAnsi="Arial" w:cs="Arial"/>
                <w:color w:val="000000"/>
                <w:sz w:val="18"/>
                <w:szCs w:val="18"/>
              </w:rPr>
              <w:t>689.441</w:t>
            </w:r>
          </w:p>
        </w:tc>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ascii="Calibri" w:eastAsia="Times New Roman" w:hAnsi="Calibri" w:cs="Times New Roman"/>
                <w:color w:val="000000"/>
                <w:sz w:val="18"/>
                <w:szCs w:val="18"/>
              </w:rPr>
            </w:pPr>
          </w:p>
        </w:tc>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ascii="Arial" w:eastAsia="Times New Roman" w:hAnsi="Arial" w:cs="Arial"/>
                <w:color w:val="000000"/>
                <w:sz w:val="18"/>
                <w:szCs w:val="18"/>
              </w:rPr>
            </w:pPr>
            <w:r w:rsidRPr="00DA7E4C">
              <w:rPr>
                <w:rFonts w:ascii="Arial" w:eastAsia="Times New Roman" w:hAnsi="Arial" w:cs="Arial"/>
                <w:color w:val="000000"/>
                <w:sz w:val="18"/>
                <w:szCs w:val="18"/>
              </w:rPr>
              <w:t>323.828</w:t>
            </w:r>
          </w:p>
        </w:tc>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ascii="Calibri" w:eastAsia="Times New Roman" w:hAnsi="Calibri" w:cs="Times New Roman"/>
                <w:color w:val="000000"/>
                <w:sz w:val="18"/>
                <w:szCs w:val="18"/>
              </w:rPr>
            </w:pPr>
          </w:p>
        </w:tc>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ascii="Calibri" w:eastAsia="Times New Roman" w:hAnsi="Calibri" w:cs="Times New Roman"/>
                <w:color w:val="000000"/>
                <w:sz w:val="18"/>
                <w:szCs w:val="18"/>
              </w:rPr>
            </w:pPr>
          </w:p>
        </w:tc>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ascii="Arial" w:eastAsia="Times New Roman" w:hAnsi="Arial" w:cs="Arial"/>
                <w:color w:val="000000"/>
                <w:sz w:val="18"/>
                <w:szCs w:val="18"/>
              </w:rPr>
            </w:pPr>
            <w:r w:rsidRPr="00DA7E4C">
              <w:rPr>
                <w:rFonts w:ascii="Arial" w:eastAsia="Times New Roman" w:hAnsi="Arial" w:cs="Arial"/>
                <w:color w:val="000000"/>
                <w:sz w:val="18"/>
                <w:szCs w:val="18"/>
              </w:rPr>
              <w:t>-0.031</w:t>
            </w:r>
          </w:p>
        </w:tc>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ascii="Arial" w:eastAsia="Times New Roman" w:hAnsi="Arial" w:cs="Arial"/>
                <w:color w:val="000000"/>
                <w:sz w:val="18"/>
                <w:szCs w:val="18"/>
              </w:rPr>
            </w:pPr>
            <w:r w:rsidRPr="00DA7E4C">
              <w:rPr>
                <w:rFonts w:ascii="Arial" w:eastAsia="Times New Roman" w:hAnsi="Arial" w:cs="Arial"/>
                <w:color w:val="000000"/>
                <w:sz w:val="18"/>
                <w:szCs w:val="18"/>
              </w:rPr>
              <w:t>8.281</w:t>
            </w:r>
          </w:p>
        </w:tc>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ascii="Arial" w:eastAsia="Times New Roman" w:hAnsi="Arial" w:cs="Arial"/>
                <w:color w:val="000000"/>
                <w:sz w:val="18"/>
                <w:szCs w:val="18"/>
              </w:rPr>
            </w:pPr>
            <w:r w:rsidRPr="00DA7E4C">
              <w:rPr>
                <w:rFonts w:ascii="Arial" w:eastAsia="Times New Roman" w:hAnsi="Arial" w:cs="Arial"/>
                <w:color w:val="000000"/>
                <w:sz w:val="18"/>
                <w:szCs w:val="18"/>
              </w:rPr>
              <w:t>0.321</w:t>
            </w:r>
          </w:p>
        </w:tc>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ascii="Arial" w:eastAsia="Times New Roman" w:hAnsi="Arial" w:cs="Arial"/>
                <w:color w:val="000000"/>
                <w:sz w:val="18"/>
                <w:szCs w:val="18"/>
              </w:rPr>
            </w:pPr>
            <w:r w:rsidRPr="00DA7E4C">
              <w:rPr>
                <w:rFonts w:ascii="Arial" w:eastAsia="Times New Roman" w:hAnsi="Arial" w:cs="Arial"/>
                <w:color w:val="000000"/>
                <w:sz w:val="18"/>
                <w:szCs w:val="18"/>
              </w:rPr>
              <w:t>1.986</w:t>
            </w:r>
          </w:p>
        </w:tc>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ascii="Arial" w:eastAsia="Times New Roman" w:hAnsi="Arial" w:cs="Arial"/>
                <w:color w:val="000000"/>
                <w:sz w:val="18"/>
                <w:szCs w:val="18"/>
              </w:rPr>
            </w:pPr>
            <w:r w:rsidRPr="00DA7E4C">
              <w:rPr>
                <w:rFonts w:ascii="Arial" w:eastAsia="Times New Roman" w:hAnsi="Arial" w:cs="Arial"/>
                <w:color w:val="000000"/>
                <w:sz w:val="18"/>
                <w:szCs w:val="18"/>
              </w:rPr>
              <w:t>21.602</w:t>
            </w:r>
          </w:p>
        </w:tc>
      </w:tr>
      <w:tr w:rsidR="000A22AE" w:rsidRPr="00DA7E4C" w:rsidTr="000A22AE">
        <w:trPr>
          <w:trHeight w:val="300"/>
        </w:trPr>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center"/>
              <w:rPr>
                <w:rFonts w:eastAsia="Times New Roman" w:cs="Times New Roman"/>
                <w:b/>
                <w:sz w:val="18"/>
                <w:szCs w:val="18"/>
              </w:rPr>
            </w:pPr>
          </w:p>
        </w:tc>
        <w:tc>
          <w:tcPr>
            <w:tcW w:w="967"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ascii="Arial" w:eastAsia="Times New Roman" w:hAnsi="Arial" w:cs="Arial"/>
                <w:b/>
                <w:color w:val="000000"/>
                <w:sz w:val="18"/>
                <w:szCs w:val="18"/>
              </w:rPr>
            </w:pPr>
            <w:r w:rsidRPr="00DA7E4C">
              <w:rPr>
                <w:rFonts w:ascii="Arial" w:eastAsia="Times New Roman" w:hAnsi="Arial" w:cs="Arial"/>
                <w:b/>
                <w:color w:val="000000"/>
                <w:sz w:val="18"/>
                <w:szCs w:val="18"/>
              </w:rPr>
              <w:t>0.704</w:t>
            </w:r>
          </w:p>
        </w:tc>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ascii="Calibri" w:eastAsia="Times New Roman" w:hAnsi="Calibri" w:cs="Times New Roman"/>
                <w:b/>
                <w:color w:val="000000"/>
                <w:sz w:val="18"/>
                <w:szCs w:val="18"/>
              </w:rPr>
            </w:pPr>
          </w:p>
        </w:tc>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ascii="Arial" w:eastAsia="Times New Roman" w:hAnsi="Arial" w:cs="Arial"/>
                <w:b/>
                <w:color w:val="000000"/>
                <w:sz w:val="18"/>
                <w:szCs w:val="18"/>
              </w:rPr>
            </w:pPr>
            <w:r w:rsidRPr="00DA7E4C">
              <w:rPr>
                <w:rFonts w:ascii="Arial" w:eastAsia="Times New Roman" w:hAnsi="Arial" w:cs="Arial"/>
                <w:b/>
                <w:color w:val="000000"/>
                <w:sz w:val="18"/>
                <w:szCs w:val="18"/>
              </w:rPr>
              <w:t>0.000</w:t>
            </w:r>
          </w:p>
        </w:tc>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ascii="Calibri" w:eastAsia="Times New Roman" w:hAnsi="Calibri" w:cs="Times New Roman"/>
                <w:b/>
                <w:color w:val="000000"/>
                <w:sz w:val="18"/>
                <w:szCs w:val="18"/>
              </w:rPr>
            </w:pPr>
          </w:p>
        </w:tc>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ascii="Calibri" w:eastAsia="Times New Roman" w:hAnsi="Calibri" w:cs="Times New Roman"/>
                <w:b/>
                <w:color w:val="000000"/>
                <w:sz w:val="18"/>
                <w:szCs w:val="18"/>
              </w:rPr>
            </w:pPr>
          </w:p>
        </w:tc>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ascii="Arial" w:eastAsia="Times New Roman" w:hAnsi="Arial" w:cs="Arial"/>
                <w:b/>
                <w:color w:val="000000"/>
                <w:sz w:val="18"/>
                <w:szCs w:val="18"/>
              </w:rPr>
            </w:pPr>
            <w:r w:rsidRPr="00DA7E4C">
              <w:rPr>
                <w:rFonts w:ascii="Arial" w:eastAsia="Times New Roman" w:hAnsi="Arial" w:cs="Arial"/>
                <w:b/>
                <w:color w:val="000000"/>
                <w:sz w:val="18"/>
                <w:szCs w:val="18"/>
              </w:rPr>
              <w:t>0.856</w:t>
            </w:r>
          </w:p>
        </w:tc>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ascii="Arial" w:eastAsia="Times New Roman" w:hAnsi="Arial" w:cs="Arial"/>
                <w:b/>
                <w:color w:val="000000"/>
                <w:sz w:val="18"/>
                <w:szCs w:val="18"/>
              </w:rPr>
            </w:pPr>
            <w:r w:rsidRPr="00DA7E4C">
              <w:rPr>
                <w:rFonts w:ascii="Arial" w:eastAsia="Times New Roman" w:hAnsi="Arial" w:cs="Arial"/>
                <w:b/>
                <w:color w:val="000000"/>
                <w:sz w:val="18"/>
                <w:szCs w:val="18"/>
              </w:rPr>
              <w:t>0.001</w:t>
            </w:r>
          </w:p>
        </w:tc>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ascii="Arial" w:eastAsia="Times New Roman" w:hAnsi="Arial" w:cs="Arial"/>
                <w:b/>
                <w:color w:val="000000"/>
                <w:sz w:val="18"/>
                <w:szCs w:val="18"/>
              </w:rPr>
            </w:pPr>
          </w:p>
        </w:tc>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ascii="Arial" w:eastAsia="Times New Roman" w:hAnsi="Arial" w:cs="Arial"/>
                <w:b/>
                <w:color w:val="000000"/>
                <w:sz w:val="18"/>
                <w:szCs w:val="18"/>
              </w:rPr>
            </w:pPr>
          </w:p>
        </w:tc>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ascii="Calibri" w:eastAsia="Times New Roman" w:hAnsi="Calibri" w:cs="Times New Roman"/>
                <w:b/>
                <w:color w:val="000000"/>
                <w:sz w:val="18"/>
                <w:szCs w:val="18"/>
              </w:rPr>
            </w:pPr>
          </w:p>
        </w:tc>
      </w:tr>
      <w:tr w:rsidR="000A22AE" w:rsidRPr="00DA7E4C" w:rsidTr="000A22AE">
        <w:trPr>
          <w:trHeight w:val="300"/>
        </w:trPr>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center"/>
              <w:rPr>
                <w:rFonts w:eastAsia="Times New Roman" w:cs="Times New Roman"/>
                <w:sz w:val="18"/>
                <w:szCs w:val="18"/>
              </w:rPr>
            </w:pPr>
            <w:r w:rsidRPr="00DA7E4C">
              <w:rPr>
                <w:rFonts w:eastAsia="Times New Roman" w:cs="Times New Roman"/>
                <w:sz w:val="18"/>
                <w:szCs w:val="18"/>
              </w:rPr>
              <w:t>4</w:t>
            </w:r>
          </w:p>
        </w:tc>
        <w:tc>
          <w:tcPr>
            <w:tcW w:w="967"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ascii="Arial" w:eastAsia="Times New Roman" w:hAnsi="Arial" w:cs="Arial"/>
                <w:color w:val="000000"/>
                <w:sz w:val="18"/>
                <w:szCs w:val="18"/>
              </w:rPr>
            </w:pPr>
            <w:r w:rsidRPr="00DA7E4C">
              <w:rPr>
                <w:rFonts w:ascii="Arial" w:eastAsia="Times New Roman" w:hAnsi="Arial" w:cs="Arial"/>
                <w:color w:val="000000"/>
                <w:sz w:val="18"/>
                <w:szCs w:val="18"/>
              </w:rPr>
              <w:t>881.202</w:t>
            </w:r>
          </w:p>
        </w:tc>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ascii="Calibri" w:eastAsia="Times New Roman" w:hAnsi="Calibri" w:cs="Times New Roman"/>
                <w:color w:val="000000"/>
                <w:sz w:val="18"/>
                <w:szCs w:val="18"/>
              </w:rPr>
            </w:pPr>
          </w:p>
        </w:tc>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ascii="Calibri" w:eastAsia="Times New Roman" w:hAnsi="Calibri" w:cs="Times New Roman"/>
                <w:color w:val="000000"/>
                <w:sz w:val="18"/>
                <w:szCs w:val="18"/>
              </w:rPr>
            </w:pPr>
          </w:p>
        </w:tc>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ascii="Arial" w:eastAsia="Times New Roman" w:hAnsi="Arial" w:cs="Arial"/>
                <w:color w:val="000000"/>
                <w:sz w:val="18"/>
                <w:szCs w:val="18"/>
              </w:rPr>
            </w:pPr>
            <w:r w:rsidRPr="00DA7E4C">
              <w:rPr>
                <w:rFonts w:ascii="Arial" w:eastAsia="Times New Roman" w:hAnsi="Arial" w:cs="Arial"/>
                <w:color w:val="000000"/>
                <w:sz w:val="18"/>
                <w:szCs w:val="18"/>
              </w:rPr>
              <w:t>416.881</w:t>
            </w:r>
          </w:p>
        </w:tc>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ascii="Calibri" w:eastAsia="Times New Roman" w:hAnsi="Calibri" w:cs="Times New Roman"/>
                <w:color w:val="000000"/>
                <w:sz w:val="18"/>
                <w:szCs w:val="18"/>
              </w:rPr>
            </w:pPr>
          </w:p>
        </w:tc>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ascii="Arial" w:eastAsia="Times New Roman" w:hAnsi="Arial" w:cs="Arial"/>
                <w:color w:val="000000"/>
                <w:sz w:val="18"/>
                <w:szCs w:val="18"/>
              </w:rPr>
            </w:pPr>
            <w:r w:rsidRPr="00DA7E4C">
              <w:rPr>
                <w:rFonts w:ascii="Arial" w:eastAsia="Times New Roman" w:hAnsi="Arial" w:cs="Arial"/>
                <w:color w:val="000000"/>
                <w:sz w:val="18"/>
                <w:szCs w:val="18"/>
              </w:rPr>
              <w:t>0.465</w:t>
            </w:r>
          </w:p>
        </w:tc>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ascii="Arial" w:eastAsia="Times New Roman" w:hAnsi="Arial" w:cs="Arial"/>
                <w:color w:val="000000"/>
                <w:sz w:val="18"/>
                <w:szCs w:val="18"/>
              </w:rPr>
            </w:pPr>
            <w:r w:rsidRPr="00DA7E4C">
              <w:rPr>
                <w:rFonts w:ascii="Arial" w:eastAsia="Times New Roman" w:hAnsi="Arial" w:cs="Arial"/>
                <w:color w:val="000000"/>
                <w:sz w:val="18"/>
                <w:szCs w:val="18"/>
              </w:rPr>
              <w:t>23.262</w:t>
            </w:r>
          </w:p>
        </w:tc>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ascii="Arial" w:eastAsia="Times New Roman" w:hAnsi="Arial" w:cs="Arial"/>
                <w:color w:val="000000"/>
                <w:sz w:val="18"/>
                <w:szCs w:val="18"/>
              </w:rPr>
            </w:pPr>
            <w:r w:rsidRPr="00DA7E4C">
              <w:rPr>
                <w:rFonts w:ascii="Arial" w:eastAsia="Times New Roman" w:hAnsi="Arial" w:cs="Arial"/>
                <w:color w:val="000000"/>
                <w:sz w:val="18"/>
                <w:szCs w:val="18"/>
              </w:rPr>
              <w:t>0.578</w:t>
            </w:r>
          </w:p>
        </w:tc>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ascii="Arial" w:eastAsia="Times New Roman" w:hAnsi="Arial" w:cs="Arial"/>
                <w:color w:val="000000"/>
                <w:sz w:val="18"/>
                <w:szCs w:val="18"/>
              </w:rPr>
            </w:pPr>
            <w:r w:rsidRPr="00DA7E4C">
              <w:rPr>
                <w:rFonts w:ascii="Arial" w:eastAsia="Times New Roman" w:hAnsi="Arial" w:cs="Arial"/>
                <w:color w:val="000000"/>
                <w:sz w:val="18"/>
                <w:szCs w:val="18"/>
              </w:rPr>
              <w:t>1.680</w:t>
            </w:r>
          </w:p>
        </w:tc>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ascii="Arial" w:eastAsia="Times New Roman" w:hAnsi="Arial" w:cs="Arial"/>
                <w:color w:val="000000"/>
                <w:sz w:val="18"/>
                <w:szCs w:val="18"/>
              </w:rPr>
            </w:pPr>
            <w:r w:rsidRPr="00DA7E4C">
              <w:rPr>
                <w:rFonts w:ascii="Arial" w:eastAsia="Times New Roman" w:hAnsi="Arial" w:cs="Arial"/>
                <w:color w:val="000000"/>
                <w:sz w:val="18"/>
                <w:szCs w:val="18"/>
              </w:rPr>
              <w:t>21.139</w:t>
            </w:r>
          </w:p>
        </w:tc>
      </w:tr>
      <w:tr w:rsidR="000A22AE" w:rsidRPr="00DA7E4C" w:rsidTr="000A22AE">
        <w:trPr>
          <w:trHeight w:val="300"/>
        </w:trPr>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center"/>
              <w:rPr>
                <w:rFonts w:eastAsia="Times New Roman" w:cs="Times New Roman"/>
                <w:b/>
                <w:sz w:val="18"/>
                <w:szCs w:val="18"/>
              </w:rPr>
            </w:pPr>
          </w:p>
        </w:tc>
        <w:tc>
          <w:tcPr>
            <w:tcW w:w="967"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ascii="Arial" w:eastAsia="Times New Roman" w:hAnsi="Arial" w:cs="Arial"/>
                <w:b/>
                <w:color w:val="000000"/>
                <w:sz w:val="18"/>
                <w:szCs w:val="18"/>
              </w:rPr>
            </w:pPr>
            <w:r w:rsidRPr="00DA7E4C">
              <w:rPr>
                <w:rFonts w:ascii="Arial" w:eastAsia="Times New Roman" w:hAnsi="Arial" w:cs="Arial"/>
                <w:b/>
                <w:color w:val="000000"/>
                <w:sz w:val="18"/>
                <w:szCs w:val="18"/>
              </w:rPr>
              <w:t>0.754</w:t>
            </w:r>
          </w:p>
        </w:tc>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ascii="Calibri" w:eastAsia="Times New Roman" w:hAnsi="Calibri" w:cs="Times New Roman"/>
                <w:b/>
                <w:color w:val="000000"/>
                <w:sz w:val="18"/>
                <w:szCs w:val="18"/>
              </w:rPr>
            </w:pPr>
          </w:p>
        </w:tc>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ascii="Calibri" w:eastAsia="Times New Roman" w:hAnsi="Calibri" w:cs="Times New Roman"/>
                <w:b/>
                <w:color w:val="000000"/>
                <w:sz w:val="18"/>
                <w:szCs w:val="18"/>
              </w:rPr>
            </w:pPr>
          </w:p>
        </w:tc>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ascii="Arial" w:eastAsia="Times New Roman" w:hAnsi="Arial" w:cs="Arial"/>
                <w:b/>
                <w:color w:val="000000"/>
                <w:sz w:val="18"/>
                <w:szCs w:val="18"/>
              </w:rPr>
            </w:pPr>
            <w:r w:rsidRPr="00DA7E4C">
              <w:rPr>
                <w:rFonts w:ascii="Arial" w:eastAsia="Times New Roman" w:hAnsi="Arial" w:cs="Arial"/>
                <w:b/>
                <w:color w:val="000000"/>
                <w:sz w:val="18"/>
                <w:szCs w:val="18"/>
              </w:rPr>
              <w:t>0.000</w:t>
            </w:r>
          </w:p>
        </w:tc>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ascii="Calibri" w:eastAsia="Times New Roman" w:hAnsi="Calibri" w:cs="Times New Roman"/>
                <w:b/>
                <w:color w:val="000000"/>
                <w:sz w:val="18"/>
                <w:szCs w:val="18"/>
              </w:rPr>
            </w:pPr>
          </w:p>
        </w:tc>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ascii="Arial" w:eastAsia="Times New Roman" w:hAnsi="Arial" w:cs="Arial"/>
                <w:b/>
                <w:color w:val="000000"/>
                <w:sz w:val="18"/>
                <w:szCs w:val="18"/>
              </w:rPr>
            </w:pPr>
            <w:r w:rsidRPr="00DA7E4C">
              <w:rPr>
                <w:rFonts w:ascii="Arial" w:eastAsia="Times New Roman" w:hAnsi="Arial" w:cs="Arial"/>
                <w:b/>
                <w:color w:val="000000"/>
                <w:sz w:val="18"/>
                <w:szCs w:val="18"/>
              </w:rPr>
              <w:t>0.011</w:t>
            </w:r>
          </w:p>
        </w:tc>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ascii="Arial" w:eastAsia="Times New Roman" w:hAnsi="Arial" w:cs="Arial"/>
                <w:b/>
                <w:color w:val="000000"/>
                <w:sz w:val="18"/>
                <w:szCs w:val="18"/>
              </w:rPr>
            </w:pPr>
            <w:r w:rsidRPr="00DA7E4C">
              <w:rPr>
                <w:rFonts w:ascii="Arial" w:eastAsia="Times New Roman" w:hAnsi="Arial" w:cs="Arial"/>
                <w:b/>
                <w:color w:val="000000"/>
                <w:sz w:val="18"/>
                <w:szCs w:val="18"/>
              </w:rPr>
              <w:t>0.000</w:t>
            </w:r>
          </w:p>
        </w:tc>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ascii="Calibri" w:eastAsia="Times New Roman" w:hAnsi="Calibri" w:cs="Times New Roman"/>
                <w:b/>
                <w:color w:val="000000"/>
                <w:sz w:val="18"/>
                <w:szCs w:val="18"/>
              </w:rPr>
            </w:pPr>
          </w:p>
        </w:tc>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ascii="Calibri" w:eastAsia="Times New Roman" w:hAnsi="Calibri" w:cs="Times New Roman"/>
                <w:b/>
                <w:color w:val="000000"/>
                <w:sz w:val="18"/>
                <w:szCs w:val="18"/>
              </w:rPr>
            </w:pPr>
          </w:p>
        </w:tc>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ascii="Calibri" w:eastAsia="Times New Roman" w:hAnsi="Calibri" w:cs="Times New Roman"/>
                <w:b/>
                <w:color w:val="000000"/>
                <w:sz w:val="18"/>
                <w:szCs w:val="18"/>
              </w:rPr>
            </w:pPr>
          </w:p>
        </w:tc>
      </w:tr>
      <w:tr w:rsidR="000A22AE" w:rsidRPr="00DA7E4C" w:rsidTr="000A22AE">
        <w:trPr>
          <w:trHeight w:val="300"/>
        </w:trPr>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center"/>
              <w:rPr>
                <w:rFonts w:eastAsia="Times New Roman" w:cs="Times New Roman"/>
                <w:sz w:val="18"/>
                <w:szCs w:val="18"/>
              </w:rPr>
            </w:pPr>
            <w:r w:rsidRPr="00DA7E4C">
              <w:rPr>
                <w:rFonts w:eastAsia="Times New Roman" w:cs="Times New Roman"/>
                <w:sz w:val="18"/>
                <w:szCs w:val="18"/>
              </w:rPr>
              <w:t>5</w:t>
            </w:r>
          </w:p>
        </w:tc>
        <w:tc>
          <w:tcPr>
            <w:tcW w:w="967"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ascii="Arial" w:eastAsia="Times New Roman" w:hAnsi="Arial" w:cs="Arial"/>
                <w:color w:val="000000"/>
                <w:sz w:val="18"/>
                <w:szCs w:val="18"/>
              </w:rPr>
            </w:pPr>
            <w:r w:rsidRPr="00DA7E4C">
              <w:rPr>
                <w:rFonts w:ascii="Arial" w:eastAsia="Times New Roman" w:hAnsi="Arial" w:cs="Arial"/>
                <w:color w:val="000000"/>
                <w:sz w:val="18"/>
                <w:szCs w:val="18"/>
              </w:rPr>
              <w:t>1450.711</w:t>
            </w:r>
          </w:p>
        </w:tc>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ascii="Calibri" w:eastAsia="Times New Roman" w:hAnsi="Calibri" w:cs="Times New Roman"/>
                <w:color w:val="000000"/>
                <w:sz w:val="18"/>
                <w:szCs w:val="18"/>
              </w:rPr>
            </w:pPr>
          </w:p>
        </w:tc>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ascii="Calibri" w:eastAsia="Times New Roman" w:hAnsi="Calibri" w:cs="Times New Roman"/>
                <w:color w:val="000000"/>
                <w:sz w:val="18"/>
                <w:szCs w:val="18"/>
              </w:rPr>
            </w:pPr>
          </w:p>
        </w:tc>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ascii="Calibri" w:eastAsia="Times New Roman" w:hAnsi="Calibri" w:cs="Times New Roman"/>
                <w:color w:val="000000"/>
                <w:sz w:val="18"/>
                <w:szCs w:val="18"/>
              </w:rPr>
            </w:pPr>
          </w:p>
        </w:tc>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ascii="Arial" w:eastAsia="Times New Roman" w:hAnsi="Arial" w:cs="Arial"/>
                <w:color w:val="000000"/>
                <w:sz w:val="18"/>
                <w:szCs w:val="18"/>
              </w:rPr>
            </w:pPr>
            <w:r w:rsidRPr="00DA7E4C">
              <w:rPr>
                <w:rFonts w:ascii="Arial" w:eastAsia="Times New Roman" w:hAnsi="Arial" w:cs="Arial"/>
                <w:color w:val="000000"/>
                <w:sz w:val="18"/>
                <w:szCs w:val="18"/>
              </w:rPr>
              <w:t>-179.002</w:t>
            </w:r>
          </w:p>
        </w:tc>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ascii="Arial" w:eastAsia="Times New Roman" w:hAnsi="Arial" w:cs="Arial"/>
                <w:color w:val="000000"/>
                <w:sz w:val="18"/>
                <w:szCs w:val="18"/>
              </w:rPr>
            </w:pPr>
            <w:r w:rsidRPr="00DA7E4C">
              <w:rPr>
                <w:rFonts w:ascii="Arial" w:eastAsia="Times New Roman" w:hAnsi="Arial" w:cs="Arial"/>
                <w:color w:val="000000"/>
                <w:sz w:val="18"/>
                <w:szCs w:val="18"/>
              </w:rPr>
              <w:t>0.401</w:t>
            </w:r>
          </w:p>
        </w:tc>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ascii="Arial" w:eastAsia="Times New Roman" w:hAnsi="Arial" w:cs="Arial"/>
                <w:color w:val="000000"/>
                <w:sz w:val="18"/>
                <w:szCs w:val="18"/>
              </w:rPr>
            </w:pPr>
            <w:r w:rsidRPr="00DA7E4C">
              <w:rPr>
                <w:rFonts w:ascii="Arial" w:eastAsia="Times New Roman" w:hAnsi="Arial" w:cs="Arial"/>
                <w:color w:val="000000"/>
                <w:sz w:val="18"/>
                <w:szCs w:val="18"/>
              </w:rPr>
              <w:t>3.660</w:t>
            </w:r>
          </w:p>
        </w:tc>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ascii="Arial" w:eastAsia="Times New Roman" w:hAnsi="Arial" w:cs="Arial"/>
                <w:color w:val="000000"/>
                <w:sz w:val="18"/>
                <w:szCs w:val="18"/>
              </w:rPr>
            </w:pPr>
            <w:r w:rsidRPr="00DA7E4C">
              <w:rPr>
                <w:rFonts w:ascii="Arial" w:eastAsia="Times New Roman" w:hAnsi="Arial" w:cs="Arial"/>
                <w:color w:val="000000"/>
                <w:sz w:val="18"/>
                <w:szCs w:val="18"/>
              </w:rPr>
              <w:t>0.182</w:t>
            </w:r>
          </w:p>
        </w:tc>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ascii="Arial" w:eastAsia="Times New Roman" w:hAnsi="Arial" w:cs="Arial"/>
                <w:color w:val="000000"/>
                <w:sz w:val="18"/>
                <w:szCs w:val="18"/>
              </w:rPr>
            </w:pPr>
            <w:r w:rsidRPr="00DA7E4C">
              <w:rPr>
                <w:rFonts w:ascii="Arial" w:eastAsia="Times New Roman" w:hAnsi="Arial" w:cs="Arial"/>
                <w:color w:val="000000"/>
                <w:sz w:val="18"/>
                <w:szCs w:val="18"/>
              </w:rPr>
              <w:t>1.586</w:t>
            </w:r>
          </w:p>
        </w:tc>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ascii="Arial" w:eastAsia="Times New Roman" w:hAnsi="Arial" w:cs="Arial"/>
                <w:color w:val="000000"/>
                <w:sz w:val="18"/>
                <w:szCs w:val="18"/>
              </w:rPr>
            </w:pPr>
            <w:r w:rsidRPr="00DA7E4C">
              <w:rPr>
                <w:rFonts w:ascii="Arial" w:eastAsia="Times New Roman" w:hAnsi="Arial" w:cs="Arial"/>
                <w:color w:val="000000"/>
                <w:sz w:val="18"/>
                <w:szCs w:val="18"/>
              </w:rPr>
              <w:t>21.830</w:t>
            </w:r>
          </w:p>
        </w:tc>
      </w:tr>
      <w:tr w:rsidR="000A22AE" w:rsidRPr="00DA7E4C" w:rsidTr="000A22AE">
        <w:trPr>
          <w:trHeight w:val="300"/>
        </w:trPr>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center"/>
              <w:rPr>
                <w:rFonts w:eastAsia="Times New Roman" w:cs="Times New Roman"/>
                <w:b/>
                <w:sz w:val="18"/>
                <w:szCs w:val="18"/>
              </w:rPr>
            </w:pPr>
          </w:p>
        </w:tc>
        <w:tc>
          <w:tcPr>
            <w:tcW w:w="967"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ascii="Arial" w:eastAsia="Times New Roman" w:hAnsi="Arial" w:cs="Arial"/>
                <w:b/>
                <w:color w:val="000000"/>
                <w:sz w:val="18"/>
                <w:szCs w:val="18"/>
              </w:rPr>
            </w:pPr>
            <w:r w:rsidRPr="00DA7E4C">
              <w:rPr>
                <w:rFonts w:ascii="Arial" w:eastAsia="Times New Roman" w:hAnsi="Arial" w:cs="Arial"/>
                <w:b/>
                <w:color w:val="000000"/>
                <w:sz w:val="18"/>
                <w:szCs w:val="18"/>
              </w:rPr>
              <w:t>0.686</w:t>
            </w:r>
          </w:p>
        </w:tc>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ascii="Calibri" w:eastAsia="Times New Roman" w:hAnsi="Calibri" w:cs="Times New Roman"/>
                <w:b/>
                <w:color w:val="000000"/>
                <w:sz w:val="18"/>
                <w:szCs w:val="18"/>
              </w:rPr>
            </w:pPr>
          </w:p>
        </w:tc>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ascii="Calibri" w:eastAsia="Times New Roman" w:hAnsi="Calibri" w:cs="Times New Roman"/>
                <w:b/>
                <w:color w:val="000000"/>
                <w:sz w:val="18"/>
                <w:szCs w:val="18"/>
              </w:rPr>
            </w:pPr>
          </w:p>
        </w:tc>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ascii="Calibri" w:eastAsia="Times New Roman" w:hAnsi="Calibri" w:cs="Times New Roman"/>
                <w:b/>
                <w:color w:val="000000"/>
                <w:sz w:val="18"/>
                <w:szCs w:val="18"/>
              </w:rPr>
            </w:pPr>
          </w:p>
        </w:tc>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ascii="Arial" w:eastAsia="Times New Roman" w:hAnsi="Arial" w:cs="Arial"/>
                <w:b/>
                <w:color w:val="000000"/>
                <w:sz w:val="18"/>
                <w:szCs w:val="18"/>
              </w:rPr>
            </w:pPr>
            <w:r w:rsidRPr="00DA7E4C">
              <w:rPr>
                <w:rFonts w:ascii="Arial" w:eastAsia="Times New Roman" w:hAnsi="Arial" w:cs="Arial"/>
                <w:b/>
                <w:color w:val="000000"/>
                <w:sz w:val="18"/>
                <w:szCs w:val="18"/>
              </w:rPr>
              <w:t>0.305</w:t>
            </w:r>
          </w:p>
        </w:tc>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ascii="Arial" w:eastAsia="Times New Roman" w:hAnsi="Arial" w:cs="Arial"/>
                <w:b/>
                <w:color w:val="000000"/>
                <w:sz w:val="18"/>
                <w:szCs w:val="18"/>
              </w:rPr>
            </w:pPr>
            <w:r w:rsidRPr="00DA7E4C">
              <w:rPr>
                <w:rFonts w:ascii="Arial" w:eastAsia="Times New Roman" w:hAnsi="Arial" w:cs="Arial"/>
                <w:b/>
                <w:color w:val="000000"/>
                <w:sz w:val="18"/>
                <w:szCs w:val="18"/>
              </w:rPr>
              <w:t>0.137</w:t>
            </w:r>
          </w:p>
        </w:tc>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ascii="Arial" w:eastAsia="Times New Roman" w:hAnsi="Arial" w:cs="Arial"/>
                <w:b/>
                <w:color w:val="000000"/>
                <w:sz w:val="18"/>
                <w:szCs w:val="18"/>
              </w:rPr>
            </w:pPr>
            <w:r w:rsidRPr="00DA7E4C">
              <w:rPr>
                <w:rFonts w:ascii="Arial" w:eastAsia="Times New Roman" w:hAnsi="Arial" w:cs="Arial"/>
                <w:b/>
                <w:color w:val="000000"/>
                <w:sz w:val="18"/>
                <w:szCs w:val="18"/>
              </w:rPr>
              <w:t>0.037</w:t>
            </w:r>
          </w:p>
        </w:tc>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ascii="Calibri" w:eastAsia="Times New Roman" w:hAnsi="Calibri" w:cs="Times New Roman"/>
                <w:b/>
                <w:color w:val="000000"/>
                <w:sz w:val="18"/>
                <w:szCs w:val="18"/>
              </w:rPr>
            </w:pPr>
          </w:p>
        </w:tc>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ascii="Arial" w:eastAsia="Times New Roman" w:hAnsi="Arial" w:cs="Arial"/>
                <w:b/>
                <w:color w:val="000000"/>
                <w:sz w:val="18"/>
                <w:szCs w:val="18"/>
              </w:rPr>
            </w:pPr>
          </w:p>
        </w:tc>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ascii="Arial" w:eastAsia="Times New Roman" w:hAnsi="Arial" w:cs="Arial"/>
                <w:b/>
                <w:color w:val="000000"/>
                <w:sz w:val="18"/>
                <w:szCs w:val="18"/>
              </w:rPr>
            </w:pPr>
          </w:p>
        </w:tc>
      </w:tr>
    </w:tbl>
    <w:p w:rsidR="000A22AE" w:rsidRPr="00762161" w:rsidRDefault="000A22AE" w:rsidP="000A22AE"/>
    <w:p w:rsidR="000A22AE" w:rsidRPr="00762161" w:rsidRDefault="000A22AE" w:rsidP="000A22AE"/>
    <w:p w:rsidR="000A22AE" w:rsidRPr="00762161" w:rsidRDefault="000A22AE" w:rsidP="000A22AE"/>
    <w:p w:rsidR="000A22AE" w:rsidRPr="00762161" w:rsidRDefault="000A22AE" w:rsidP="000A22AE">
      <w:pPr>
        <w:pStyle w:val="Heading2"/>
      </w:pPr>
      <w:bookmarkStart w:id="368" w:name="_Toc286616345"/>
      <w:r w:rsidRPr="00762161">
        <w:t xml:space="preserve">Table 11: The Relationship between GDP and </w:t>
      </w:r>
      <w:r w:rsidR="00627488">
        <w:t>Real Stock Price</w:t>
      </w:r>
      <w:r w:rsidRPr="00762161">
        <w:t>s (Yearly 1988-1997)</w:t>
      </w:r>
      <w:bookmarkEnd w:id="368"/>
    </w:p>
    <w:tbl>
      <w:tblPr>
        <w:tblW w:w="10567" w:type="dxa"/>
        <w:tblInd w:w="93" w:type="dxa"/>
        <w:tblLook w:val="04A0"/>
      </w:tblPr>
      <w:tblGrid>
        <w:gridCol w:w="960"/>
        <w:gridCol w:w="1035"/>
        <w:gridCol w:w="892"/>
        <w:gridCol w:w="960"/>
        <w:gridCol w:w="960"/>
        <w:gridCol w:w="960"/>
        <w:gridCol w:w="960"/>
        <w:gridCol w:w="960"/>
        <w:gridCol w:w="960"/>
        <w:gridCol w:w="960"/>
        <w:gridCol w:w="960"/>
      </w:tblGrid>
      <w:tr w:rsidR="000A22AE" w:rsidRPr="00DA7E4C" w:rsidTr="000F620E">
        <w:trPr>
          <w:trHeight w:val="300"/>
        </w:trPr>
        <w:tc>
          <w:tcPr>
            <w:tcW w:w="1995" w:type="dxa"/>
            <w:gridSpan w:val="2"/>
            <w:tcBorders>
              <w:top w:val="single" w:sz="8" w:space="0" w:color="auto"/>
              <w:left w:val="single" w:sz="8" w:space="0" w:color="auto"/>
              <w:bottom w:val="single" w:sz="8" w:space="0" w:color="auto"/>
              <w:right w:val="nil"/>
            </w:tcBorders>
            <w:shd w:val="clear" w:color="auto" w:fill="auto"/>
            <w:noWrap/>
            <w:vAlign w:val="bottom"/>
            <w:hideMark/>
          </w:tcPr>
          <w:p w:rsidR="000A22AE" w:rsidRPr="00DA7E4C" w:rsidRDefault="000A22AE" w:rsidP="000A22AE">
            <w:pPr>
              <w:spacing w:before="0" w:after="0" w:line="240" w:lineRule="auto"/>
              <w:jc w:val="center"/>
              <w:rPr>
                <w:rFonts w:eastAsia="Times New Roman" w:cs="Times New Roman"/>
                <w:sz w:val="18"/>
                <w:szCs w:val="18"/>
              </w:rPr>
            </w:pPr>
            <w:r w:rsidRPr="00DA7E4C">
              <w:rPr>
                <w:rFonts w:eastAsia="Times New Roman" w:cs="Times New Roman"/>
                <w:sz w:val="18"/>
                <w:szCs w:val="18"/>
              </w:rPr>
              <w:t>Sample</w:t>
            </w:r>
          </w:p>
          <w:p w:rsidR="000A22AE" w:rsidRPr="00DA7E4C" w:rsidRDefault="000A22AE" w:rsidP="000A22AE">
            <w:pPr>
              <w:spacing w:before="0" w:after="0" w:line="240" w:lineRule="auto"/>
              <w:jc w:val="center"/>
              <w:rPr>
                <w:rFonts w:eastAsia="Times New Roman" w:cs="Times New Roman"/>
                <w:sz w:val="18"/>
                <w:szCs w:val="18"/>
              </w:rPr>
            </w:pPr>
            <w:r w:rsidRPr="00DA7E4C">
              <w:rPr>
                <w:rFonts w:eastAsia="Times New Roman" w:cs="Times New Roman"/>
                <w:sz w:val="18"/>
                <w:szCs w:val="18"/>
              </w:rPr>
              <w:t>1988-1997</w:t>
            </w:r>
          </w:p>
        </w:tc>
        <w:tc>
          <w:tcPr>
            <w:tcW w:w="3772" w:type="dxa"/>
            <w:gridSpan w:val="4"/>
            <w:tcBorders>
              <w:top w:val="single" w:sz="8" w:space="0" w:color="auto"/>
              <w:left w:val="single" w:sz="8" w:space="0" w:color="auto"/>
              <w:bottom w:val="nil"/>
              <w:right w:val="single" w:sz="8" w:space="0" w:color="000000"/>
            </w:tcBorders>
            <w:shd w:val="clear" w:color="auto" w:fill="auto"/>
            <w:vAlign w:val="bottom"/>
            <w:hideMark/>
          </w:tcPr>
          <w:p w:rsidR="000A22AE" w:rsidRPr="00DA7E4C" w:rsidRDefault="000A22AE" w:rsidP="000A22AE">
            <w:pPr>
              <w:spacing w:before="0" w:after="0" w:line="240" w:lineRule="auto"/>
              <w:jc w:val="center"/>
              <w:rPr>
                <w:rFonts w:eastAsia="Times New Roman" w:cs="Times New Roman"/>
                <w:color w:val="000000"/>
                <w:sz w:val="18"/>
                <w:szCs w:val="18"/>
              </w:rPr>
            </w:pPr>
            <w:r w:rsidRPr="00DA7E4C">
              <w:rPr>
                <w:rFonts w:eastAsia="Times New Roman" w:cs="Times New Roman"/>
                <w:color w:val="000000"/>
                <w:sz w:val="18"/>
                <w:szCs w:val="18"/>
              </w:rPr>
              <w:t xml:space="preserve">Real Stock </w:t>
            </w:r>
          </w:p>
        </w:tc>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color w:val="000000"/>
                <w:sz w:val="18"/>
                <w:szCs w:val="18"/>
              </w:rPr>
            </w:pPr>
          </w:p>
        </w:tc>
        <w:tc>
          <w:tcPr>
            <w:tcW w:w="960" w:type="dxa"/>
            <w:tcBorders>
              <w:top w:val="nil"/>
              <w:left w:val="nil"/>
              <w:bottom w:val="nil"/>
              <w:right w:val="single" w:sz="4" w:space="0" w:color="auto"/>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color w:val="000000"/>
                <w:sz w:val="18"/>
                <w:szCs w:val="18"/>
              </w:rPr>
            </w:pPr>
          </w:p>
        </w:tc>
        <w:tc>
          <w:tcPr>
            <w:tcW w:w="960"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A22AE" w:rsidRPr="00DA7E4C" w:rsidRDefault="000A22AE" w:rsidP="000A22AE">
            <w:pPr>
              <w:spacing w:before="0" w:after="0" w:line="240" w:lineRule="auto"/>
              <w:jc w:val="center"/>
              <w:rPr>
                <w:rFonts w:eastAsia="Times New Roman" w:cs="Times New Roman"/>
                <w:sz w:val="18"/>
                <w:szCs w:val="18"/>
              </w:rPr>
            </w:pPr>
            <w:r w:rsidRPr="00DA7E4C">
              <w:rPr>
                <w:rFonts w:eastAsia="Times New Roman" w:cs="Times New Roman"/>
                <w:sz w:val="18"/>
                <w:szCs w:val="18"/>
              </w:rPr>
              <w:t>Adjusted</w:t>
            </w:r>
          </w:p>
          <w:p w:rsidR="000A22AE" w:rsidRPr="00DA7E4C" w:rsidRDefault="000A22AE" w:rsidP="000A22AE">
            <w:pPr>
              <w:spacing w:before="0" w:after="0" w:line="240" w:lineRule="auto"/>
              <w:jc w:val="center"/>
              <w:rPr>
                <w:rFonts w:eastAsia="Times New Roman" w:cs="Times New Roman"/>
                <w:color w:val="000000"/>
                <w:sz w:val="18"/>
                <w:szCs w:val="18"/>
              </w:rPr>
            </w:pPr>
            <w:r w:rsidRPr="00DA7E4C">
              <w:rPr>
                <w:rFonts w:eastAsia="Times New Roman" w:cs="Times New Roman"/>
                <w:sz w:val="18"/>
                <w:szCs w:val="18"/>
              </w:rPr>
              <w:t>R-square</w:t>
            </w:r>
          </w:p>
        </w:tc>
        <w:tc>
          <w:tcPr>
            <w:tcW w:w="960" w:type="dxa"/>
            <w:tcBorders>
              <w:top w:val="nil"/>
              <w:left w:val="single" w:sz="4" w:space="0" w:color="auto"/>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color w:val="000000"/>
                <w:sz w:val="18"/>
                <w:szCs w:val="18"/>
              </w:rPr>
            </w:pPr>
          </w:p>
        </w:tc>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color w:val="000000"/>
                <w:sz w:val="18"/>
                <w:szCs w:val="18"/>
              </w:rPr>
            </w:pPr>
          </w:p>
        </w:tc>
      </w:tr>
      <w:tr w:rsidR="000A22AE" w:rsidRPr="00DA7E4C" w:rsidTr="000F620E">
        <w:trPr>
          <w:trHeight w:val="255"/>
        </w:trPr>
        <w:tc>
          <w:tcPr>
            <w:tcW w:w="960" w:type="dxa"/>
            <w:tcBorders>
              <w:top w:val="nil"/>
              <w:left w:val="single" w:sz="8" w:space="0" w:color="auto"/>
              <w:bottom w:val="single" w:sz="8" w:space="0" w:color="auto"/>
              <w:right w:val="single" w:sz="8" w:space="0" w:color="auto"/>
            </w:tcBorders>
            <w:shd w:val="clear" w:color="auto" w:fill="auto"/>
            <w:noWrap/>
            <w:vAlign w:val="center"/>
            <w:hideMark/>
          </w:tcPr>
          <w:p w:rsidR="000A22AE" w:rsidRPr="00DA7E4C" w:rsidRDefault="000A22AE" w:rsidP="000A22AE">
            <w:pPr>
              <w:spacing w:before="0" w:after="0" w:line="240" w:lineRule="auto"/>
              <w:jc w:val="center"/>
              <w:rPr>
                <w:rFonts w:eastAsia="Times New Roman" w:cs="Times New Roman"/>
                <w:sz w:val="18"/>
                <w:szCs w:val="18"/>
              </w:rPr>
            </w:pPr>
            <w:r w:rsidRPr="00DA7E4C">
              <w:rPr>
                <w:rFonts w:eastAsia="Times New Roman" w:cs="Times New Roman"/>
                <w:sz w:val="18"/>
                <w:szCs w:val="18"/>
              </w:rPr>
              <w:t>No</w:t>
            </w:r>
          </w:p>
        </w:tc>
        <w:tc>
          <w:tcPr>
            <w:tcW w:w="1035" w:type="dxa"/>
            <w:tcBorders>
              <w:top w:val="single" w:sz="8" w:space="0" w:color="auto"/>
              <w:left w:val="nil"/>
              <w:bottom w:val="single" w:sz="8" w:space="0" w:color="auto"/>
              <w:right w:val="single" w:sz="8" w:space="0" w:color="auto"/>
            </w:tcBorders>
            <w:shd w:val="clear" w:color="auto" w:fill="auto"/>
            <w:noWrap/>
            <w:vAlign w:val="center"/>
            <w:hideMark/>
          </w:tcPr>
          <w:p w:rsidR="000A22AE" w:rsidRPr="00DA7E4C" w:rsidRDefault="000A22AE" w:rsidP="000A22AE">
            <w:pPr>
              <w:spacing w:before="0" w:after="0" w:line="240" w:lineRule="auto"/>
              <w:jc w:val="center"/>
              <w:rPr>
                <w:rFonts w:eastAsia="Times New Roman" w:cs="Times New Roman"/>
                <w:sz w:val="18"/>
                <w:szCs w:val="18"/>
              </w:rPr>
            </w:pPr>
            <w:r w:rsidRPr="00DA7E4C">
              <w:rPr>
                <w:rFonts w:eastAsia="Times New Roman" w:cs="Times New Roman"/>
                <w:sz w:val="18"/>
                <w:szCs w:val="18"/>
              </w:rPr>
              <w:t>Intercept</w:t>
            </w:r>
          </w:p>
        </w:tc>
        <w:tc>
          <w:tcPr>
            <w:tcW w:w="892" w:type="dxa"/>
            <w:tcBorders>
              <w:top w:val="nil"/>
              <w:left w:val="nil"/>
              <w:bottom w:val="single" w:sz="8" w:space="0" w:color="auto"/>
              <w:right w:val="single" w:sz="8" w:space="0" w:color="auto"/>
            </w:tcBorders>
            <w:shd w:val="clear" w:color="auto" w:fill="auto"/>
            <w:vAlign w:val="center"/>
            <w:hideMark/>
          </w:tcPr>
          <w:p w:rsidR="000A22AE" w:rsidRPr="00DA7E4C" w:rsidRDefault="000A22AE" w:rsidP="000A22AE">
            <w:pPr>
              <w:spacing w:before="0" w:after="0" w:line="240" w:lineRule="auto"/>
              <w:jc w:val="center"/>
              <w:rPr>
                <w:rFonts w:eastAsia="Times New Roman" w:cs="Times New Roman"/>
                <w:sz w:val="18"/>
                <w:szCs w:val="18"/>
              </w:rPr>
            </w:pPr>
            <w:r w:rsidRPr="00DA7E4C">
              <w:rPr>
                <w:rFonts w:eastAsia="Times New Roman" w:cs="Times New Roman"/>
                <w:sz w:val="18"/>
                <w:szCs w:val="18"/>
              </w:rPr>
              <w:t>t</w:t>
            </w:r>
          </w:p>
        </w:tc>
        <w:tc>
          <w:tcPr>
            <w:tcW w:w="960" w:type="dxa"/>
            <w:tcBorders>
              <w:top w:val="nil"/>
              <w:left w:val="nil"/>
              <w:bottom w:val="single" w:sz="8" w:space="0" w:color="auto"/>
              <w:right w:val="single" w:sz="8" w:space="0" w:color="auto"/>
            </w:tcBorders>
            <w:shd w:val="clear" w:color="auto" w:fill="auto"/>
            <w:vAlign w:val="center"/>
            <w:hideMark/>
          </w:tcPr>
          <w:p w:rsidR="000A22AE" w:rsidRPr="00DA7E4C" w:rsidRDefault="000A22AE" w:rsidP="000A22AE">
            <w:pPr>
              <w:spacing w:before="0" w:after="0" w:line="240" w:lineRule="auto"/>
              <w:jc w:val="center"/>
              <w:rPr>
                <w:rFonts w:eastAsia="Times New Roman" w:cs="Times New Roman"/>
                <w:sz w:val="18"/>
                <w:szCs w:val="18"/>
              </w:rPr>
            </w:pPr>
            <w:r w:rsidRPr="00DA7E4C">
              <w:rPr>
                <w:rFonts w:eastAsia="Times New Roman" w:cs="Times New Roman"/>
                <w:sz w:val="18"/>
                <w:szCs w:val="18"/>
              </w:rPr>
              <w:t>t-1</w:t>
            </w:r>
          </w:p>
        </w:tc>
        <w:tc>
          <w:tcPr>
            <w:tcW w:w="960" w:type="dxa"/>
            <w:tcBorders>
              <w:top w:val="nil"/>
              <w:left w:val="nil"/>
              <w:bottom w:val="single" w:sz="8" w:space="0" w:color="auto"/>
              <w:right w:val="single" w:sz="8" w:space="0" w:color="auto"/>
            </w:tcBorders>
            <w:shd w:val="clear" w:color="auto" w:fill="auto"/>
            <w:vAlign w:val="center"/>
            <w:hideMark/>
          </w:tcPr>
          <w:p w:rsidR="000A22AE" w:rsidRPr="00DA7E4C" w:rsidRDefault="000A22AE" w:rsidP="000A22AE">
            <w:pPr>
              <w:spacing w:before="0" w:after="0" w:line="240" w:lineRule="auto"/>
              <w:jc w:val="center"/>
              <w:rPr>
                <w:rFonts w:eastAsia="Times New Roman" w:cs="Times New Roman"/>
                <w:sz w:val="18"/>
                <w:szCs w:val="18"/>
              </w:rPr>
            </w:pPr>
            <w:r w:rsidRPr="00DA7E4C">
              <w:rPr>
                <w:rFonts w:eastAsia="Times New Roman" w:cs="Times New Roman"/>
                <w:sz w:val="18"/>
                <w:szCs w:val="18"/>
              </w:rPr>
              <w:t>t-2</w:t>
            </w:r>
          </w:p>
        </w:tc>
        <w:tc>
          <w:tcPr>
            <w:tcW w:w="960" w:type="dxa"/>
            <w:tcBorders>
              <w:top w:val="nil"/>
              <w:left w:val="nil"/>
              <w:bottom w:val="single" w:sz="8" w:space="0" w:color="auto"/>
              <w:right w:val="single" w:sz="8" w:space="0" w:color="auto"/>
            </w:tcBorders>
            <w:shd w:val="clear" w:color="auto" w:fill="auto"/>
            <w:vAlign w:val="center"/>
            <w:hideMark/>
          </w:tcPr>
          <w:p w:rsidR="000A22AE" w:rsidRPr="00DA7E4C" w:rsidRDefault="000A22AE" w:rsidP="000A22AE">
            <w:pPr>
              <w:spacing w:before="0" w:after="0" w:line="240" w:lineRule="auto"/>
              <w:jc w:val="center"/>
              <w:rPr>
                <w:rFonts w:eastAsia="Times New Roman" w:cs="Times New Roman"/>
                <w:sz w:val="18"/>
                <w:szCs w:val="18"/>
              </w:rPr>
            </w:pPr>
            <w:r w:rsidRPr="00DA7E4C">
              <w:rPr>
                <w:rFonts w:eastAsia="Times New Roman" w:cs="Times New Roman"/>
                <w:sz w:val="18"/>
                <w:szCs w:val="18"/>
              </w:rPr>
              <w:t>t-3</w:t>
            </w:r>
          </w:p>
        </w:tc>
        <w:tc>
          <w:tcPr>
            <w:tcW w:w="960" w:type="dxa"/>
            <w:tcBorders>
              <w:top w:val="single" w:sz="8" w:space="0" w:color="auto"/>
              <w:left w:val="nil"/>
              <w:bottom w:val="single" w:sz="8" w:space="0" w:color="auto"/>
              <w:right w:val="single" w:sz="8" w:space="0" w:color="auto"/>
            </w:tcBorders>
            <w:shd w:val="clear" w:color="auto" w:fill="auto"/>
            <w:vAlign w:val="center"/>
            <w:hideMark/>
          </w:tcPr>
          <w:p w:rsidR="000A22AE" w:rsidRPr="00DA7E4C" w:rsidRDefault="000A22AE" w:rsidP="000A22AE">
            <w:pPr>
              <w:spacing w:before="0" w:after="0" w:line="240" w:lineRule="auto"/>
              <w:jc w:val="center"/>
              <w:rPr>
                <w:rFonts w:eastAsia="Times New Roman" w:cs="Times New Roman"/>
                <w:sz w:val="18"/>
                <w:szCs w:val="18"/>
              </w:rPr>
            </w:pPr>
            <w:r w:rsidRPr="00DA7E4C">
              <w:rPr>
                <w:rFonts w:eastAsia="Times New Roman" w:cs="Times New Roman"/>
                <w:sz w:val="18"/>
                <w:szCs w:val="18"/>
              </w:rPr>
              <w:t>AR</w:t>
            </w:r>
          </w:p>
        </w:tc>
        <w:tc>
          <w:tcPr>
            <w:tcW w:w="960" w:type="dxa"/>
            <w:tcBorders>
              <w:top w:val="single" w:sz="8" w:space="0" w:color="auto"/>
              <w:left w:val="nil"/>
              <w:bottom w:val="single" w:sz="8" w:space="0" w:color="auto"/>
              <w:right w:val="single" w:sz="4" w:space="0" w:color="auto"/>
            </w:tcBorders>
            <w:shd w:val="clear" w:color="auto" w:fill="auto"/>
            <w:noWrap/>
            <w:vAlign w:val="center"/>
            <w:hideMark/>
          </w:tcPr>
          <w:p w:rsidR="000A22AE" w:rsidRPr="00DA7E4C" w:rsidRDefault="000A22AE" w:rsidP="000A22AE">
            <w:pPr>
              <w:spacing w:before="0" w:after="0" w:line="240" w:lineRule="auto"/>
              <w:jc w:val="center"/>
              <w:rPr>
                <w:rFonts w:eastAsia="Times New Roman" w:cs="Times New Roman"/>
                <w:sz w:val="18"/>
                <w:szCs w:val="18"/>
              </w:rPr>
            </w:pPr>
            <w:r w:rsidRPr="00DA7E4C">
              <w:rPr>
                <w:rFonts w:eastAsia="Times New Roman" w:cs="Times New Roman"/>
                <w:sz w:val="18"/>
                <w:szCs w:val="18"/>
              </w:rPr>
              <w:t>F Value</w:t>
            </w:r>
          </w:p>
        </w:tc>
        <w:tc>
          <w:tcPr>
            <w:tcW w:w="960" w:type="dxa"/>
            <w:vMerge/>
            <w:tcBorders>
              <w:left w:val="single" w:sz="4" w:space="0" w:color="auto"/>
              <w:bottom w:val="single" w:sz="4" w:space="0" w:color="auto"/>
              <w:right w:val="single" w:sz="4" w:space="0" w:color="auto"/>
            </w:tcBorders>
            <w:shd w:val="clear" w:color="auto" w:fill="auto"/>
            <w:noWrap/>
            <w:vAlign w:val="center"/>
            <w:hideMark/>
          </w:tcPr>
          <w:p w:rsidR="000A22AE" w:rsidRPr="00DA7E4C" w:rsidRDefault="000A22AE" w:rsidP="000A22AE">
            <w:pPr>
              <w:spacing w:before="0" w:after="0" w:line="240" w:lineRule="auto"/>
              <w:jc w:val="center"/>
              <w:rPr>
                <w:rFonts w:eastAsia="Times New Roman" w:cs="Times New Roman"/>
                <w:sz w:val="18"/>
                <w:szCs w:val="18"/>
              </w:rPr>
            </w:pPr>
          </w:p>
        </w:tc>
        <w:tc>
          <w:tcPr>
            <w:tcW w:w="960" w:type="dxa"/>
            <w:tcBorders>
              <w:top w:val="single" w:sz="8" w:space="0" w:color="auto"/>
              <w:left w:val="single" w:sz="4" w:space="0" w:color="auto"/>
              <w:bottom w:val="single" w:sz="8" w:space="0" w:color="auto"/>
              <w:right w:val="single" w:sz="8" w:space="0" w:color="auto"/>
            </w:tcBorders>
            <w:shd w:val="clear" w:color="auto" w:fill="auto"/>
            <w:noWrap/>
            <w:vAlign w:val="center"/>
            <w:hideMark/>
          </w:tcPr>
          <w:p w:rsidR="000A22AE" w:rsidRPr="00DA7E4C" w:rsidRDefault="000A22AE" w:rsidP="000A22AE">
            <w:pPr>
              <w:spacing w:before="0" w:after="0" w:line="240" w:lineRule="auto"/>
              <w:jc w:val="center"/>
              <w:rPr>
                <w:rFonts w:eastAsia="Times New Roman" w:cs="Times New Roman"/>
                <w:sz w:val="18"/>
                <w:szCs w:val="18"/>
              </w:rPr>
            </w:pPr>
            <w:r w:rsidRPr="00DA7E4C">
              <w:rPr>
                <w:rFonts w:eastAsia="Times New Roman" w:cs="Times New Roman"/>
                <w:sz w:val="18"/>
                <w:szCs w:val="18"/>
              </w:rPr>
              <w:t>DW</w:t>
            </w:r>
          </w:p>
        </w:tc>
        <w:tc>
          <w:tcPr>
            <w:tcW w:w="960" w:type="dxa"/>
            <w:tcBorders>
              <w:top w:val="single" w:sz="8" w:space="0" w:color="auto"/>
              <w:left w:val="nil"/>
              <w:bottom w:val="single" w:sz="8" w:space="0" w:color="auto"/>
              <w:right w:val="single" w:sz="8" w:space="0" w:color="auto"/>
            </w:tcBorders>
            <w:shd w:val="clear" w:color="auto" w:fill="auto"/>
            <w:vAlign w:val="center"/>
            <w:hideMark/>
          </w:tcPr>
          <w:p w:rsidR="000A22AE" w:rsidRPr="00DA7E4C" w:rsidRDefault="000A22AE" w:rsidP="000A22AE">
            <w:pPr>
              <w:spacing w:before="0" w:after="0" w:line="240" w:lineRule="auto"/>
              <w:jc w:val="center"/>
              <w:rPr>
                <w:rFonts w:eastAsia="Times New Roman" w:cs="Times New Roman"/>
                <w:color w:val="000000"/>
                <w:sz w:val="18"/>
                <w:szCs w:val="18"/>
              </w:rPr>
            </w:pPr>
            <w:r w:rsidRPr="00DA7E4C">
              <w:rPr>
                <w:rFonts w:eastAsia="Times New Roman" w:cs="Times New Roman"/>
                <w:color w:val="000000"/>
                <w:sz w:val="18"/>
                <w:szCs w:val="18"/>
              </w:rPr>
              <w:t>Akaike</w:t>
            </w:r>
          </w:p>
        </w:tc>
      </w:tr>
      <w:tr w:rsidR="000A22AE" w:rsidRPr="00DA7E4C" w:rsidTr="000F620E">
        <w:trPr>
          <w:trHeight w:val="240"/>
        </w:trPr>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center"/>
              <w:rPr>
                <w:rFonts w:eastAsia="Times New Roman" w:cs="Times New Roman"/>
                <w:sz w:val="18"/>
                <w:szCs w:val="18"/>
              </w:rPr>
            </w:pPr>
            <w:r w:rsidRPr="00DA7E4C">
              <w:rPr>
                <w:rFonts w:eastAsia="Times New Roman" w:cs="Times New Roman"/>
                <w:sz w:val="18"/>
                <w:szCs w:val="18"/>
              </w:rPr>
              <w:t>1</w:t>
            </w:r>
          </w:p>
        </w:tc>
        <w:tc>
          <w:tcPr>
            <w:tcW w:w="1035"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-2316.964</w:t>
            </w:r>
          </w:p>
        </w:tc>
        <w:tc>
          <w:tcPr>
            <w:tcW w:w="892"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337.949</w:t>
            </w:r>
          </w:p>
        </w:tc>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239.113</w:t>
            </w:r>
          </w:p>
        </w:tc>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163.680</w:t>
            </w:r>
          </w:p>
        </w:tc>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186.310</w:t>
            </w:r>
          </w:p>
        </w:tc>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0.764</w:t>
            </w:r>
          </w:p>
        </w:tc>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9.812</w:t>
            </w:r>
          </w:p>
        </w:tc>
        <w:tc>
          <w:tcPr>
            <w:tcW w:w="960" w:type="dxa"/>
            <w:tcBorders>
              <w:top w:val="single" w:sz="4" w:space="0" w:color="auto"/>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0.621</w:t>
            </w:r>
          </w:p>
        </w:tc>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0.972</w:t>
            </w:r>
          </w:p>
        </w:tc>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21.009</w:t>
            </w:r>
          </w:p>
        </w:tc>
      </w:tr>
      <w:tr w:rsidR="000A22AE" w:rsidRPr="00DA7E4C" w:rsidTr="000F620E">
        <w:trPr>
          <w:trHeight w:val="240"/>
        </w:trPr>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center"/>
              <w:rPr>
                <w:rFonts w:eastAsia="Times New Roman" w:cs="Times New Roman"/>
                <w:b/>
                <w:sz w:val="18"/>
                <w:szCs w:val="18"/>
              </w:rPr>
            </w:pPr>
          </w:p>
        </w:tc>
        <w:tc>
          <w:tcPr>
            <w:tcW w:w="1035"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b/>
                <w:color w:val="000000"/>
                <w:sz w:val="18"/>
                <w:szCs w:val="18"/>
              </w:rPr>
            </w:pPr>
            <w:r w:rsidRPr="00DA7E4C">
              <w:rPr>
                <w:rFonts w:eastAsia="Times New Roman" w:cs="Times New Roman"/>
                <w:b/>
                <w:color w:val="000000"/>
                <w:sz w:val="18"/>
                <w:szCs w:val="18"/>
              </w:rPr>
              <w:t>0.693</w:t>
            </w:r>
          </w:p>
        </w:tc>
        <w:tc>
          <w:tcPr>
            <w:tcW w:w="892"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b/>
                <w:color w:val="000000"/>
                <w:sz w:val="18"/>
                <w:szCs w:val="18"/>
              </w:rPr>
            </w:pPr>
            <w:r w:rsidRPr="00DA7E4C">
              <w:rPr>
                <w:rFonts w:eastAsia="Times New Roman" w:cs="Times New Roman"/>
                <w:b/>
                <w:color w:val="000000"/>
                <w:sz w:val="18"/>
                <w:szCs w:val="18"/>
              </w:rPr>
              <w:t>0.002</w:t>
            </w:r>
          </w:p>
        </w:tc>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b/>
                <w:color w:val="000000"/>
                <w:sz w:val="18"/>
                <w:szCs w:val="18"/>
              </w:rPr>
            </w:pPr>
            <w:r w:rsidRPr="00DA7E4C">
              <w:rPr>
                <w:rFonts w:eastAsia="Times New Roman" w:cs="Times New Roman"/>
                <w:b/>
                <w:color w:val="000000"/>
                <w:sz w:val="18"/>
                <w:szCs w:val="18"/>
              </w:rPr>
              <w:t>0.012</w:t>
            </w:r>
          </w:p>
        </w:tc>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b/>
                <w:color w:val="000000"/>
                <w:sz w:val="18"/>
                <w:szCs w:val="18"/>
              </w:rPr>
            </w:pPr>
            <w:r w:rsidRPr="00DA7E4C">
              <w:rPr>
                <w:rFonts w:eastAsia="Times New Roman" w:cs="Times New Roman"/>
                <w:b/>
                <w:color w:val="000000"/>
                <w:sz w:val="18"/>
                <w:szCs w:val="18"/>
              </w:rPr>
              <w:t>0.054</w:t>
            </w:r>
          </w:p>
        </w:tc>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b/>
                <w:color w:val="000000"/>
                <w:sz w:val="18"/>
                <w:szCs w:val="18"/>
              </w:rPr>
            </w:pPr>
            <w:r w:rsidRPr="00DA7E4C">
              <w:rPr>
                <w:rFonts w:eastAsia="Times New Roman" w:cs="Times New Roman"/>
                <w:b/>
                <w:color w:val="000000"/>
                <w:sz w:val="18"/>
                <w:szCs w:val="18"/>
              </w:rPr>
              <w:t>0.011</w:t>
            </w:r>
          </w:p>
        </w:tc>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b/>
                <w:color w:val="000000"/>
                <w:sz w:val="18"/>
                <w:szCs w:val="18"/>
              </w:rPr>
            </w:pPr>
            <w:r w:rsidRPr="00DA7E4C">
              <w:rPr>
                <w:rFonts w:eastAsia="Times New Roman" w:cs="Times New Roman"/>
                <w:b/>
                <w:color w:val="000000"/>
                <w:sz w:val="18"/>
                <w:szCs w:val="18"/>
              </w:rPr>
              <w:t>0.000</w:t>
            </w:r>
          </w:p>
        </w:tc>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b/>
                <w:color w:val="000000"/>
                <w:sz w:val="18"/>
                <w:szCs w:val="18"/>
              </w:rPr>
            </w:pPr>
            <w:r w:rsidRPr="00DA7E4C">
              <w:rPr>
                <w:rFonts w:eastAsia="Times New Roman" w:cs="Times New Roman"/>
                <w:b/>
                <w:color w:val="000000"/>
                <w:sz w:val="18"/>
                <w:szCs w:val="18"/>
              </w:rPr>
              <w:t>0.000</w:t>
            </w:r>
          </w:p>
        </w:tc>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b/>
                <w:color w:val="000000"/>
                <w:sz w:val="18"/>
                <w:szCs w:val="18"/>
              </w:rPr>
            </w:pPr>
          </w:p>
        </w:tc>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b/>
                <w:color w:val="000000"/>
                <w:sz w:val="18"/>
                <w:szCs w:val="18"/>
              </w:rPr>
            </w:pPr>
          </w:p>
        </w:tc>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b/>
                <w:color w:val="000000"/>
                <w:sz w:val="18"/>
                <w:szCs w:val="18"/>
              </w:rPr>
            </w:pPr>
          </w:p>
        </w:tc>
      </w:tr>
      <w:tr w:rsidR="000A22AE" w:rsidRPr="00DA7E4C" w:rsidTr="000F620E">
        <w:trPr>
          <w:trHeight w:val="240"/>
        </w:trPr>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center"/>
              <w:rPr>
                <w:rFonts w:eastAsia="Times New Roman" w:cs="Times New Roman"/>
                <w:sz w:val="18"/>
                <w:szCs w:val="18"/>
              </w:rPr>
            </w:pPr>
            <w:r w:rsidRPr="00DA7E4C">
              <w:rPr>
                <w:rFonts w:eastAsia="Times New Roman" w:cs="Times New Roman"/>
                <w:sz w:val="18"/>
                <w:szCs w:val="18"/>
              </w:rPr>
              <w:t>2</w:t>
            </w:r>
          </w:p>
        </w:tc>
        <w:tc>
          <w:tcPr>
            <w:tcW w:w="1035"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-1355.275</w:t>
            </w:r>
          </w:p>
        </w:tc>
        <w:tc>
          <w:tcPr>
            <w:tcW w:w="892"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270.007</w:t>
            </w:r>
          </w:p>
        </w:tc>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color w:val="000000"/>
                <w:sz w:val="18"/>
                <w:szCs w:val="18"/>
              </w:rPr>
            </w:pPr>
          </w:p>
        </w:tc>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color w:val="000000"/>
                <w:sz w:val="18"/>
                <w:szCs w:val="18"/>
              </w:rPr>
            </w:pPr>
          </w:p>
        </w:tc>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color w:val="000000"/>
                <w:sz w:val="18"/>
                <w:szCs w:val="18"/>
              </w:rPr>
            </w:pPr>
          </w:p>
        </w:tc>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0.677</w:t>
            </w:r>
          </w:p>
        </w:tc>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14.302</w:t>
            </w:r>
          </w:p>
        </w:tc>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0.443</w:t>
            </w:r>
          </w:p>
        </w:tc>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1.127</w:t>
            </w:r>
          </w:p>
        </w:tc>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21.134</w:t>
            </w:r>
          </w:p>
        </w:tc>
      </w:tr>
      <w:tr w:rsidR="000A22AE" w:rsidRPr="00DA7E4C" w:rsidTr="000F620E">
        <w:trPr>
          <w:trHeight w:val="240"/>
        </w:trPr>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center"/>
              <w:rPr>
                <w:rFonts w:eastAsia="Times New Roman" w:cs="Times New Roman"/>
                <w:b/>
                <w:sz w:val="18"/>
                <w:szCs w:val="18"/>
              </w:rPr>
            </w:pPr>
          </w:p>
        </w:tc>
        <w:tc>
          <w:tcPr>
            <w:tcW w:w="1035"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b/>
                <w:color w:val="000000"/>
                <w:sz w:val="18"/>
                <w:szCs w:val="18"/>
              </w:rPr>
            </w:pPr>
            <w:r w:rsidRPr="00DA7E4C">
              <w:rPr>
                <w:rFonts w:eastAsia="Times New Roman" w:cs="Times New Roman"/>
                <w:b/>
                <w:color w:val="000000"/>
                <w:sz w:val="18"/>
                <w:szCs w:val="18"/>
              </w:rPr>
              <w:t>0.765</w:t>
            </w:r>
          </w:p>
        </w:tc>
        <w:tc>
          <w:tcPr>
            <w:tcW w:w="892"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b/>
                <w:color w:val="000000"/>
                <w:sz w:val="18"/>
                <w:szCs w:val="18"/>
              </w:rPr>
            </w:pPr>
            <w:r w:rsidRPr="00DA7E4C">
              <w:rPr>
                <w:rFonts w:eastAsia="Times New Roman" w:cs="Times New Roman"/>
                <w:b/>
                <w:color w:val="000000"/>
                <w:sz w:val="18"/>
                <w:szCs w:val="18"/>
              </w:rPr>
              <w:t>0.015</w:t>
            </w:r>
          </w:p>
        </w:tc>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b/>
                <w:color w:val="000000"/>
                <w:sz w:val="18"/>
                <w:szCs w:val="18"/>
              </w:rPr>
            </w:pPr>
          </w:p>
        </w:tc>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b/>
                <w:color w:val="000000"/>
                <w:sz w:val="18"/>
                <w:szCs w:val="18"/>
              </w:rPr>
            </w:pPr>
          </w:p>
        </w:tc>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b/>
                <w:color w:val="000000"/>
                <w:sz w:val="18"/>
                <w:szCs w:val="18"/>
              </w:rPr>
            </w:pPr>
          </w:p>
        </w:tc>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b/>
                <w:color w:val="000000"/>
                <w:sz w:val="18"/>
                <w:szCs w:val="18"/>
              </w:rPr>
            </w:pPr>
            <w:r w:rsidRPr="00DA7E4C">
              <w:rPr>
                <w:rFonts w:eastAsia="Times New Roman" w:cs="Times New Roman"/>
                <w:b/>
                <w:color w:val="000000"/>
                <w:sz w:val="18"/>
                <w:szCs w:val="18"/>
              </w:rPr>
              <w:t>0.000</w:t>
            </w:r>
          </w:p>
        </w:tc>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b/>
                <w:color w:val="000000"/>
                <w:sz w:val="18"/>
                <w:szCs w:val="18"/>
              </w:rPr>
            </w:pPr>
            <w:r w:rsidRPr="00DA7E4C">
              <w:rPr>
                <w:rFonts w:eastAsia="Times New Roman" w:cs="Times New Roman"/>
                <w:b/>
                <w:color w:val="000000"/>
                <w:sz w:val="18"/>
                <w:szCs w:val="18"/>
              </w:rPr>
              <w:t>0.000</w:t>
            </w:r>
          </w:p>
        </w:tc>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b/>
                <w:color w:val="000000"/>
                <w:sz w:val="18"/>
                <w:szCs w:val="18"/>
              </w:rPr>
            </w:pPr>
          </w:p>
        </w:tc>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b/>
                <w:color w:val="000000"/>
                <w:sz w:val="18"/>
                <w:szCs w:val="18"/>
              </w:rPr>
            </w:pPr>
          </w:p>
        </w:tc>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b/>
                <w:color w:val="000000"/>
                <w:sz w:val="18"/>
                <w:szCs w:val="18"/>
              </w:rPr>
            </w:pPr>
          </w:p>
        </w:tc>
      </w:tr>
      <w:tr w:rsidR="000A22AE" w:rsidRPr="00DA7E4C" w:rsidTr="000F620E">
        <w:trPr>
          <w:trHeight w:val="240"/>
        </w:trPr>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center"/>
              <w:rPr>
                <w:rFonts w:eastAsia="Times New Roman" w:cs="Times New Roman"/>
                <w:sz w:val="18"/>
                <w:szCs w:val="18"/>
              </w:rPr>
            </w:pPr>
            <w:r w:rsidRPr="00DA7E4C">
              <w:rPr>
                <w:rFonts w:eastAsia="Times New Roman" w:cs="Times New Roman"/>
                <w:sz w:val="18"/>
                <w:szCs w:val="18"/>
              </w:rPr>
              <w:t>3</w:t>
            </w:r>
          </w:p>
        </w:tc>
        <w:tc>
          <w:tcPr>
            <w:tcW w:w="1035"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-690.311</w:t>
            </w:r>
          </w:p>
        </w:tc>
        <w:tc>
          <w:tcPr>
            <w:tcW w:w="892"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color w:val="000000"/>
                <w:sz w:val="18"/>
                <w:szCs w:val="18"/>
              </w:rPr>
            </w:pPr>
          </w:p>
        </w:tc>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66.628</w:t>
            </w:r>
          </w:p>
        </w:tc>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color w:val="000000"/>
                <w:sz w:val="18"/>
                <w:szCs w:val="18"/>
              </w:rPr>
            </w:pPr>
          </w:p>
        </w:tc>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color w:val="000000"/>
                <w:sz w:val="18"/>
                <w:szCs w:val="18"/>
              </w:rPr>
            </w:pPr>
          </w:p>
        </w:tc>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0.554</w:t>
            </w:r>
          </w:p>
        </w:tc>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8.496</w:t>
            </w:r>
          </w:p>
        </w:tc>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0.327</w:t>
            </w:r>
          </w:p>
        </w:tc>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1.563</w:t>
            </w:r>
          </w:p>
        </w:tc>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21.353</w:t>
            </w:r>
          </w:p>
        </w:tc>
      </w:tr>
      <w:tr w:rsidR="000A22AE" w:rsidRPr="00DA7E4C" w:rsidTr="000F620E">
        <w:trPr>
          <w:trHeight w:val="240"/>
        </w:trPr>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center"/>
              <w:rPr>
                <w:rFonts w:eastAsia="Times New Roman" w:cs="Times New Roman"/>
                <w:b/>
                <w:sz w:val="18"/>
                <w:szCs w:val="18"/>
              </w:rPr>
            </w:pPr>
          </w:p>
        </w:tc>
        <w:tc>
          <w:tcPr>
            <w:tcW w:w="1035"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b/>
                <w:color w:val="000000"/>
                <w:sz w:val="18"/>
                <w:szCs w:val="18"/>
              </w:rPr>
            </w:pPr>
            <w:r w:rsidRPr="00DA7E4C">
              <w:rPr>
                <w:rFonts w:eastAsia="Times New Roman" w:cs="Times New Roman"/>
                <w:b/>
                <w:color w:val="000000"/>
                <w:sz w:val="18"/>
                <w:szCs w:val="18"/>
              </w:rPr>
              <w:t>0.852</w:t>
            </w:r>
          </w:p>
        </w:tc>
        <w:tc>
          <w:tcPr>
            <w:tcW w:w="892"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b/>
                <w:color w:val="000000"/>
                <w:sz w:val="18"/>
                <w:szCs w:val="18"/>
              </w:rPr>
            </w:pPr>
          </w:p>
        </w:tc>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b/>
                <w:color w:val="000000"/>
                <w:sz w:val="18"/>
                <w:szCs w:val="18"/>
              </w:rPr>
            </w:pPr>
            <w:r w:rsidRPr="00DA7E4C">
              <w:rPr>
                <w:rFonts w:eastAsia="Times New Roman" w:cs="Times New Roman"/>
                <w:b/>
                <w:color w:val="000000"/>
                <w:sz w:val="18"/>
                <w:szCs w:val="18"/>
              </w:rPr>
              <w:t>0.501</w:t>
            </w:r>
          </w:p>
        </w:tc>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b/>
                <w:color w:val="000000"/>
                <w:sz w:val="18"/>
                <w:szCs w:val="18"/>
              </w:rPr>
            </w:pPr>
          </w:p>
        </w:tc>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b/>
                <w:color w:val="000000"/>
                <w:sz w:val="18"/>
                <w:szCs w:val="18"/>
              </w:rPr>
            </w:pPr>
          </w:p>
        </w:tc>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b/>
                <w:color w:val="000000"/>
                <w:sz w:val="18"/>
                <w:szCs w:val="18"/>
              </w:rPr>
            </w:pPr>
            <w:r w:rsidRPr="00DA7E4C">
              <w:rPr>
                <w:rFonts w:eastAsia="Times New Roman" w:cs="Times New Roman"/>
                <w:b/>
                <w:color w:val="000000"/>
                <w:sz w:val="18"/>
                <w:szCs w:val="18"/>
              </w:rPr>
              <w:t>0.000</w:t>
            </w:r>
          </w:p>
        </w:tc>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b/>
                <w:color w:val="000000"/>
                <w:sz w:val="18"/>
                <w:szCs w:val="18"/>
              </w:rPr>
            </w:pPr>
            <w:r w:rsidRPr="00DA7E4C">
              <w:rPr>
                <w:rFonts w:eastAsia="Times New Roman" w:cs="Times New Roman"/>
                <w:b/>
                <w:color w:val="000000"/>
                <w:sz w:val="18"/>
                <w:szCs w:val="18"/>
              </w:rPr>
              <w:t>0.001</w:t>
            </w:r>
          </w:p>
        </w:tc>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b/>
                <w:color w:val="000000"/>
                <w:sz w:val="18"/>
                <w:szCs w:val="18"/>
              </w:rPr>
            </w:pPr>
          </w:p>
        </w:tc>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b/>
                <w:color w:val="000000"/>
                <w:sz w:val="18"/>
                <w:szCs w:val="18"/>
              </w:rPr>
            </w:pPr>
          </w:p>
        </w:tc>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b/>
                <w:color w:val="000000"/>
                <w:sz w:val="18"/>
                <w:szCs w:val="18"/>
              </w:rPr>
            </w:pPr>
          </w:p>
        </w:tc>
      </w:tr>
      <w:tr w:rsidR="000A22AE" w:rsidRPr="00DA7E4C" w:rsidTr="000F620E">
        <w:trPr>
          <w:trHeight w:val="240"/>
        </w:trPr>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center"/>
              <w:rPr>
                <w:rFonts w:eastAsia="Times New Roman" w:cs="Times New Roman"/>
                <w:sz w:val="18"/>
                <w:szCs w:val="18"/>
              </w:rPr>
            </w:pPr>
            <w:r w:rsidRPr="00DA7E4C">
              <w:rPr>
                <w:rFonts w:eastAsia="Times New Roman" w:cs="Times New Roman"/>
                <w:sz w:val="18"/>
                <w:szCs w:val="18"/>
              </w:rPr>
              <w:t>4</w:t>
            </w:r>
          </w:p>
        </w:tc>
        <w:tc>
          <w:tcPr>
            <w:tcW w:w="1035"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-652.473</w:t>
            </w:r>
          </w:p>
        </w:tc>
        <w:tc>
          <w:tcPr>
            <w:tcW w:w="892"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color w:val="000000"/>
                <w:sz w:val="18"/>
                <w:szCs w:val="18"/>
              </w:rPr>
            </w:pPr>
          </w:p>
        </w:tc>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color w:val="000000"/>
                <w:sz w:val="18"/>
                <w:szCs w:val="18"/>
              </w:rPr>
            </w:pPr>
          </w:p>
        </w:tc>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115.951</w:t>
            </w:r>
          </w:p>
        </w:tc>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color w:val="000000"/>
                <w:sz w:val="18"/>
                <w:szCs w:val="18"/>
              </w:rPr>
            </w:pPr>
          </w:p>
        </w:tc>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0.566</w:t>
            </w:r>
          </w:p>
        </w:tc>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8.977</w:t>
            </w:r>
          </w:p>
        </w:tc>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0.346</w:t>
            </w:r>
          </w:p>
        </w:tc>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1.440</w:t>
            </w:r>
          </w:p>
        </w:tc>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21.355</w:t>
            </w:r>
          </w:p>
        </w:tc>
      </w:tr>
      <w:tr w:rsidR="000A22AE" w:rsidRPr="00DA7E4C" w:rsidTr="000F620E">
        <w:trPr>
          <w:trHeight w:val="240"/>
        </w:trPr>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center"/>
              <w:rPr>
                <w:rFonts w:eastAsia="Times New Roman" w:cs="Times New Roman"/>
                <w:b/>
                <w:sz w:val="18"/>
                <w:szCs w:val="18"/>
              </w:rPr>
            </w:pPr>
          </w:p>
        </w:tc>
        <w:tc>
          <w:tcPr>
            <w:tcW w:w="1035"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b/>
                <w:color w:val="000000"/>
                <w:sz w:val="18"/>
                <w:szCs w:val="18"/>
              </w:rPr>
            </w:pPr>
            <w:r w:rsidRPr="00DA7E4C">
              <w:rPr>
                <w:rFonts w:eastAsia="Times New Roman" w:cs="Times New Roman"/>
                <w:b/>
                <w:color w:val="000000"/>
                <w:sz w:val="18"/>
                <w:szCs w:val="18"/>
              </w:rPr>
              <w:t>0.866</w:t>
            </w:r>
          </w:p>
        </w:tc>
        <w:tc>
          <w:tcPr>
            <w:tcW w:w="892"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b/>
                <w:color w:val="000000"/>
                <w:sz w:val="18"/>
                <w:szCs w:val="18"/>
              </w:rPr>
            </w:pPr>
          </w:p>
        </w:tc>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b/>
                <w:color w:val="000000"/>
                <w:sz w:val="18"/>
                <w:szCs w:val="18"/>
              </w:rPr>
            </w:pPr>
          </w:p>
        </w:tc>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b/>
                <w:color w:val="000000"/>
                <w:sz w:val="18"/>
                <w:szCs w:val="18"/>
              </w:rPr>
            </w:pPr>
            <w:r w:rsidRPr="00DA7E4C">
              <w:rPr>
                <w:rFonts w:eastAsia="Times New Roman" w:cs="Times New Roman"/>
                <w:b/>
                <w:color w:val="000000"/>
                <w:sz w:val="18"/>
                <w:szCs w:val="18"/>
              </w:rPr>
              <w:t>0.242</w:t>
            </w:r>
          </w:p>
        </w:tc>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b/>
                <w:color w:val="000000"/>
                <w:sz w:val="18"/>
                <w:szCs w:val="18"/>
              </w:rPr>
            </w:pPr>
          </w:p>
        </w:tc>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b/>
                <w:color w:val="000000"/>
                <w:sz w:val="18"/>
                <w:szCs w:val="18"/>
              </w:rPr>
            </w:pPr>
            <w:r w:rsidRPr="00DA7E4C">
              <w:rPr>
                <w:rFonts w:eastAsia="Times New Roman" w:cs="Times New Roman"/>
                <w:b/>
                <w:color w:val="000000"/>
                <w:sz w:val="18"/>
                <w:szCs w:val="18"/>
              </w:rPr>
              <w:t>0.000</w:t>
            </w:r>
          </w:p>
        </w:tc>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b/>
                <w:color w:val="000000"/>
                <w:sz w:val="18"/>
                <w:szCs w:val="18"/>
              </w:rPr>
            </w:pPr>
            <w:r w:rsidRPr="00DA7E4C">
              <w:rPr>
                <w:rFonts w:eastAsia="Times New Roman" w:cs="Times New Roman"/>
                <w:b/>
                <w:color w:val="000000"/>
                <w:sz w:val="18"/>
                <w:szCs w:val="18"/>
              </w:rPr>
              <w:t>0.001</w:t>
            </w:r>
          </w:p>
        </w:tc>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b/>
                <w:color w:val="000000"/>
                <w:sz w:val="18"/>
                <w:szCs w:val="18"/>
              </w:rPr>
            </w:pPr>
          </w:p>
        </w:tc>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b/>
                <w:color w:val="000000"/>
                <w:sz w:val="18"/>
                <w:szCs w:val="18"/>
              </w:rPr>
            </w:pPr>
          </w:p>
        </w:tc>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b/>
                <w:color w:val="000000"/>
                <w:sz w:val="18"/>
                <w:szCs w:val="18"/>
              </w:rPr>
            </w:pPr>
          </w:p>
        </w:tc>
      </w:tr>
      <w:tr w:rsidR="000A22AE" w:rsidRPr="00DA7E4C" w:rsidTr="000F620E">
        <w:trPr>
          <w:trHeight w:val="240"/>
        </w:trPr>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center"/>
              <w:rPr>
                <w:rFonts w:eastAsia="Times New Roman" w:cs="Times New Roman"/>
                <w:sz w:val="18"/>
                <w:szCs w:val="18"/>
              </w:rPr>
            </w:pPr>
            <w:r w:rsidRPr="00DA7E4C">
              <w:rPr>
                <w:rFonts w:eastAsia="Times New Roman" w:cs="Times New Roman"/>
                <w:sz w:val="18"/>
                <w:szCs w:val="18"/>
              </w:rPr>
              <w:t>5</w:t>
            </w:r>
          </w:p>
        </w:tc>
        <w:tc>
          <w:tcPr>
            <w:tcW w:w="1035"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-696.904</w:t>
            </w:r>
          </w:p>
        </w:tc>
        <w:tc>
          <w:tcPr>
            <w:tcW w:w="892"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color w:val="000000"/>
                <w:sz w:val="18"/>
                <w:szCs w:val="18"/>
              </w:rPr>
            </w:pPr>
          </w:p>
        </w:tc>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color w:val="000000"/>
                <w:sz w:val="18"/>
                <w:szCs w:val="18"/>
              </w:rPr>
            </w:pPr>
          </w:p>
        </w:tc>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color w:val="000000"/>
                <w:sz w:val="18"/>
                <w:szCs w:val="18"/>
              </w:rPr>
            </w:pPr>
          </w:p>
        </w:tc>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142.503</w:t>
            </w:r>
          </w:p>
        </w:tc>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0.569</w:t>
            </w:r>
          </w:p>
        </w:tc>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9.627</w:t>
            </w:r>
          </w:p>
        </w:tc>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0.368</w:t>
            </w:r>
          </w:p>
        </w:tc>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1.334</w:t>
            </w:r>
          </w:p>
        </w:tc>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21.352</w:t>
            </w:r>
          </w:p>
        </w:tc>
      </w:tr>
      <w:tr w:rsidR="000A22AE" w:rsidRPr="00DA7E4C" w:rsidTr="000F620E">
        <w:trPr>
          <w:trHeight w:val="240"/>
        </w:trPr>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center"/>
              <w:rPr>
                <w:rFonts w:eastAsia="Times New Roman" w:cs="Times New Roman"/>
                <w:b/>
                <w:sz w:val="18"/>
                <w:szCs w:val="18"/>
              </w:rPr>
            </w:pPr>
          </w:p>
        </w:tc>
        <w:tc>
          <w:tcPr>
            <w:tcW w:w="1035"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b/>
                <w:color w:val="000000"/>
                <w:sz w:val="18"/>
                <w:szCs w:val="18"/>
              </w:rPr>
            </w:pPr>
            <w:r w:rsidRPr="00DA7E4C">
              <w:rPr>
                <w:rFonts w:eastAsia="Times New Roman" w:cs="Times New Roman"/>
                <w:b/>
                <w:color w:val="000000"/>
                <w:sz w:val="18"/>
                <w:szCs w:val="18"/>
              </w:rPr>
              <w:t>0.859</w:t>
            </w:r>
          </w:p>
        </w:tc>
        <w:tc>
          <w:tcPr>
            <w:tcW w:w="892"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b/>
                <w:color w:val="000000"/>
                <w:sz w:val="18"/>
                <w:szCs w:val="18"/>
              </w:rPr>
            </w:pPr>
          </w:p>
        </w:tc>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b/>
                <w:color w:val="000000"/>
                <w:sz w:val="18"/>
                <w:szCs w:val="18"/>
              </w:rPr>
            </w:pPr>
          </w:p>
        </w:tc>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b/>
                <w:color w:val="000000"/>
                <w:sz w:val="18"/>
                <w:szCs w:val="18"/>
              </w:rPr>
            </w:pPr>
          </w:p>
        </w:tc>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b/>
                <w:color w:val="000000"/>
                <w:sz w:val="18"/>
                <w:szCs w:val="18"/>
              </w:rPr>
            </w:pPr>
            <w:r w:rsidRPr="00DA7E4C">
              <w:rPr>
                <w:rFonts w:eastAsia="Times New Roman" w:cs="Times New Roman"/>
                <w:b/>
                <w:color w:val="000000"/>
                <w:sz w:val="18"/>
                <w:szCs w:val="18"/>
              </w:rPr>
              <w:t>0.115</w:t>
            </w:r>
          </w:p>
        </w:tc>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b/>
                <w:color w:val="000000"/>
                <w:sz w:val="18"/>
                <w:szCs w:val="18"/>
              </w:rPr>
            </w:pPr>
            <w:r w:rsidRPr="00DA7E4C">
              <w:rPr>
                <w:rFonts w:eastAsia="Times New Roman" w:cs="Times New Roman"/>
                <w:b/>
                <w:color w:val="000000"/>
                <w:sz w:val="18"/>
                <w:szCs w:val="18"/>
              </w:rPr>
              <w:t>0.000</w:t>
            </w:r>
          </w:p>
        </w:tc>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b/>
                <w:color w:val="000000"/>
                <w:sz w:val="18"/>
                <w:szCs w:val="18"/>
              </w:rPr>
            </w:pPr>
            <w:r w:rsidRPr="00DA7E4C">
              <w:rPr>
                <w:rFonts w:eastAsia="Times New Roman" w:cs="Times New Roman"/>
                <w:b/>
                <w:color w:val="000000"/>
                <w:sz w:val="18"/>
                <w:szCs w:val="18"/>
              </w:rPr>
              <w:t>0.001</w:t>
            </w:r>
          </w:p>
        </w:tc>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b/>
                <w:color w:val="000000"/>
                <w:sz w:val="18"/>
                <w:szCs w:val="18"/>
              </w:rPr>
            </w:pPr>
          </w:p>
        </w:tc>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b/>
                <w:color w:val="000000"/>
                <w:sz w:val="18"/>
                <w:szCs w:val="18"/>
              </w:rPr>
            </w:pPr>
          </w:p>
        </w:tc>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b/>
                <w:color w:val="000000"/>
                <w:sz w:val="18"/>
                <w:szCs w:val="18"/>
              </w:rPr>
            </w:pPr>
          </w:p>
        </w:tc>
      </w:tr>
    </w:tbl>
    <w:p w:rsidR="000A22AE" w:rsidRDefault="000A22AE" w:rsidP="000A22AE"/>
    <w:p w:rsidR="000F620E" w:rsidRPr="00762161" w:rsidRDefault="000F620E" w:rsidP="000A22AE"/>
    <w:p w:rsidR="000A22AE" w:rsidRPr="00762161" w:rsidRDefault="000A22AE" w:rsidP="000A22AE"/>
    <w:p w:rsidR="000A22AE" w:rsidRPr="00762161" w:rsidRDefault="000A22AE" w:rsidP="000A22AE"/>
    <w:p w:rsidR="000A22AE" w:rsidRPr="00762161" w:rsidRDefault="000A22AE" w:rsidP="000A22AE">
      <w:pPr>
        <w:pStyle w:val="Heading2"/>
      </w:pPr>
      <w:bookmarkStart w:id="369" w:name="_Toc286616346"/>
      <w:r w:rsidRPr="00762161">
        <w:t xml:space="preserve">Table 12: The Relationship between GDP and </w:t>
      </w:r>
      <w:r w:rsidR="00627488">
        <w:t>Real Stock Price</w:t>
      </w:r>
      <w:r w:rsidRPr="00762161">
        <w:t>s (Yearly 1997-2010)</w:t>
      </w:r>
      <w:bookmarkEnd w:id="369"/>
    </w:p>
    <w:tbl>
      <w:tblPr>
        <w:tblW w:w="10567" w:type="dxa"/>
        <w:tblInd w:w="93" w:type="dxa"/>
        <w:tblLook w:val="04A0"/>
      </w:tblPr>
      <w:tblGrid>
        <w:gridCol w:w="960"/>
        <w:gridCol w:w="1035"/>
        <w:gridCol w:w="892"/>
        <w:gridCol w:w="960"/>
        <w:gridCol w:w="960"/>
        <w:gridCol w:w="960"/>
        <w:gridCol w:w="960"/>
        <w:gridCol w:w="960"/>
        <w:gridCol w:w="960"/>
        <w:gridCol w:w="960"/>
        <w:gridCol w:w="960"/>
      </w:tblGrid>
      <w:tr w:rsidR="000A22AE" w:rsidRPr="00DA7E4C" w:rsidTr="000F620E">
        <w:trPr>
          <w:trHeight w:val="300"/>
        </w:trPr>
        <w:tc>
          <w:tcPr>
            <w:tcW w:w="1995" w:type="dxa"/>
            <w:gridSpan w:val="2"/>
            <w:tcBorders>
              <w:top w:val="single" w:sz="8" w:space="0" w:color="auto"/>
              <w:left w:val="single" w:sz="8" w:space="0" w:color="auto"/>
              <w:bottom w:val="single" w:sz="8" w:space="0" w:color="auto"/>
              <w:right w:val="nil"/>
            </w:tcBorders>
            <w:shd w:val="clear" w:color="auto" w:fill="auto"/>
            <w:noWrap/>
            <w:vAlign w:val="bottom"/>
            <w:hideMark/>
          </w:tcPr>
          <w:p w:rsidR="000A22AE" w:rsidRPr="00DA7E4C" w:rsidRDefault="000A22AE" w:rsidP="000A22AE">
            <w:pPr>
              <w:spacing w:before="0" w:after="0" w:line="240" w:lineRule="auto"/>
              <w:jc w:val="center"/>
              <w:rPr>
                <w:rFonts w:eastAsia="Times New Roman" w:cs="Times New Roman"/>
                <w:sz w:val="18"/>
                <w:szCs w:val="18"/>
              </w:rPr>
            </w:pPr>
            <w:r w:rsidRPr="00DA7E4C">
              <w:rPr>
                <w:rFonts w:eastAsia="Times New Roman" w:cs="Times New Roman"/>
                <w:sz w:val="18"/>
                <w:szCs w:val="18"/>
              </w:rPr>
              <w:t>Sample</w:t>
            </w:r>
          </w:p>
          <w:p w:rsidR="000A22AE" w:rsidRPr="00DA7E4C" w:rsidRDefault="000A22AE" w:rsidP="000A22AE">
            <w:pPr>
              <w:spacing w:before="0" w:after="0" w:line="240" w:lineRule="auto"/>
              <w:jc w:val="center"/>
              <w:rPr>
                <w:rFonts w:eastAsia="Times New Roman" w:cs="Times New Roman"/>
                <w:sz w:val="18"/>
                <w:szCs w:val="18"/>
              </w:rPr>
            </w:pPr>
            <w:r w:rsidRPr="00DA7E4C">
              <w:rPr>
                <w:rFonts w:eastAsia="Times New Roman" w:cs="Times New Roman"/>
                <w:sz w:val="18"/>
                <w:szCs w:val="18"/>
              </w:rPr>
              <w:t>1997-2009</w:t>
            </w:r>
          </w:p>
        </w:tc>
        <w:tc>
          <w:tcPr>
            <w:tcW w:w="3772" w:type="dxa"/>
            <w:gridSpan w:val="4"/>
            <w:tcBorders>
              <w:top w:val="single" w:sz="8" w:space="0" w:color="auto"/>
              <w:left w:val="single" w:sz="8" w:space="0" w:color="auto"/>
              <w:bottom w:val="nil"/>
              <w:right w:val="single" w:sz="8" w:space="0" w:color="000000"/>
            </w:tcBorders>
            <w:shd w:val="clear" w:color="auto" w:fill="auto"/>
            <w:vAlign w:val="bottom"/>
            <w:hideMark/>
          </w:tcPr>
          <w:p w:rsidR="000A22AE" w:rsidRPr="00DA7E4C" w:rsidRDefault="000A22AE" w:rsidP="000A22AE">
            <w:pPr>
              <w:spacing w:before="0" w:after="0" w:line="240" w:lineRule="auto"/>
              <w:jc w:val="center"/>
              <w:rPr>
                <w:rFonts w:eastAsia="Times New Roman" w:cs="Times New Roman"/>
                <w:color w:val="000000"/>
                <w:sz w:val="18"/>
                <w:szCs w:val="18"/>
              </w:rPr>
            </w:pPr>
            <w:r w:rsidRPr="00DA7E4C">
              <w:rPr>
                <w:rFonts w:eastAsia="Times New Roman" w:cs="Times New Roman"/>
                <w:color w:val="000000"/>
                <w:sz w:val="18"/>
                <w:szCs w:val="18"/>
              </w:rPr>
              <w:t xml:space="preserve">Real Stock </w:t>
            </w:r>
          </w:p>
        </w:tc>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color w:val="000000"/>
                <w:sz w:val="18"/>
                <w:szCs w:val="18"/>
              </w:rPr>
            </w:pPr>
          </w:p>
        </w:tc>
        <w:tc>
          <w:tcPr>
            <w:tcW w:w="960" w:type="dxa"/>
            <w:tcBorders>
              <w:top w:val="nil"/>
              <w:left w:val="nil"/>
              <w:bottom w:val="nil"/>
              <w:right w:val="single" w:sz="4" w:space="0" w:color="auto"/>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color w:val="000000"/>
                <w:sz w:val="18"/>
                <w:szCs w:val="18"/>
              </w:rPr>
            </w:pPr>
          </w:p>
        </w:tc>
        <w:tc>
          <w:tcPr>
            <w:tcW w:w="960"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A22AE" w:rsidRPr="00DA7E4C" w:rsidRDefault="000A22AE" w:rsidP="000A22AE">
            <w:pPr>
              <w:spacing w:before="0" w:after="0" w:line="240" w:lineRule="auto"/>
              <w:jc w:val="center"/>
              <w:rPr>
                <w:rFonts w:eastAsia="Times New Roman" w:cs="Times New Roman"/>
                <w:sz w:val="18"/>
                <w:szCs w:val="18"/>
              </w:rPr>
            </w:pPr>
            <w:r w:rsidRPr="00DA7E4C">
              <w:rPr>
                <w:rFonts w:eastAsia="Times New Roman" w:cs="Times New Roman"/>
                <w:sz w:val="18"/>
                <w:szCs w:val="18"/>
              </w:rPr>
              <w:t>Adjusted</w:t>
            </w:r>
          </w:p>
          <w:p w:rsidR="000A22AE" w:rsidRPr="00DA7E4C" w:rsidRDefault="000A22AE" w:rsidP="000A22AE">
            <w:pPr>
              <w:spacing w:before="0" w:after="0" w:line="240" w:lineRule="auto"/>
              <w:jc w:val="center"/>
              <w:rPr>
                <w:rFonts w:eastAsia="Times New Roman" w:cs="Times New Roman"/>
                <w:color w:val="000000"/>
                <w:sz w:val="18"/>
                <w:szCs w:val="18"/>
              </w:rPr>
            </w:pPr>
            <w:r w:rsidRPr="00DA7E4C">
              <w:rPr>
                <w:rFonts w:eastAsia="Times New Roman" w:cs="Times New Roman"/>
                <w:sz w:val="18"/>
                <w:szCs w:val="18"/>
              </w:rPr>
              <w:t>R-square</w:t>
            </w:r>
          </w:p>
        </w:tc>
        <w:tc>
          <w:tcPr>
            <w:tcW w:w="960" w:type="dxa"/>
            <w:tcBorders>
              <w:top w:val="nil"/>
              <w:left w:val="single" w:sz="4" w:space="0" w:color="auto"/>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color w:val="000000"/>
                <w:sz w:val="18"/>
                <w:szCs w:val="18"/>
              </w:rPr>
            </w:pPr>
          </w:p>
        </w:tc>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color w:val="000000"/>
                <w:sz w:val="18"/>
                <w:szCs w:val="18"/>
              </w:rPr>
            </w:pPr>
          </w:p>
        </w:tc>
      </w:tr>
      <w:tr w:rsidR="000A22AE" w:rsidRPr="00DA7E4C" w:rsidTr="000F620E">
        <w:trPr>
          <w:trHeight w:val="255"/>
        </w:trPr>
        <w:tc>
          <w:tcPr>
            <w:tcW w:w="960" w:type="dxa"/>
            <w:tcBorders>
              <w:top w:val="nil"/>
              <w:left w:val="single" w:sz="8" w:space="0" w:color="auto"/>
              <w:bottom w:val="single" w:sz="8" w:space="0" w:color="auto"/>
              <w:right w:val="single" w:sz="8" w:space="0" w:color="auto"/>
            </w:tcBorders>
            <w:shd w:val="clear" w:color="auto" w:fill="auto"/>
            <w:noWrap/>
            <w:vAlign w:val="center"/>
            <w:hideMark/>
          </w:tcPr>
          <w:p w:rsidR="000A22AE" w:rsidRPr="00DA7E4C" w:rsidRDefault="000A22AE" w:rsidP="000A22AE">
            <w:pPr>
              <w:spacing w:before="0" w:after="0" w:line="240" w:lineRule="auto"/>
              <w:jc w:val="center"/>
              <w:rPr>
                <w:rFonts w:eastAsia="Times New Roman" w:cs="Times New Roman"/>
                <w:sz w:val="18"/>
                <w:szCs w:val="18"/>
              </w:rPr>
            </w:pPr>
            <w:r w:rsidRPr="00DA7E4C">
              <w:rPr>
                <w:rFonts w:eastAsia="Times New Roman" w:cs="Times New Roman"/>
                <w:sz w:val="18"/>
                <w:szCs w:val="18"/>
              </w:rPr>
              <w:t>No</w:t>
            </w:r>
          </w:p>
        </w:tc>
        <w:tc>
          <w:tcPr>
            <w:tcW w:w="1035" w:type="dxa"/>
            <w:tcBorders>
              <w:top w:val="single" w:sz="8" w:space="0" w:color="auto"/>
              <w:left w:val="nil"/>
              <w:bottom w:val="single" w:sz="8" w:space="0" w:color="auto"/>
              <w:right w:val="single" w:sz="8" w:space="0" w:color="auto"/>
            </w:tcBorders>
            <w:shd w:val="clear" w:color="auto" w:fill="auto"/>
            <w:noWrap/>
            <w:vAlign w:val="center"/>
            <w:hideMark/>
          </w:tcPr>
          <w:p w:rsidR="000A22AE" w:rsidRPr="00DA7E4C" w:rsidRDefault="000A22AE" w:rsidP="000A22AE">
            <w:pPr>
              <w:spacing w:before="0" w:after="0" w:line="240" w:lineRule="auto"/>
              <w:jc w:val="center"/>
              <w:rPr>
                <w:rFonts w:eastAsia="Times New Roman" w:cs="Times New Roman"/>
                <w:sz w:val="18"/>
                <w:szCs w:val="18"/>
              </w:rPr>
            </w:pPr>
            <w:r w:rsidRPr="00DA7E4C">
              <w:rPr>
                <w:rFonts w:eastAsia="Times New Roman" w:cs="Times New Roman"/>
                <w:sz w:val="18"/>
                <w:szCs w:val="18"/>
              </w:rPr>
              <w:t>Intercept</w:t>
            </w:r>
          </w:p>
        </w:tc>
        <w:tc>
          <w:tcPr>
            <w:tcW w:w="892" w:type="dxa"/>
            <w:tcBorders>
              <w:top w:val="nil"/>
              <w:left w:val="nil"/>
              <w:bottom w:val="single" w:sz="8" w:space="0" w:color="auto"/>
              <w:right w:val="single" w:sz="8" w:space="0" w:color="auto"/>
            </w:tcBorders>
            <w:shd w:val="clear" w:color="auto" w:fill="auto"/>
            <w:vAlign w:val="center"/>
            <w:hideMark/>
          </w:tcPr>
          <w:p w:rsidR="000A22AE" w:rsidRPr="00DA7E4C" w:rsidRDefault="000A22AE" w:rsidP="000A22AE">
            <w:pPr>
              <w:spacing w:before="0" w:after="0" w:line="240" w:lineRule="auto"/>
              <w:jc w:val="center"/>
              <w:rPr>
                <w:rFonts w:eastAsia="Times New Roman" w:cs="Times New Roman"/>
                <w:sz w:val="18"/>
                <w:szCs w:val="18"/>
              </w:rPr>
            </w:pPr>
            <w:r w:rsidRPr="00DA7E4C">
              <w:rPr>
                <w:rFonts w:eastAsia="Times New Roman" w:cs="Times New Roman"/>
                <w:sz w:val="18"/>
                <w:szCs w:val="18"/>
              </w:rPr>
              <w:t>t</w:t>
            </w:r>
          </w:p>
        </w:tc>
        <w:tc>
          <w:tcPr>
            <w:tcW w:w="960" w:type="dxa"/>
            <w:tcBorders>
              <w:top w:val="nil"/>
              <w:left w:val="nil"/>
              <w:bottom w:val="single" w:sz="8" w:space="0" w:color="auto"/>
              <w:right w:val="single" w:sz="8" w:space="0" w:color="auto"/>
            </w:tcBorders>
            <w:shd w:val="clear" w:color="auto" w:fill="auto"/>
            <w:vAlign w:val="center"/>
            <w:hideMark/>
          </w:tcPr>
          <w:p w:rsidR="000A22AE" w:rsidRPr="00DA7E4C" w:rsidRDefault="000A22AE" w:rsidP="000A22AE">
            <w:pPr>
              <w:spacing w:before="0" w:after="0" w:line="240" w:lineRule="auto"/>
              <w:jc w:val="center"/>
              <w:rPr>
                <w:rFonts w:eastAsia="Times New Roman" w:cs="Times New Roman"/>
                <w:sz w:val="18"/>
                <w:szCs w:val="18"/>
              </w:rPr>
            </w:pPr>
            <w:r w:rsidRPr="00DA7E4C">
              <w:rPr>
                <w:rFonts w:eastAsia="Times New Roman" w:cs="Times New Roman"/>
                <w:sz w:val="18"/>
                <w:szCs w:val="18"/>
              </w:rPr>
              <w:t>t-1</w:t>
            </w:r>
          </w:p>
        </w:tc>
        <w:tc>
          <w:tcPr>
            <w:tcW w:w="960" w:type="dxa"/>
            <w:tcBorders>
              <w:top w:val="nil"/>
              <w:left w:val="nil"/>
              <w:bottom w:val="single" w:sz="8" w:space="0" w:color="auto"/>
              <w:right w:val="single" w:sz="8" w:space="0" w:color="auto"/>
            </w:tcBorders>
            <w:shd w:val="clear" w:color="auto" w:fill="auto"/>
            <w:vAlign w:val="center"/>
            <w:hideMark/>
          </w:tcPr>
          <w:p w:rsidR="000A22AE" w:rsidRPr="00DA7E4C" w:rsidRDefault="000A22AE" w:rsidP="000A22AE">
            <w:pPr>
              <w:spacing w:before="0" w:after="0" w:line="240" w:lineRule="auto"/>
              <w:jc w:val="center"/>
              <w:rPr>
                <w:rFonts w:eastAsia="Times New Roman" w:cs="Times New Roman"/>
                <w:sz w:val="18"/>
                <w:szCs w:val="18"/>
              </w:rPr>
            </w:pPr>
            <w:r w:rsidRPr="00DA7E4C">
              <w:rPr>
                <w:rFonts w:eastAsia="Times New Roman" w:cs="Times New Roman"/>
                <w:sz w:val="18"/>
                <w:szCs w:val="18"/>
              </w:rPr>
              <w:t>t-2</w:t>
            </w:r>
          </w:p>
        </w:tc>
        <w:tc>
          <w:tcPr>
            <w:tcW w:w="960" w:type="dxa"/>
            <w:tcBorders>
              <w:top w:val="nil"/>
              <w:left w:val="nil"/>
              <w:bottom w:val="single" w:sz="8" w:space="0" w:color="auto"/>
              <w:right w:val="single" w:sz="8" w:space="0" w:color="auto"/>
            </w:tcBorders>
            <w:shd w:val="clear" w:color="auto" w:fill="auto"/>
            <w:vAlign w:val="center"/>
            <w:hideMark/>
          </w:tcPr>
          <w:p w:rsidR="000A22AE" w:rsidRPr="00DA7E4C" w:rsidRDefault="000A22AE" w:rsidP="000A22AE">
            <w:pPr>
              <w:spacing w:before="0" w:after="0" w:line="240" w:lineRule="auto"/>
              <w:jc w:val="center"/>
              <w:rPr>
                <w:rFonts w:eastAsia="Times New Roman" w:cs="Times New Roman"/>
                <w:sz w:val="18"/>
                <w:szCs w:val="18"/>
              </w:rPr>
            </w:pPr>
            <w:r w:rsidRPr="00DA7E4C">
              <w:rPr>
                <w:rFonts w:eastAsia="Times New Roman" w:cs="Times New Roman"/>
                <w:sz w:val="18"/>
                <w:szCs w:val="18"/>
              </w:rPr>
              <w:t>t-3</w:t>
            </w:r>
          </w:p>
        </w:tc>
        <w:tc>
          <w:tcPr>
            <w:tcW w:w="960" w:type="dxa"/>
            <w:tcBorders>
              <w:top w:val="single" w:sz="8" w:space="0" w:color="auto"/>
              <w:left w:val="nil"/>
              <w:bottom w:val="single" w:sz="8" w:space="0" w:color="auto"/>
              <w:right w:val="single" w:sz="8" w:space="0" w:color="auto"/>
            </w:tcBorders>
            <w:shd w:val="clear" w:color="auto" w:fill="auto"/>
            <w:vAlign w:val="center"/>
            <w:hideMark/>
          </w:tcPr>
          <w:p w:rsidR="000A22AE" w:rsidRPr="00DA7E4C" w:rsidRDefault="000A22AE" w:rsidP="000A22AE">
            <w:pPr>
              <w:spacing w:before="0" w:after="0" w:line="240" w:lineRule="auto"/>
              <w:jc w:val="center"/>
              <w:rPr>
                <w:rFonts w:eastAsia="Times New Roman" w:cs="Times New Roman"/>
                <w:sz w:val="18"/>
                <w:szCs w:val="18"/>
              </w:rPr>
            </w:pPr>
            <w:r w:rsidRPr="00DA7E4C">
              <w:rPr>
                <w:rFonts w:eastAsia="Times New Roman" w:cs="Times New Roman"/>
                <w:sz w:val="18"/>
                <w:szCs w:val="18"/>
              </w:rPr>
              <w:t>AR</w:t>
            </w:r>
          </w:p>
        </w:tc>
        <w:tc>
          <w:tcPr>
            <w:tcW w:w="960" w:type="dxa"/>
            <w:tcBorders>
              <w:top w:val="single" w:sz="8" w:space="0" w:color="auto"/>
              <w:left w:val="nil"/>
              <w:bottom w:val="single" w:sz="8" w:space="0" w:color="auto"/>
              <w:right w:val="single" w:sz="4" w:space="0" w:color="auto"/>
            </w:tcBorders>
            <w:shd w:val="clear" w:color="auto" w:fill="auto"/>
            <w:noWrap/>
            <w:vAlign w:val="center"/>
            <w:hideMark/>
          </w:tcPr>
          <w:p w:rsidR="000A22AE" w:rsidRPr="00DA7E4C" w:rsidRDefault="000A22AE" w:rsidP="000A22AE">
            <w:pPr>
              <w:spacing w:before="0" w:after="0" w:line="240" w:lineRule="auto"/>
              <w:jc w:val="center"/>
              <w:rPr>
                <w:rFonts w:eastAsia="Times New Roman" w:cs="Times New Roman"/>
                <w:sz w:val="18"/>
                <w:szCs w:val="18"/>
              </w:rPr>
            </w:pPr>
            <w:r w:rsidRPr="00DA7E4C">
              <w:rPr>
                <w:rFonts w:eastAsia="Times New Roman" w:cs="Times New Roman"/>
                <w:sz w:val="18"/>
                <w:szCs w:val="18"/>
              </w:rPr>
              <w:t>F Value</w:t>
            </w:r>
          </w:p>
        </w:tc>
        <w:tc>
          <w:tcPr>
            <w:tcW w:w="960" w:type="dxa"/>
            <w:vMerge/>
            <w:tcBorders>
              <w:left w:val="single" w:sz="4" w:space="0" w:color="auto"/>
              <w:bottom w:val="single" w:sz="4" w:space="0" w:color="auto"/>
              <w:right w:val="single" w:sz="4" w:space="0" w:color="auto"/>
            </w:tcBorders>
            <w:shd w:val="clear" w:color="auto" w:fill="auto"/>
            <w:noWrap/>
            <w:vAlign w:val="center"/>
            <w:hideMark/>
          </w:tcPr>
          <w:p w:rsidR="000A22AE" w:rsidRPr="00DA7E4C" w:rsidRDefault="000A22AE" w:rsidP="000A22AE">
            <w:pPr>
              <w:spacing w:before="0" w:after="0" w:line="240" w:lineRule="auto"/>
              <w:jc w:val="center"/>
              <w:rPr>
                <w:rFonts w:eastAsia="Times New Roman" w:cs="Times New Roman"/>
                <w:sz w:val="18"/>
                <w:szCs w:val="18"/>
              </w:rPr>
            </w:pPr>
          </w:p>
        </w:tc>
        <w:tc>
          <w:tcPr>
            <w:tcW w:w="960" w:type="dxa"/>
            <w:tcBorders>
              <w:top w:val="single" w:sz="8" w:space="0" w:color="auto"/>
              <w:left w:val="single" w:sz="4" w:space="0" w:color="auto"/>
              <w:bottom w:val="single" w:sz="8" w:space="0" w:color="auto"/>
              <w:right w:val="single" w:sz="8" w:space="0" w:color="auto"/>
            </w:tcBorders>
            <w:shd w:val="clear" w:color="auto" w:fill="auto"/>
            <w:noWrap/>
            <w:vAlign w:val="center"/>
            <w:hideMark/>
          </w:tcPr>
          <w:p w:rsidR="000A22AE" w:rsidRPr="00DA7E4C" w:rsidRDefault="000A22AE" w:rsidP="000A22AE">
            <w:pPr>
              <w:spacing w:before="0" w:after="0" w:line="240" w:lineRule="auto"/>
              <w:jc w:val="center"/>
              <w:rPr>
                <w:rFonts w:eastAsia="Times New Roman" w:cs="Times New Roman"/>
                <w:sz w:val="18"/>
                <w:szCs w:val="18"/>
              </w:rPr>
            </w:pPr>
            <w:r w:rsidRPr="00DA7E4C">
              <w:rPr>
                <w:rFonts w:eastAsia="Times New Roman" w:cs="Times New Roman"/>
                <w:sz w:val="18"/>
                <w:szCs w:val="18"/>
              </w:rPr>
              <w:t>DW</w:t>
            </w:r>
          </w:p>
        </w:tc>
        <w:tc>
          <w:tcPr>
            <w:tcW w:w="960" w:type="dxa"/>
            <w:tcBorders>
              <w:top w:val="single" w:sz="8" w:space="0" w:color="auto"/>
              <w:left w:val="nil"/>
              <w:bottom w:val="single" w:sz="8" w:space="0" w:color="auto"/>
              <w:right w:val="single" w:sz="8" w:space="0" w:color="auto"/>
            </w:tcBorders>
            <w:shd w:val="clear" w:color="auto" w:fill="auto"/>
            <w:vAlign w:val="center"/>
            <w:hideMark/>
          </w:tcPr>
          <w:p w:rsidR="000A22AE" w:rsidRPr="00DA7E4C" w:rsidRDefault="000A22AE" w:rsidP="000A22AE">
            <w:pPr>
              <w:spacing w:before="0" w:after="0" w:line="240" w:lineRule="auto"/>
              <w:jc w:val="center"/>
              <w:rPr>
                <w:rFonts w:eastAsia="Times New Roman" w:cs="Times New Roman"/>
                <w:color w:val="000000"/>
                <w:sz w:val="18"/>
                <w:szCs w:val="18"/>
              </w:rPr>
            </w:pPr>
            <w:r w:rsidRPr="00DA7E4C">
              <w:rPr>
                <w:rFonts w:eastAsia="Times New Roman" w:cs="Times New Roman"/>
                <w:color w:val="000000"/>
                <w:sz w:val="18"/>
                <w:szCs w:val="18"/>
              </w:rPr>
              <w:t>Akaike</w:t>
            </w:r>
          </w:p>
        </w:tc>
      </w:tr>
      <w:tr w:rsidR="000A22AE" w:rsidRPr="00DA7E4C" w:rsidTr="000F620E">
        <w:trPr>
          <w:trHeight w:val="240"/>
        </w:trPr>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center"/>
              <w:rPr>
                <w:rFonts w:eastAsia="Times New Roman" w:cs="Times New Roman"/>
                <w:sz w:val="18"/>
                <w:szCs w:val="18"/>
              </w:rPr>
            </w:pPr>
            <w:r w:rsidRPr="00DA7E4C">
              <w:rPr>
                <w:rFonts w:eastAsia="Times New Roman" w:cs="Times New Roman"/>
                <w:sz w:val="18"/>
                <w:szCs w:val="18"/>
              </w:rPr>
              <w:t>1</w:t>
            </w:r>
          </w:p>
        </w:tc>
        <w:tc>
          <w:tcPr>
            <w:tcW w:w="1035"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-213.409</w:t>
            </w:r>
          </w:p>
        </w:tc>
        <w:tc>
          <w:tcPr>
            <w:tcW w:w="892"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13.899</w:t>
            </w:r>
          </w:p>
        </w:tc>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282.662</w:t>
            </w:r>
          </w:p>
        </w:tc>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5.485</w:t>
            </w:r>
          </w:p>
        </w:tc>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-71.870</w:t>
            </w:r>
          </w:p>
        </w:tc>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0.686</w:t>
            </w:r>
          </w:p>
        </w:tc>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86.869</w:t>
            </w:r>
          </w:p>
        </w:tc>
        <w:tc>
          <w:tcPr>
            <w:tcW w:w="960" w:type="dxa"/>
            <w:tcBorders>
              <w:top w:val="single" w:sz="4" w:space="0" w:color="auto"/>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0.935</w:t>
            </w:r>
          </w:p>
        </w:tc>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1.528</w:t>
            </w:r>
          </w:p>
        </w:tc>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19.939</w:t>
            </w:r>
          </w:p>
        </w:tc>
      </w:tr>
      <w:tr w:rsidR="000A22AE" w:rsidRPr="00DA7E4C" w:rsidTr="000F620E">
        <w:trPr>
          <w:trHeight w:val="240"/>
        </w:trPr>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center"/>
              <w:rPr>
                <w:rFonts w:eastAsia="Times New Roman" w:cs="Times New Roman"/>
                <w:b/>
                <w:sz w:val="18"/>
                <w:szCs w:val="18"/>
              </w:rPr>
            </w:pPr>
          </w:p>
        </w:tc>
        <w:tc>
          <w:tcPr>
            <w:tcW w:w="1035"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b/>
                <w:color w:val="000000"/>
                <w:sz w:val="18"/>
                <w:szCs w:val="18"/>
              </w:rPr>
            </w:pPr>
            <w:r w:rsidRPr="00DA7E4C">
              <w:rPr>
                <w:rFonts w:eastAsia="Times New Roman" w:cs="Times New Roman"/>
                <w:b/>
                <w:color w:val="000000"/>
                <w:sz w:val="18"/>
                <w:szCs w:val="18"/>
              </w:rPr>
              <w:t>0.934</w:t>
            </w:r>
          </w:p>
        </w:tc>
        <w:tc>
          <w:tcPr>
            <w:tcW w:w="892"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b/>
                <w:color w:val="000000"/>
                <w:sz w:val="18"/>
                <w:szCs w:val="18"/>
              </w:rPr>
            </w:pPr>
            <w:r w:rsidRPr="00DA7E4C">
              <w:rPr>
                <w:rFonts w:eastAsia="Times New Roman" w:cs="Times New Roman"/>
                <w:b/>
                <w:color w:val="000000"/>
                <w:sz w:val="18"/>
                <w:szCs w:val="18"/>
              </w:rPr>
              <w:t>0.556</w:t>
            </w:r>
          </w:p>
        </w:tc>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b/>
                <w:color w:val="000000"/>
                <w:sz w:val="18"/>
                <w:szCs w:val="18"/>
              </w:rPr>
            </w:pPr>
            <w:r w:rsidRPr="00DA7E4C">
              <w:rPr>
                <w:rFonts w:eastAsia="Times New Roman" w:cs="Times New Roman"/>
                <w:b/>
                <w:color w:val="000000"/>
                <w:sz w:val="18"/>
                <w:szCs w:val="18"/>
              </w:rPr>
              <w:t>0.000</w:t>
            </w:r>
          </w:p>
        </w:tc>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b/>
                <w:color w:val="000000"/>
                <w:sz w:val="18"/>
                <w:szCs w:val="18"/>
              </w:rPr>
            </w:pPr>
            <w:r w:rsidRPr="00DA7E4C">
              <w:rPr>
                <w:rFonts w:eastAsia="Times New Roman" w:cs="Times New Roman"/>
                <w:b/>
                <w:color w:val="000000"/>
                <w:sz w:val="18"/>
                <w:szCs w:val="18"/>
              </w:rPr>
              <w:t>0.831</w:t>
            </w:r>
          </w:p>
        </w:tc>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b/>
                <w:color w:val="000000"/>
                <w:sz w:val="18"/>
                <w:szCs w:val="18"/>
              </w:rPr>
            </w:pPr>
            <w:r w:rsidRPr="00DA7E4C">
              <w:rPr>
                <w:rFonts w:eastAsia="Times New Roman" w:cs="Times New Roman"/>
                <w:b/>
                <w:color w:val="000000"/>
                <w:sz w:val="18"/>
                <w:szCs w:val="18"/>
              </w:rPr>
              <w:t>0.045</w:t>
            </w:r>
          </w:p>
        </w:tc>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b/>
                <w:color w:val="000000"/>
                <w:sz w:val="18"/>
                <w:szCs w:val="18"/>
              </w:rPr>
            </w:pPr>
            <w:r w:rsidRPr="00DA7E4C">
              <w:rPr>
                <w:rFonts w:eastAsia="Times New Roman" w:cs="Times New Roman"/>
                <w:b/>
                <w:color w:val="000000"/>
                <w:sz w:val="18"/>
                <w:szCs w:val="18"/>
              </w:rPr>
              <w:t>0.000</w:t>
            </w:r>
          </w:p>
        </w:tc>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b/>
                <w:color w:val="000000"/>
                <w:sz w:val="18"/>
                <w:szCs w:val="18"/>
              </w:rPr>
            </w:pPr>
            <w:r w:rsidRPr="00DA7E4C">
              <w:rPr>
                <w:rFonts w:eastAsia="Times New Roman" w:cs="Times New Roman"/>
                <w:b/>
                <w:color w:val="000000"/>
                <w:sz w:val="18"/>
                <w:szCs w:val="18"/>
              </w:rPr>
              <w:t>0.000</w:t>
            </w:r>
          </w:p>
        </w:tc>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b/>
                <w:color w:val="000000"/>
                <w:sz w:val="18"/>
                <w:szCs w:val="18"/>
              </w:rPr>
            </w:pPr>
          </w:p>
        </w:tc>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b/>
                <w:color w:val="000000"/>
                <w:sz w:val="18"/>
                <w:szCs w:val="18"/>
              </w:rPr>
            </w:pPr>
          </w:p>
        </w:tc>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b/>
                <w:color w:val="000000"/>
                <w:sz w:val="18"/>
                <w:szCs w:val="18"/>
              </w:rPr>
            </w:pPr>
          </w:p>
        </w:tc>
      </w:tr>
      <w:tr w:rsidR="000A22AE" w:rsidRPr="00DA7E4C" w:rsidTr="000F620E">
        <w:trPr>
          <w:trHeight w:val="240"/>
        </w:trPr>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center"/>
              <w:rPr>
                <w:rFonts w:eastAsia="Times New Roman" w:cs="Times New Roman"/>
                <w:sz w:val="18"/>
                <w:szCs w:val="18"/>
              </w:rPr>
            </w:pPr>
            <w:r w:rsidRPr="00DA7E4C">
              <w:rPr>
                <w:rFonts w:eastAsia="Times New Roman" w:cs="Times New Roman"/>
                <w:sz w:val="18"/>
                <w:szCs w:val="18"/>
              </w:rPr>
              <w:t>2</w:t>
            </w:r>
          </w:p>
        </w:tc>
        <w:tc>
          <w:tcPr>
            <w:tcW w:w="1035"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-659.427</w:t>
            </w:r>
          </w:p>
        </w:tc>
        <w:tc>
          <w:tcPr>
            <w:tcW w:w="892"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119.555</w:t>
            </w:r>
          </w:p>
        </w:tc>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color w:val="000000"/>
                <w:sz w:val="18"/>
                <w:szCs w:val="18"/>
              </w:rPr>
            </w:pPr>
          </w:p>
        </w:tc>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color w:val="000000"/>
                <w:sz w:val="18"/>
                <w:szCs w:val="18"/>
              </w:rPr>
            </w:pPr>
          </w:p>
        </w:tc>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color w:val="000000"/>
                <w:sz w:val="18"/>
                <w:szCs w:val="18"/>
              </w:rPr>
            </w:pPr>
          </w:p>
        </w:tc>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0.202</w:t>
            </w:r>
          </w:p>
        </w:tc>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5.727</w:t>
            </w:r>
          </w:p>
        </w:tc>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0.241</w:t>
            </w:r>
          </w:p>
        </w:tc>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1.732</w:t>
            </w:r>
          </w:p>
        </w:tc>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22.143</w:t>
            </w:r>
          </w:p>
        </w:tc>
      </w:tr>
      <w:tr w:rsidR="000A22AE" w:rsidRPr="00DA7E4C" w:rsidTr="000F620E">
        <w:trPr>
          <w:trHeight w:val="240"/>
        </w:trPr>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center"/>
              <w:rPr>
                <w:rFonts w:eastAsia="Times New Roman" w:cs="Times New Roman"/>
                <w:b/>
                <w:sz w:val="18"/>
                <w:szCs w:val="18"/>
              </w:rPr>
            </w:pPr>
          </w:p>
        </w:tc>
        <w:tc>
          <w:tcPr>
            <w:tcW w:w="1035"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b/>
                <w:color w:val="000000"/>
                <w:sz w:val="18"/>
                <w:szCs w:val="18"/>
              </w:rPr>
            </w:pPr>
            <w:r w:rsidRPr="00DA7E4C">
              <w:rPr>
                <w:rFonts w:eastAsia="Times New Roman" w:cs="Times New Roman"/>
                <w:b/>
                <w:color w:val="000000"/>
                <w:sz w:val="18"/>
                <w:szCs w:val="18"/>
              </w:rPr>
              <w:t>0.828</w:t>
            </w:r>
          </w:p>
        </w:tc>
        <w:tc>
          <w:tcPr>
            <w:tcW w:w="892"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b/>
                <w:color w:val="000000"/>
                <w:sz w:val="18"/>
                <w:szCs w:val="18"/>
              </w:rPr>
            </w:pPr>
            <w:r w:rsidRPr="00DA7E4C">
              <w:rPr>
                <w:rFonts w:eastAsia="Times New Roman" w:cs="Times New Roman"/>
                <w:b/>
                <w:color w:val="000000"/>
                <w:sz w:val="18"/>
                <w:szCs w:val="18"/>
              </w:rPr>
              <w:t>0.033</w:t>
            </w:r>
          </w:p>
        </w:tc>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b/>
                <w:color w:val="000000"/>
                <w:sz w:val="18"/>
                <w:szCs w:val="18"/>
              </w:rPr>
            </w:pPr>
          </w:p>
        </w:tc>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b/>
                <w:color w:val="000000"/>
                <w:sz w:val="18"/>
                <w:szCs w:val="18"/>
              </w:rPr>
            </w:pPr>
          </w:p>
        </w:tc>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b/>
                <w:color w:val="000000"/>
                <w:sz w:val="18"/>
                <w:szCs w:val="18"/>
              </w:rPr>
            </w:pPr>
          </w:p>
        </w:tc>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b/>
                <w:color w:val="000000"/>
                <w:sz w:val="18"/>
                <w:szCs w:val="18"/>
              </w:rPr>
            </w:pPr>
            <w:r w:rsidRPr="00DA7E4C">
              <w:rPr>
                <w:rFonts w:eastAsia="Times New Roman" w:cs="Times New Roman"/>
                <w:b/>
                <w:color w:val="000000"/>
                <w:sz w:val="18"/>
                <w:szCs w:val="18"/>
              </w:rPr>
              <w:t>0.256</w:t>
            </w:r>
          </w:p>
        </w:tc>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b/>
                <w:color w:val="000000"/>
                <w:sz w:val="18"/>
                <w:szCs w:val="18"/>
              </w:rPr>
            </w:pPr>
            <w:r w:rsidRPr="00DA7E4C">
              <w:rPr>
                <w:rFonts w:eastAsia="Times New Roman" w:cs="Times New Roman"/>
                <w:b/>
                <w:color w:val="000000"/>
                <w:sz w:val="18"/>
                <w:szCs w:val="18"/>
              </w:rPr>
              <w:t>0.007</w:t>
            </w:r>
          </w:p>
        </w:tc>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center"/>
              <w:rPr>
                <w:rFonts w:eastAsia="Times New Roman" w:cs="Times New Roman"/>
                <w:b/>
                <w:color w:val="000000"/>
                <w:sz w:val="18"/>
                <w:szCs w:val="18"/>
              </w:rPr>
            </w:pPr>
          </w:p>
        </w:tc>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b/>
                <w:color w:val="000000"/>
                <w:sz w:val="18"/>
                <w:szCs w:val="18"/>
              </w:rPr>
            </w:pPr>
          </w:p>
        </w:tc>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b/>
                <w:color w:val="000000"/>
                <w:sz w:val="18"/>
                <w:szCs w:val="18"/>
              </w:rPr>
            </w:pPr>
          </w:p>
        </w:tc>
      </w:tr>
      <w:tr w:rsidR="000A22AE" w:rsidRPr="00DA7E4C" w:rsidTr="000F620E">
        <w:trPr>
          <w:trHeight w:val="240"/>
        </w:trPr>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center"/>
              <w:rPr>
                <w:rFonts w:eastAsia="Times New Roman" w:cs="Times New Roman"/>
                <w:sz w:val="18"/>
                <w:szCs w:val="18"/>
              </w:rPr>
            </w:pPr>
            <w:r w:rsidRPr="00DA7E4C">
              <w:rPr>
                <w:rFonts w:eastAsia="Times New Roman" w:cs="Times New Roman"/>
                <w:sz w:val="18"/>
                <w:szCs w:val="18"/>
              </w:rPr>
              <w:t>3</w:t>
            </w:r>
          </w:p>
        </w:tc>
        <w:tc>
          <w:tcPr>
            <w:tcW w:w="1035"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-460.170</w:t>
            </w:r>
          </w:p>
        </w:tc>
        <w:tc>
          <w:tcPr>
            <w:tcW w:w="892"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color w:val="000000"/>
                <w:sz w:val="18"/>
                <w:szCs w:val="18"/>
              </w:rPr>
            </w:pPr>
          </w:p>
        </w:tc>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300.945</w:t>
            </w:r>
          </w:p>
        </w:tc>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color w:val="000000"/>
                <w:sz w:val="18"/>
                <w:szCs w:val="18"/>
              </w:rPr>
            </w:pPr>
          </w:p>
        </w:tc>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color w:val="000000"/>
                <w:sz w:val="18"/>
                <w:szCs w:val="18"/>
              </w:rPr>
            </w:pPr>
          </w:p>
        </w:tc>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0.638</w:t>
            </w:r>
          </w:p>
        </w:tc>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179.800</w:t>
            </w:r>
          </w:p>
        </w:tc>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0.911</w:t>
            </w:r>
          </w:p>
        </w:tc>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1.626</w:t>
            </w:r>
          </w:p>
        </w:tc>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20.027</w:t>
            </w:r>
          </w:p>
        </w:tc>
      </w:tr>
      <w:tr w:rsidR="000A22AE" w:rsidRPr="00DA7E4C" w:rsidTr="000F620E">
        <w:trPr>
          <w:trHeight w:val="240"/>
        </w:trPr>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center"/>
              <w:rPr>
                <w:rFonts w:eastAsia="Times New Roman" w:cs="Times New Roman"/>
                <w:b/>
                <w:sz w:val="18"/>
                <w:szCs w:val="18"/>
              </w:rPr>
            </w:pPr>
          </w:p>
        </w:tc>
        <w:tc>
          <w:tcPr>
            <w:tcW w:w="1035"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b/>
                <w:color w:val="000000"/>
                <w:sz w:val="18"/>
                <w:szCs w:val="18"/>
              </w:rPr>
            </w:pPr>
            <w:r w:rsidRPr="00DA7E4C">
              <w:rPr>
                <w:rFonts w:eastAsia="Times New Roman" w:cs="Times New Roman"/>
                <w:b/>
                <w:color w:val="000000"/>
                <w:sz w:val="18"/>
                <w:szCs w:val="18"/>
              </w:rPr>
              <w:t>0.846</w:t>
            </w:r>
          </w:p>
        </w:tc>
        <w:tc>
          <w:tcPr>
            <w:tcW w:w="892"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b/>
                <w:color w:val="000000"/>
                <w:sz w:val="18"/>
                <w:szCs w:val="18"/>
              </w:rPr>
            </w:pPr>
          </w:p>
        </w:tc>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b/>
                <w:color w:val="000000"/>
                <w:sz w:val="18"/>
                <w:szCs w:val="18"/>
              </w:rPr>
            </w:pPr>
            <w:r w:rsidRPr="00DA7E4C">
              <w:rPr>
                <w:rFonts w:eastAsia="Times New Roman" w:cs="Times New Roman"/>
                <w:b/>
                <w:color w:val="000000"/>
                <w:sz w:val="18"/>
                <w:szCs w:val="18"/>
              </w:rPr>
              <w:t>0.000</w:t>
            </w:r>
          </w:p>
        </w:tc>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b/>
                <w:color w:val="000000"/>
                <w:sz w:val="18"/>
                <w:szCs w:val="18"/>
              </w:rPr>
            </w:pPr>
          </w:p>
        </w:tc>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b/>
                <w:color w:val="000000"/>
                <w:sz w:val="18"/>
                <w:szCs w:val="18"/>
              </w:rPr>
            </w:pPr>
          </w:p>
        </w:tc>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b/>
                <w:color w:val="000000"/>
                <w:sz w:val="18"/>
                <w:szCs w:val="18"/>
              </w:rPr>
            </w:pPr>
            <w:r w:rsidRPr="00DA7E4C">
              <w:rPr>
                <w:rFonts w:eastAsia="Times New Roman" w:cs="Times New Roman"/>
                <w:b/>
                <w:color w:val="000000"/>
                <w:sz w:val="18"/>
                <w:szCs w:val="18"/>
              </w:rPr>
              <w:t>0.000</w:t>
            </w:r>
          </w:p>
        </w:tc>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b/>
                <w:color w:val="000000"/>
                <w:sz w:val="18"/>
                <w:szCs w:val="18"/>
              </w:rPr>
            </w:pPr>
            <w:r w:rsidRPr="00DA7E4C">
              <w:rPr>
                <w:rFonts w:eastAsia="Times New Roman" w:cs="Times New Roman"/>
                <w:b/>
                <w:color w:val="000000"/>
                <w:sz w:val="18"/>
                <w:szCs w:val="18"/>
              </w:rPr>
              <w:t>0.000</w:t>
            </w:r>
          </w:p>
        </w:tc>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b/>
                <w:color w:val="000000"/>
                <w:sz w:val="18"/>
                <w:szCs w:val="18"/>
              </w:rPr>
            </w:pPr>
          </w:p>
        </w:tc>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center"/>
              <w:rPr>
                <w:rFonts w:eastAsia="Times New Roman" w:cs="Times New Roman"/>
                <w:b/>
                <w:color w:val="000000"/>
                <w:sz w:val="18"/>
                <w:szCs w:val="18"/>
              </w:rPr>
            </w:pPr>
          </w:p>
        </w:tc>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b/>
                <w:color w:val="000000"/>
                <w:sz w:val="18"/>
                <w:szCs w:val="18"/>
              </w:rPr>
            </w:pPr>
          </w:p>
        </w:tc>
      </w:tr>
      <w:tr w:rsidR="000A22AE" w:rsidRPr="00DA7E4C" w:rsidTr="000F620E">
        <w:trPr>
          <w:trHeight w:val="240"/>
        </w:trPr>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center"/>
              <w:rPr>
                <w:rFonts w:eastAsia="Times New Roman" w:cs="Times New Roman"/>
                <w:sz w:val="18"/>
                <w:szCs w:val="18"/>
              </w:rPr>
            </w:pPr>
            <w:r w:rsidRPr="00DA7E4C">
              <w:rPr>
                <w:rFonts w:eastAsia="Times New Roman" w:cs="Times New Roman"/>
                <w:sz w:val="18"/>
                <w:szCs w:val="18"/>
              </w:rPr>
              <w:t>4</w:t>
            </w:r>
          </w:p>
        </w:tc>
        <w:tc>
          <w:tcPr>
            <w:tcW w:w="1035"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-1645.224</w:t>
            </w:r>
          </w:p>
        </w:tc>
        <w:tc>
          <w:tcPr>
            <w:tcW w:w="892"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color w:val="000000"/>
                <w:sz w:val="18"/>
                <w:szCs w:val="18"/>
              </w:rPr>
            </w:pPr>
          </w:p>
        </w:tc>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color w:val="000000"/>
                <w:sz w:val="18"/>
                <w:szCs w:val="18"/>
              </w:rPr>
            </w:pPr>
          </w:p>
        </w:tc>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-6.601</w:t>
            </w:r>
          </w:p>
        </w:tc>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color w:val="000000"/>
                <w:sz w:val="18"/>
                <w:szCs w:val="18"/>
              </w:rPr>
            </w:pPr>
          </w:p>
        </w:tc>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0.485</w:t>
            </w:r>
          </w:p>
        </w:tc>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4.390</w:t>
            </w:r>
          </w:p>
        </w:tc>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0.205</w:t>
            </w:r>
          </w:p>
        </w:tc>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1.236</w:t>
            </w:r>
          </w:p>
        </w:tc>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22.250</w:t>
            </w:r>
          </w:p>
        </w:tc>
      </w:tr>
      <w:tr w:rsidR="000A22AE" w:rsidRPr="00DA7E4C" w:rsidTr="000F620E">
        <w:trPr>
          <w:trHeight w:val="240"/>
        </w:trPr>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center"/>
              <w:rPr>
                <w:rFonts w:eastAsia="Times New Roman" w:cs="Times New Roman"/>
                <w:b/>
                <w:sz w:val="18"/>
                <w:szCs w:val="18"/>
              </w:rPr>
            </w:pPr>
          </w:p>
        </w:tc>
        <w:tc>
          <w:tcPr>
            <w:tcW w:w="1035"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b/>
                <w:color w:val="000000"/>
                <w:sz w:val="18"/>
                <w:szCs w:val="18"/>
              </w:rPr>
            </w:pPr>
            <w:r w:rsidRPr="00DA7E4C">
              <w:rPr>
                <w:rFonts w:eastAsia="Times New Roman" w:cs="Times New Roman"/>
                <w:b/>
                <w:color w:val="000000"/>
                <w:sz w:val="18"/>
                <w:szCs w:val="18"/>
              </w:rPr>
              <w:t>0.748</w:t>
            </w:r>
          </w:p>
        </w:tc>
        <w:tc>
          <w:tcPr>
            <w:tcW w:w="892"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b/>
                <w:color w:val="000000"/>
                <w:sz w:val="18"/>
                <w:szCs w:val="18"/>
              </w:rPr>
            </w:pPr>
          </w:p>
        </w:tc>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b/>
                <w:color w:val="000000"/>
                <w:sz w:val="18"/>
                <w:szCs w:val="18"/>
              </w:rPr>
            </w:pPr>
          </w:p>
        </w:tc>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b/>
                <w:color w:val="000000"/>
                <w:sz w:val="18"/>
                <w:szCs w:val="18"/>
              </w:rPr>
            </w:pPr>
            <w:r w:rsidRPr="00DA7E4C">
              <w:rPr>
                <w:rFonts w:eastAsia="Times New Roman" w:cs="Times New Roman"/>
                <w:b/>
                <w:color w:val="000000"/>
                <w:sz w:val="18"/>
                <w:szCs w:val="18"/>
              </w:rPr>
              <w:t>0.965</w:t>
            </w:r>
          </w:p>
        </w:tc>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b/>
                <w:color w:val="000000"/>
                <w:sz w:val="18"/>
                <w:szCs w:val="18"/>
              </w:rPr>
            </w:pPr>
          </w:p>
        </w:tc>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b/>
                <w:color w:val="000000"/>
                <w:sz w:val="18"/>
                <w:szCs w:val="18"/>
              </w:rPr>
            </w:pPr>
            <w:r w:rsidRPr="00DA7E4C">
              <w:rPr>
                <w:rFonts w:eastAsia="Times New Roman" w:cs="Times New Roman"/>
                <w:b/>
                <w:color w:val="000000"/>
                <w:sz w:val="18"/>
                <w:szCs w:val="18"/>
              </w:rPr>
              <w:t>0.161</w:t>
            </w:r>
          </w:p>
        </w:tc>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b/>
                <w:color w:val="000000"/>
                <w:sz w:val="18"/>
                <w:szCs w:val="18"/>
              </w:rPr>
            </w:pPr>
            <w:r w:rsidRPr="00DA7E4C">
              <w:rPr>
                <w:rFonts w:eastAsia="Times New Roman" w:cs="Times New Roman"/>
                <w:b/>
                <w:color w:val="000000"/>
                <w:sz w:val="18"/>
                <w:szCs w:val="18"/>
              </w:rPr>
              <w:t>0.020</w:t>
            </w:r>
          </w:p>
        </w:tc>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b/>
                <w:color w:val="000000"/>
                <w:sz w:val="18"/>
                <w:szCs w:val="18"/>
              </w:rPr>
            </w:pPr>
          </w:p>
        </w:tc>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b/>
                <w:color w:val="000000"/>
                <w:sz w:val="18"/>
                <w:szCs w:val="18"/>
              </w:rPr>
            </w:pPr>
          </w:p>
        </w:tc>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center"/>
              <w:rPr>
                <w:rFonts w:eastAsia="Times New Roman" w:cs="Times New Roman"/>
                <w:b/>
                <w:color w:val="000000"/>
                <w:sz w:val="18"/>
                <w:szCs w:val="18"/>
              </w:rPr>
            </w:pPr>
          </w:p>
        </w:tc>
      </w:tr>
      <w:tr w:rsidR="000A22AE" w:rsidRPr="00DA7E4C" w:rsidTr="000F620E">
        <w:trPr>
          <w:trHeight w:val="240"/>
        </w:trPr>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center"/>
              <w:rPr>
                <w:rFonts w:eastAsia="Times New Roman" w:cs="Times New Roman"/>
                <w:sz w:val="18"/>
                <w:szCs w:val="18"/>
              </w:rPr>
            </w:pPr>
            <w:r w:rsidRPr="00DA7E4C">
              <w:rPr>
                <w:rFonts w:eastAsia="Times New Roman" w:cs="Times New Roman"/>
                <w:sz w:val="18"/>
                <w:szCs w:val="18"/>
              </w:rPr>
              <w:t>5</w:t>
            </w:r>
          </w:p>
        </w:tc>
        <w:tc>
          <w:tcPr>
            <w:tcW w:w="1035"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-1388.274</w:t>
            </w:r>
          </w:p>
        </w:tc>
        <w:tc>
          <w:tcPr>
            <w:tcW w:w="892"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color w:val="000000"/>
                <w:sz w:val="18"/>
                <w:szCs w:val="18"/>
              </w:rPr>
            </w:pPr>
          </w:p>
        </w:tc>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color w:val="000000"/>
                <w:sz w:val="18"/>
                <w:szCs w:val="18"/>
              </w:rPr>
            </w:pPr>
          </w:p>
        </w:tc>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color w:val="000000"/>
                <w:sz w:val="18"/>
                <w:szCs w:val="18"/>
              </w:rPr>
            </w:pPr>
          </w:p>
        </w:tc>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-218.308</w:t>
            </w:r>
          </w:p>
        </w:tc>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0.551</w:t>
            </w:r>
          </w:p>
        </w:tc>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10.484</w:t>
            </w:r>
          </w:p>
        </w:tc>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0.389</w:t>
            </w:r>
          </w:p>
        </w:tc>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1.627</w:t>
            </w:r>
          </w:p>
        </w:tc>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22.020</w:t>
            </w:r>
          </w:p>
        </w:tc>
      </w:tr>
      <w:tr w:rsidR="000A22AE" w:rsidRPr="00DA7E4C" w:rsidTr="000F620E">
        <w:trPr>
          <w:trHeight w:val="240"/>
        </w:trPr>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center"/>
              <w:rPr>
                <w:rFonts w:eastAsia="Times New Roman" w:cs="Times New Roman"/>
                <w:b/>
                <w:sz w:val="18"/>
                <w:szCs w:val="18"/>
              </w:rPr>
            </w:pPr>
          </w:p>
        </w:tc>
        <w:tc>
          <w:tcPr>
            <w:tcW w:w="1035"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b/>
                <w:color w:val="000000"/>
                <w:sz w:val="18"/>
                <w:szCs w:val="18"/>
              </w:rPr>
            </w:pPr>
            <w:r w:rsidRPr="00DA7E4C">
              <w:rPr>
                <w:rFonts w:eastAsia="Times New Roman" w:cs="Times New Roman"/>
                <w:b/>
                <w:color w:val="000000"/>
                <w:sz w:val="18"/>
                <w:szCs w:val="18"/>
              </w:rPr>
              <w:t>0.792</w:t>
            </w:r>
          </w:p>
        </w:tc>
        <w:tc>
          <w:tcPr>
            <w:tcW w:w="892"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b/>
                <w:color w:val="000000"/>
                <w:sz w:val="18"/>
                <w:szCs w:val="18"/>
              </w:rPr>
            </w:pPr>
          </w:p>
        </w:tc>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b/>
                <w:color w:val="000000"/>
                <w:sz w:val="18"/>
                <w:szCs w:val="18"/>
              </w:rPr>
            </w:pPr>
          </w:p>
        </w:tc>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b/>
                <w:color w:val="000000"/>
                <w:sz w:val="18"/>
                <w:szCs w:val="18"/>
              </w:rPr>
            </w:pPr>
          </w:p>
        </w:tc>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b/>
                <w:color w:val="000000"/>
                <w:sz w:val="18"/>
                <w:szCs w:val="18"/>
              </w:rPr>
            </w:pPr>
            <w:r w:rsidRPr="00DA7E4C">
              <w:rPr>
                <w:rFonts w:eastAsia="Times New Roman" w:cs="Times New Roman"/>
                <w:b/>
                <w:color w:val="000000"/>
                <w:sz w:val="18"/>
                <w:szCs w:val="18"/>
              </w:rPr>
              <w:t>0.019</w:t>
            </w:r>
          </w:p>
        </w:tc>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b/>
                <w:color w:val="000000"/>
                <w:sz w:val="18"/>
                <w:szCs w:val="18"/>
              </w:rPr>
            </w:pPr>
            <w:r w:rsidRPr="00DA7E4C">
              <w:rPr>
                <w:rFonts w:eastAsia="Times New Roman" w:cs="Times New Roman"/>
                <w:b/>
                <w:color w:val="000000"/>
                <w:sz w:val="18"/>
                <w:szCs w:val="18"/>
              </w:rPr>
              <w:t>0.006</w:t>
            </w:r>
          </w:p>
        </w:tc>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b/>
                <w:color w:val="000000"/>
                <w:sz w:val="18"/>
                <w:szCs w:val="18"/>
              </w:rPr>
            </w:pPr>
            <w:r w:rsidRPr="00DA7E4C">
              <w:rPr>
                <w:rFonts w:eastAsia="Times New Roman" w:cs="Times New Roman"/>
                <w:b/>
                <w:color w:val="000000"/>
                <w:sz w:val="18"/>
                <w:szCs w:val="18"/>
              </w:rPr>
              <w:t>0.000</w:t>
            </w:r>
          </w:p>
        </w:tc>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b/>
                <w:color w:val="000000"/>
                <w:sz w:val="18"/>
                <w:szCs w:val="18"/>
              </w:rPr>
            </w:pPr>
          </w:p>
        </w:tc>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center"/>
              <w:rPr>
                <w:rFonts w:eastAsia="Times New Roman" w:cs="Times New Roman"/>
                <w:b/>
                <w:color w:val="000000"/>
                <w:sz w:val="18"/>
                <w:szCs w:val="18"/>
              </w:rPr>
            </w:pPr>
          </w:p>
        </w:tc>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b/>
                <w:color w:val="000000"/>
                <w:sz w:val="18"/>
                <w:szCs w:val="18"/>
              </w:rPr>
            </w:pPr>
          </w:p>
        </w:tc>
      </w:tr>
    </w:tbl>
    <w:p w:rsidR="000A22AE" w:rsidRPr="00762161" w:rsidRDefault="000A22AE" w:rsidP="000A22AE">
      <w:pPr>
        <w:spacing w:before="0" w:after="0" w:line="240" w:lineRule="auto"/>
        <w:jc w:val="left"/>
      </w:pPr>
    </w:p>
    <w:p w:rsidR="000A22AE" w:rsidRPr="00762161" w:rsidRDefault="000A22AE" w:rsidP="000A22AE">
      <w:pPr>
        <w:spacing w:before="0" w:after="0" w:line="240" w:lineRule="auto"/>
        <w:jc w:val="left"/>
      </w:pPr>
      <w:r w:rsidRPr="00762161">
        <w:br w:type="page"/>
      </w:r>
    </w:p>
    <w:p w:rsidR="000A22AE" w:rsidRPr="00762161" w:rsidRDefault="000A22AE" w:rsidP="000A22AE">
      <w:pPr>
        <w:pStyle w:val="Heading2"/>
      </w:pPr>
      <w:bookmarkStart w:id="370" w:name="_Toc286616347"/>
      <w:r w:rsidRPr="00762161">
        <w:t xml:space="preserve">Table 13: The Relationship between Industrial Production and </w:t>
      </w:r>
      <w:r w:rsidR="00627488">
        <w:t>Real Stock Price</w:t>
      </w:r>
      <w:r w:rsidRPr="00762161">
        <w:t>s (Yearly 1970-1988)</w:t>
      </w:r>
      <w:bookmarkEnd w:id="370"/>
    </w:p>
    <w:tbl>
      <w:tblPr>
        <w:tblW w:w="10560" w:type="dxa"/>
        <w:tblInd w:w="93" w:type="dxa"/>
        <w:tblLook w:val="04A0"/>
      </w:tblPr>
      <w:tblGrid>
        <w:gridCol w:w="960"/>
        <w:gridCol w:w="960"/>
        <w:gridCol w:w="960"/>
        <w:gridCol w:w="960"/>
        <w:gridCol w:w="960"/>
        <w:gridCol w:w="960"/>
        <w:gridCol w:w="960"/>
        <w:gridCol w:w="960"/>
        <w:gridCol w:w="960"/>
        <w:gridCol w:w="960"/>
        <w:gridCol w:w="960"/>
      </w:tblGrid>
      <w:tr w:rsidR="000A22AE" w:rsidRPr="00DA7E4C" w:rsidTr="000A22AE">
        <w:trPr>
          <w:trHeight w:val="300"/>
        </w:trPr>
        <w:tc>
          <w:tcPr>
            <w:tcW w:w="1920" w:type="dxa"/>
            <w:gridSpan w:val="2"/>
            <w:tcBorders>
              <w:top w:val="single" w:sz="8" w:space="0" w:color="auto"/>
              <w:left w:val="single" w:sz="8" w:space="0" w:color="auto"/>
              <w:bottom w:val="single" w:sz="8" w:space="0" w:color="auto"/>
              <w:right w:val="nil"/>
            </w:tcBorders>
            <w:shd w:val="clear" w:color="auto" w:fill="auto"/>
            <w:noWrap/>
            <w:vAlign w:val="bottom"/>
            <w:hideMark/>
          </w:tcPr>
          <w:p w:rsidR="000A22AE" w:rsidRPr="00DA7E4C" w:rsidRDefault="000A22AE" w:rsidP="000A22AE">
            <w:pPr>
              <w:spacing w:before="0" w:after="0" w:line="240" w:lineRule="auto"/>
              <w:jc w:val="center"/>
              <w:rPr>
                <w:rFonts w:eastAsia="Times New Roman" w:cs="Times New Roman"/>
                <w:sz w:val="18"/>
                <w:szCs w:val="18"/>
              </w:rPr>
            </w:pPr>
            <w:r w:rsidRPr="00DA7E4C">
              <w:rPr>
                <w:rFonts w:eastAsia="Times New Roman" w:cs="Times New Roman"/>
                <w:sz w:val="18"/>
                <w:szCs w:val="18"/>
              </w:rPr>
              <w:t>Sample</w:t>
            </w:r>
          </w:p>
          <w:p w:rsidR="000A22AE" w:rsidRPr="00DA7E4C" w:rsidRDefault="000A22AE" w:rsidP="000A22AE">
            <w:pPr>
              <w:spacing w:before="0" w:after="0" w:line="240" w:lineRule="auto"/>
              <w:jc w:val="center"/>
              <w:rPr>
                <w:rFonts w:eastAsia="Times New Roman" w:cs="Times New Roman"/>
                <w:sz w:val="18"/>
                <w:szCs w:val="18"/>
              </w:rPr>
            </w:pPr>
            <w:r w:rsidRPr="00DA7E4C">
              <w:rPr>
                <w:rFonts w:eastAsia="Times New Roman" w:cs="Times New Roman"/>
                <w:sz w:val="18"/>
                <w:szCs w:val="18"/>
              </w:rPr>
              <w:t>1970-1988</w:t>
            </w:r>
          </w:p>
        </w:tc>
        <w:tc>
          <w:tcPr>
            <w:tcW w:w="3840" w:type="dxa"/>
            <w:gridSpan w:val="4"/>
            <w:tcBorders>
              <w:top w:val="single" w:sz="8" w:space="0" w:color="auto"/>
              <w:left w:val="single" w:sz="8" w:space="0" w:color="auto"/>
              <w:bottom w:val="nil"/>
              <w:right w:val="single" w:sz="8" w:space="0" w:color="000000"/>
            </w:tcBorders>
            <w:shd w:val="clear" w:color="auto" w:fill="auto"/>
            <w:vAlign w:val="bottom"/>
            <w:hideMark/>
          </w:tcPr>
          <w:p w:rsidR="000A22AE" w:rsidRPr="00DA7E4C" w:rsidRDefault="000A22AE" w:rsidP="000A22AE">
            <w:pPr>
              <w:spacing w:before="0" w:after="0" w:line="240" w:lineRule="auto"/>
              <w:jc w:val="center"/>
              <w:rPr>
                <w:rFonts w:eastAsia="Times New Roman" w:cs="Times New Roman"/>
                <w:color w:val="000000"/>
                <w:sz w:val="18"/>
                <w:szCs w:val="18"/>
              </w:rPr>
            </w:pPr>
            <w:r w:rsidRPr="00DA7E4C">
              <w:rPr>
                <w:rFonts w:eastAsia="Times New Roman" w:cs="Times New Roman"/>
                <w:color w:val="000000"/>
                <w:sz w:val="18"/>
                <w:szCs w:val="18"/>
              </w:rPr>
              <w:t xml:space="preserve">Real Stock </w:t>
            </w:r>
          </w:p>
        </w:tc>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color w:val="000000"/>
                <w:sz w:val="18"/>
                <w:szCs w:val="18"/>
              </w:rPr>
            </w:pPr>
          </w:p>
        </w:tc>
        <w:tc>
          <w:tcPr>
            <w:tcW w:w="960" w:type="dxa"/>
            <w:tcBorders>
              <w:top w:val="nil"/>
              <w:left w:val="nil"/>
              <w:bottom w:val="nil"/>
              <w:right w:val="single" w:sz="4" w:space="0" w:color="auto"/>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color w:val="000000"/>
                <w:sz w:val="18"/>
                <w:szCs w:val="18"/>
              </w:rPr>
            </w:pPr>
          </w:p>
        </w:tc>
        <w:tc>
          <w:tcPr>
            <w:tcW w:w="960"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A22AE" w:rsidRPr="00DA7E4C" w:rsidRDefault="000A22AE" w:rsidP="000A22AE">
            <w:pPr>
              <w:spacing w:before="0" w:after="0" w:line="240" w:lineRule="auto"/>
              <w:jc w:val="center"/>
              <w:rPr>
                <w:rFonts w:eastAsia="Times New Roman" w:cs="Times New Roman"/>
                <w:sz w:val="18"/>
                <w:szCs w:val="18"/>
              </w:rPr>
            </w:pPr>
            <w:r w:rsidRPr="00DA7E4C">
              <w:rPr>
                <w:rFonts w:eastAsia="Times New Roman" w:cs="Times New Roman"/>
                <w:sz w:val="18"/>
                <w:szCs w:val="18"/>
              </w:rPr>
              <w:t>Adjusted</w:t>
            </w:r>
          </w:p>
          <w:p w:rsidR="000A22AE" w:rsidRPr="00DA7E4C" w:rsidRDefault="000A22AE" w:rsidP="000A22AE">
            <w:pPr>
              <w:spacing w:before="0" w:after="0" w:line="240" w:lineRule="auto"/>
              <w:jc w:val="center"/>
              <w:rPr>
                <w:rFonts w:eastAsia="Times New Roman" w:cs="Times New Roman"/>
                <w:color w:val="000000"/>
                <w:sz w:val="18"/>
                <w:szCs w:val="18"/>
              </w:rPr>
            </w:pPr>
            <w:r w:rsidRPr="00DA7E4C">
              <w:rPr>
                <w:rFonts w:eastAsia="Times New Roman" w:cs="Times New Roman"/>
                <w:sz w:val="18"/>
                <w:szCs w:val="18"/>
              </w:rPr>
              <w:t>R-square</w:t>
            </w:r>
          </w:p>
        </w:tc>
        <w:tc>
          <w:tcPr>
            <w:tcW w:w="960" w:type="dxa"/>
            <w:tcBorders>
              <w:top w:val="nil"/>
              <w:left w:val="single" w:sz="4" w:space="0" w:color="auto"/>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color w:val="000000"/>
                <w:sz w:val="18"/>
                <w:szCs w:val="18"/>
              </w:rPr>
            </w:pPr>
          </w:p>
        </w:tc>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color w:val="000000"/>
                <w:sz w:val="18"/>
                <w:szCs w:val="18"/>
              </w:rPr>
            </w:pPr>
          </w:p>
        </w:tc>
      </w:tr>
      <w:tr w:rsidR="000A22AE" w:rsidRPr="00DA7E4C" w:rsidTr="000A22AE">
        <w:trPr>
          <w:trHeight w:val="315"/>
        </w:trPr>
        <w:tc>
          <w:tcPr>
            <w:tcW w:w="960" w:type="dxa"/>
            <w:tcBorders>
              <w:top w:val="nil"/>
              <w:left w:val="single" w:sz="8" w:space="0" w:color="auto"/>
              <w:bottom w:val="single" w:sz="8" w:space="0" w:color="auto"/>
              <w:right w:val="single" w:sz="8" w:space="0" w:color="auto"/>
            </w:tcBorders>
            <w:shd w:val="clear" w:color="auto" w:fill="auto"/>
            <w:noWrap/>
            <w:vAlign w:val="center"/>
            <w:hideMark/>
          </w:tcPr>
          <w:p w:rsidR="000A22AE" w:rsidRPr="00DA7E4C" w:rsidRDefault="000A22AE" w:rsidP="000A22AE">
            <w:pPr>
              <w:spacing w:before="0" w:after="0" w:line="240" w:lineRule="auto"/>
              <w:jc w:val="center"/>
              <w:rPr>
                <w:rFonts w:eastAsia="Times New Roman" w:cs="Times New Roman"/>
                <w:sz w:val="18"/>
                <w:szCs w:val="18"/>
              </w:rPr>
            </w:pPr>
            <w:r w:rsidRPr="00DA7E4C">
              <w:rPr>
                <w:rFonts w:eastAsia="Times New Roman" w:cs="Times New Roman"/>
                <w:sz w:val="18"/>
                <w:szCs w:val="18"/>
              </w:rPr>
              <w:t>No</w:t>
            </w:r>
          </w:p>
        </w:tc>
        <w:tc>
          <w:tcPr>
            <w:tcW w:w="960" w:type="dxa"/>
            <w:tcBorders>
              <w:top w:val="single" w:sz="8" w:space="0" w:color="auto"/>
              <w:left w:val="nil"/>
              <w:bottom w:val="single" w:sz="8" w:space="0" w:color="auto"/>
              <w:right w:val="single" w:sz="8" w:space="0" w:color="auto"/>
            </w:tcBorders>
            <w:shd w:val="clear" w:color="auto" w:fill="auto"/>
            <w:noWrap/>
            <w:vAlign w:val="center"/>
            <w:hideMark/>
          </w:tcPr>
          <w:p w:rsidR="000A22AE" w:rsidRPr="00DA7E4C" w:rsidRDefault="000A22AE" w:rsidP="000A22AE">
            <w:pPr>
              <w:spacing w:before="0" w:after="0" w:line="240" w:lineRule="auto"/>
              <w:jc w:val="center"/>
              <w:rPr>
                <w:rFonts w:eastAsia="Times New Roman" w:cs="Times New Roman"/>
                <w:sz w:val="18"/>
                <w:szCs w:val="18"/>
              </w:rPr>
            </w:pPr>
            <w:r w:rsidRPr="00DA7E4C">
              <w:rPr>
                <w:rFonts w:eastAsia="Times New Roman" w:cs="Times New Roman"/>
                <w:sz w:val="18"/>
                <w:szCs w:val="18"/>
              </w:rPr>
              <w:t>Intercept</w:t>
            </w:r>
          </w:p>
        </w:tc>
        <w:tc>
          <w:tcPr>
            <w:tcW w:w="960" w:type="dxa"/>
            <w:tcBorders>
              <w:top w:val="nil"/>
              <w:left w:val="nil"/>
              <w:bottom w:val="single" w:sz="8" w:space="0" w:color="auto"/>
              <w:right w:val="single" w:sz="8" w:space="0" w:color="auto"/>
            </w:tcBorders>
            <w:shd w:val="clear" w:color="auto" w:fill="auto"/>
            <w:vAlign w:val="center"/>
            <w:hideMark/>
          </w:tcPr>
          <w:p w:rsidR="000A22AE" w:rsidRPr="00DA7E4C" w:rsidRDefault="000A22AE" w:rsidP="000A22AE">
            <w:pPr>
              <w:spacing w:before="0" w:after="0" w:line="240" w:lineRule="auto"/>
              <w:jc w:val="center"/>
              <w:rPr>
                <w:rFonts w:eastAsia="Times New Roman" w:cs="Times New Roman"/>
                <w:sz w:val="18"/>
                <w:szCs w:val="18"/>
              </w:rPr>
            </w:pPr>
            <w:r w:rsidRPr="00DA7E4C">
              <w:rPr>
                <w:rFonts w:eastAsia="Times New Roman" w:cs="Times New Roman"/>
                <w:sz w:val="18"/>
                <w:szCs w:val="18"/>
              </w:rPr>
              <w:t>t</w:t>
            </w:r>
          </w:p>
        </w:tc>
        <w:tc>
          <w:tcPr>
            <w:tcW w:w="960" w:type="dxa"/>
            <w:tcBorders>
              <w:top w:val="nil"/>
              <w:left w:val="nil"/>
              <w:bottom w:val="single" w:sz="8" w:space="0" w:color="auto"/>
              <w:right w:val="single" w:sz="8" w:space="0" w:color="auto"/>
            </w:tcBorders>
            <w:shd w:val="clear" w:color="auto" w:fill="auto"/>
            <w:vAlign w:val="center"/>
            <w:hideMark/>
          </w:tcPr>
          <w:p w:rsidR="000A22AE" w:rsidRPr="00DA7E4C" w:rsidRDefault="000A22AE" w:rsidP="000A22AE">
            <w:pPr>
              <w:spacing w:before="0" w:after="0" w:line="240" w:lineRule="auto"/>
              <w:jc w:val="center"/>
              <w:rPr>
                <w:rFonts w:eastAsia="Times New Roman" w:cs="Times New Roman"/>
                <w:sz w:val="18"/>
                <w:szCs w:val="18"/>
              </w:rPr>
            </w:pPr>
            <w:r w:rsidRPr="00DA7E4C">
              <w:rPr>
                <w:rFonts w:eastAsia="Times New Roman" w:cs="Times New Roman"/>
                <w:sz w:val="18"/>
                <w:szCs w:val="18"/>
              </w:rPr>
              <w:t>t-1</w:t>
            </w:r>
          </w:p>
        </w:tc>
        <w:tc>
          <w:tcPr>
            <w:tcW w:w="960" w:type="dxa"/>
            <w:tcBorders>
              <w:top w:val="nil"/>
              <w:left w:val="nil"/>
              <w:bottom w:val="single" w:sz="8" w:space="0" w:color="auto"/>
              <w:right w:val="single" w:sz="8" w:space="0" w:color="auto"/>
            </w:tcBorders>
            <w:shd w:val="clear" w:color="auto" w:fill="auto"/>
            <w:vAlign w:val="center"/>
            <w:hideMark/>
          </w:tcPr>
          <w:p w:rsidR="000A22AE" w:rsidRPr="00DA7E4C" w:rsidRDefault="000A22AE" w:rsidP="000A22AE">
            <w:pPr>
              <w:spacing w:before="0" w:after="0" w:line="240" w:lineRule="auto"/>
              <w:jc w:val="center"/>
              <w:rPr>
                <w:rFonts w:eastAsia="Times New Roman" w:cs="Times New Roman"/>
                <w:sz w:val="18"/>
                <w:szCs w:val="18"/>
              </w:rPr>
            </w:pPr>
            <w:r w:rsidRPr="00DA7E4C">
              <w:rPr>
                <w:rFonts w:eastAsia="Times New Roman" w:cs="Times New Roman"/>
                <w:sz w:val="18"/>
                <w:szCs w:val="18"/>
              </w:rPr>
              <w:t>t-2</w:t>
            </w:r>
          </w:p>
        </w:tc>
        <w:tc>
          <w:tcPr>
            <w:tcW w:w="960" w:type="dxa"/>
            <w:tcBorders>
              <w:top w:val="nil"/>
              <w:left w:val="nil"/>
              <w:bottom w:val="single" w:sz="8" w:space="0" w:color="auto"/>
              <w:right w:val="single" w:sz="8" w:space="0" w:color="auto"/>
            </w:tcBorders>
            <w:shd w:val="clear" w:color="auto" w:fill="auto"/>
            <w:vAlign w:val="center"/>
            <w:hideMark/>
          </w:tcPr>
          <w:p w:rsidR="000A22AE" w:rsidRPr="00DA7E4C" w:rsidRDefault="000A22AE" w:rsidP="000A22AE">
            <w:pPr>
              <w:spacing w:before="0" w:after="0" w:line="240" w:lineRule="auto"/>
              <w:jc w:val="center"/>
              <w:rPr>
                <w:rFonts w:eastAsia="Times New Roman" w:cs="Times New Roman"/>
                <w:sz w:val="18"/>
                <w:szCs w:val="18"/>
              </w:rPr>
            </w:pPr>
            <w:r w:rsidRPr="00DA7E4C">
              <w:rPr>
                <w:rFonts w:eastAsia="Times New Roman" w:cs="Times New Roman"/>
                <w:sz w:val="18"/>
                <w:szCs w:val="18"/>
              </w:rPr>
              <w:t>t-3</w:t>
            </w:r>
          </w:p>
        </w:tc>
        <w:tc>
          <w:tcPr>
            <w:tcW w:w="960" w:type="dxa"/>
            <w:tcBorders>
              <w:top w:val="single" w:sz="8" w:space="0" w:color="auto"/>
              <w:left w:val="nil"/>
              <w:bottom w:val="single" w:sz="8" w:space="0" w:color="auto"/>
              <w:right w:val="single" w:sz="8" w:space="0" w:color="auto"/>
            </w:tcBorders>
            <w:shd w:val="clear" w:color="auto" w:fill="auto"/>
            <w:vAlign w:val="center"/>
            <w:hideMark/>
          </w:tcPr>
          <w:p w:rsidR="000A22AE" w:rsidRPr="00DA7E4C" w:rsidRDefault="000A22AE" w:rsidP="000A22AE">
            <w:pPr>
              <w:spacing w:before="0" w:after="0" w:line="240" w:lineRule="auto"/>
              <w:jc w:val="center"/>
              <w:rPr>
                <w:rFonts w:eastAsia="Times New Roman" w:cs="Times New Roman"/>
                <w:sz w:val="18"/>
                <w:szCs w:val="18"/>
              </w:rPr>
            </w:pPr>
            <w:r w:rsidRPr="00DA7E4C">
              <w:rPr>
                <w:rFonts w:eastAsia="Times New Roman" w:cs="Times New Roman"/>
                <w:sz w:val="18"/>
                <w:szCs w:val="18"/>
              </w:rPr>
              <w:t>AR</w:t>
            </w:r>
          </w:p>
        </w:tc>
        <w:tc>
          <w:tcPr>
            <w:tcW w:w="960" w:type="dxa"/>
            <w:tcBorders>
              <w:top w:val="single" w:sz="8" w:space="0" w:color="auto"/>
              <w:left w:val="nil"/>
              <w:bottom w:val="single" w:sz="8" w:space="0" w:color="auto"/>
              <w:right w:val="single" w:sz="4" w:space="0" w:color="auto"/>
            </w:tcBorders>
            <w:shd w:val="clear" w:color="auto" w:fill="auto"/>
            <w:noWrap/>
            <w:vAlign w:val="center"/>
            <w:hideMark/>
          </w:tcPr>
          <w:p w:rsidR="000A22AE" w:rsidRPr="00DA7E4C" w:rsidRDefault="000A22AE" w:rsidP="000A22AE">
            <w:pPr>
              <w:spacing w:before="0" w:after="0" w:line="240" w:lineRule="auto"/>
              <w:jc w:val="center"/>
              <w:rPr>
                <w:rFonts w:eastAsia="Times New Roman" w:cs="Times New Roman"/>
                <w:sz w:val="18"/>
                <w:szCs w:val="18"/>
              </w:rPr>
            </w:pPr>
            <w:r w:rsidRPr="00DA7E4C">
              <w:rPr>
                <w:rFonts w:eastAsia="Times New Roman" w:cs="Times New Roman"/>
                <w:sz w:val="18"/>
                <w:szCs w:val="18"/>
              </w:rPr>
              <w:t>F Value</w:t>
            </w:r>
          </w:p>
        </w:tc>
        <w:tc>
          <w:tcPr>
            <w:tcW w:w="960" w:type="dxa"/>
            <w:vMerge/>
            <w:tcBorders>
              <w:left w:val="single" w:sz="4" w:space="0" w:color="auto"/>
              <w:bottom w:val="single" w:sz="4" w:space="0" w:color="auto"/>
              <w:right w:val="single" w:sz="4" w:space="0" w:color="auto"/>
            </w:tcBorders>
            <w:shd w:val="clear" w:color="auto" w:fill="auto"/>
            <w:noWrap/>
            <w:vAlign w:val="center"/>
            <w:hideMark/>
          </w:tcPr>
          <w:p w:rsidR="000A22AE" w:rsidRPr="00DA7E4C" w:rsidRDefault="000A22AE" w:rsidP="000A22AE">
            <w:pPr>
              <w:spacing w:before="0" w:after="0" w:line="240" w:lineRule="auto"/>
              <w:jc w:val="center"/>
              <w:rPr>
                <w:rFonts w:eastAsia="Times New Roman" w:cs="Times New Roman"/>
                <w:sz w:val="18"/>
                <w:szCs w:val="18"/>
              </w:rPr>
            </w:pPr>
          </w:p>
        </w:tc>
        <w:tc>
          <w:tcPr>
            <w:tcW w:w="960" w:type="dxa"/>
            <w:tcBorders>
              <w:top w:val="single" w:sz="8" w:space="0" w:color="auto"/>
              <w:left w:val="single" w:sz="4" w:space="0" w:color="auto"/>
              <w:bottom w:val="single" w:sz="8" w:space="0" w:color="auto"/>
              <w:right w:val="single" w:sz="8" w:space="0" w:color="auto"/>
            </w:tcBorders>
            <w:shd w:val="clear" w:color="auto" w:fill="auto"/>
            <w:noWrap/>
            <w:vAlign w:val="center"/>
            <w:hideMark/>
          </w:tcPr>
          <w:p w:rsidR="000A22AE" w:rsidRPr="00DA7E4C" w:rsidRDefault="000A22AE" w:rsidP="000A22AE">
            <w:pPr>
              <w:spacing w:before="0" w:after="0" w:line="240" w:lineRule="auto"/>
              <w:jc w:val="center"/>
              <w:rPr>
                <w:rFonts w:eastAsia="Times New Roman" w:cs="Times New Roman"/>
                <w:sz w:val="18"/>
                <w:szCs w:val="18"/>
              </w:rPr>
            </w:pPr>
            <w:r w:rsidRPr="00DA7E4C">
              <w:rPr>
                <w:rFonts w:eastAsia="Times New Roman" w:cs="Times New Roman"/>
                <w:sz w:val="18"/>
                <w:szCs w:val="18"/>
              </w:rPr>
              <w:t>DW</w:t>
            </w:r>
          </w:p>
        </w:tc>
        <w:tc>
          <w:tcPr>
            <w:tcW w:w="960" w:type="dxa"/>
            <w:tcBorders>
              <w:top w:val="single" w:sz="8" w:space="0" w:color="auto"/>
              <w:left w:val="nil"/>
              <w:bottom w:val="single" w:sz="8" w:space="0" w:color="auto"/>
              <w:right w:val="single" w:sz="8" w:space="0" w:color="auto"/>
            </w:tcBorders>
            <w:shd w:val="clear" w:color="auto" w:fill="auto"/>
            <w:vAlign w:val="center"/>
            <w:hideMark/>
          </w:tcPr>
          <w:p w:rsidR="000A22AE" w:rsidRPr="00DA7E4C" w:rsidRDefault="000A22AE" w:rsidP="000A22AE">
            <w:pPr>
              <w:spacing w:before="0" w:after="0" w:line="240" w:lineRule="auto"/>
              <w:jc w:val="center"/>
              <w:rPr>
                <w:rFonts w:eastAsia="Times New Roman" w:cs="Times New Roman"/>
                <w:color w:val="000000"/>
                <w:sz w:val="18"/>
                <w:szCs w:val="18"/>
              </w:rPr>
            </w:pPr>
            <w:r w:rsidRPr="00DA7E4C">
              <w:rPr>
                <w:rFonts w:eastAsia="Times New Roman" w:cs="Times New Roman"/>
                <w:color w:val="000000"/>
                <w:sz w:val="18"/>
                <w:szCs w:val="18"/>
              </w:rPr>
              <w:t>Akaike</w:t>
            </w:r>
          </w:p>
        </w:tc>
      </w:tr>
      <w:tr w:rsidR="000A22AE" w:rsidRPr="00DA7E4C" w:rsidTr="000A22AE">
        <w:trPr>
          <w:trHeight w:val="300"/>
        </w:trPr>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center"/>
              <w:rPr>
                <w:rFonts w:eastAsia="Times New Roman" w:cs="Times New Roman"/>
                <w:sz w:val="18"/>
                <w:szCs w:val="18"/>
              </w:rPr>
            </w:pPr>
            <w:r w:rsidRPr="00DA7E4C">
              <w:rPr>
                <w:rFonts w:eastAsia="Times New Roman" w:cs="Times New Roman"/>
                <w:sz w:val="18"/>
                <w:szCs w:val="18"/>
              </w:rPr>
              <w:t>1</w:t>
            </w:r>
          </w:p>
        </w:tc>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317.572</w:t>
            </w:r>
          </w:p>
        </w:tc>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40.338</w:t>
            </w:r>
          </w:p>
        </w:tc>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33.468</w:t>
            </w:r>
          </w:p>
        </w:tc>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183.940</w:t>
            </w:r>
          </w:p>
        </w:tc>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-151.370</w:t>
            </w:r>
          </w:p>
        </w:tc>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0.610</w:t>
            </w:r>
          </w:p>
        </w:tc>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19.080</w:t>
            </w:r>
          </w:p>
        </w:tc>
        <w:tc>
          <w:tcPr>
            <w:tcW w:w="960" w:type="dxa"/>
            <w:tcBorders>
              <w:top w:val="single" w:sz="4" w:space="0" w:color="auto"/>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0.761</w:t>
            </w:r>
          </w:p>
        </w:tc>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1.667</w:t>
            </w:r>
          </w:p>
        </w:tc>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19.406</w:t>
            </w:r>
          </w:p>
        </w:tc>
      </w:tr>
      <w:tr w:rsidR="000A22AE" w:rsidRPr="00DA7E4C" w:rsidTr="000A22AE">
        <w:trPr>
          <w:trHeight w:val="300"/>
        </w:trPr>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center"/>
              <w:rPr>
                <w:rFonts w:eastAsia="Times New Roman" w:cs="Times New Roman"/>
                <w:b/>
                <w:sz w:val="18"/>
                <w:szCs w:val="18"/>
              </w:rPr>
            </w:pPr>
          </w:p>
        </w:tc>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b/>
                <w:color w:val="000000"/>
                <w:sz w:val="18"/>
                <w:szCs w:val="18"/>
              </w:rPr>
            </w:pPr>
            <w:r w:rsidRPr="00DA7E4C">
              <w:rPr>
                <w:rFonts w:eastAsia="Times New Roman" w:cs="Times New Roman"/>
                <w:b/>
                <w:color w:val="000000"/>
                <w:sz w:val="18"/>
                <w:szCs w:val="18"/>
              </w:rPr>
              <w:t>0.842</w:t>
            </w:r>
          </w:p>
        </w:tc>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b/>
                <w:color w:val="000000"/>
                <w:sz w:val="18"/>
                <w:szCs w:val="18"/>
              </w:rPr>
            </w:pPr>
            <w:r w:rsidRPr="00DA7E4C">
              <w:rPr>
                <w:rFonts w:eastAsia="Times New Roman" w:cs="Times New Roman"/>
                <w:b/>
                <w:color w:val="000000"/>
                <w:sz w:val="18"/>
                <w:szCs w:val="18"/>
              </w:rPr>
              <w:t>0.208</w:t>
            </w:r>
          </w:p>
        </w:tc>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b/>
                <w:color w:val="000000"/>
                <w:sz w:val="18"/>
                <w:szCs w:val="18"/>
              </w:rPr>
            </w:pPr>
            <w:r w:rsidRPr="00DA7E4C">
              <w:rPr>
                <w:rFonts w:eastAsia="Times New Roman" w:cs="Times New Roman"/>
                <w:b/>
                <w:color w:val="000000"/>
                <w:sz w:val="18"/>
                <w:szCs w:val="18"/>
              </w:rPr>
              <w:t>0.270</w:t>
            </w:r>
          </w:p>
        </w:tc>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b/>
                <w:color w:val="000000"/>
                <w:sz w:val="18"/>
                <w:szCs w:val="18"/>
              </w:rPr>
            </w:pPr>
            <w:r w:rsidRPr="00DA7E4C">
              <w:rPr>
                <w:rFonts w:eastAsia="Times New Roman" w:cs="Times New Roman"/>
                <w:b/>
                <w:color w:val="000000"/>
                <w:sz w:val="18"/>
                <w:szCs w:val="18"/>
              </w:rPr>
              <w:t>0.000</w:t>
            </w:r>
          </w:p>
        </w:tc>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b/>
                <w:color w:val="000000"/>
                <w:sz w:val="18"/>
                <w:szCs w:val="18"/>
              </w:rPr>
            </w:pPr>
            <w:r w:rsidRPr="00DA7E4C">
              <w:rPr>
                <w:rFonts w:eastAsia="Times New Roman" w:cs="Times New Roman"/>
                <w:b/>
                <w:color w:val="000000"/>
                <w:sz w:val="18"/>
                <w:szCs w:val="18"/>
              </w:rPr>
              <w:t>0.000</w:t>
            </w:r>
          </w:p>
        </w:tc>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b/>
                <w:color w:val="000000"/>
                <w:sz w:val="18"/>
                <w:szCs w:val="18"/>
              </w:rPr>
            </w:pPr>
            <w:r w:rsidRPr="00DA7E4C">
              <w:rPr>
                <w:rFonts w:eastAsia="Times New Roman" w:cs="Times New Roman"/>
                <w:b/>
                <w:color w:val="000000"/>
                <w:sz w:val="18"/>
                <w:szCs w:val="18"/>
              </w:rPr>
              <w:t>0.000</w:t>
            </w:r>
          </w:p>
        </w:tc>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b/>
                <w:color w:val="000000"/>
                <w:sz w:val="18"/>
                <w:szCs w:val="18"/>
              </w:rPr>
            </w:pPr>
            <w:r w:rsidRPr="00DA7E4C">
              <w:rPr>
                <w:rFonts w:eastAsia="Times New Roman" w:cs="Times New Roman"/>
                <w:b/>
                <w:color w:val="000000"/>
                <w:sz w:val="18"/>
                <w:szCs w:val="18"/>
              </w:rPr>
              <w:t>0.000</w:t>
            </w:r>
          </w:p>
        </w:tc>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b/>
                <w:color w:val="000000"/>
                <w:sz w:val="18"/>
                <w:szCs w:val="18"/>
              </w:rPr>
            </w:pPr>
          </w:p>
        </w:tc>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b/>
                <w:color w:val="000000"/>
                <w:sz w:val="18"/>
                <w:szCs w:val="18"/>
              </w:rPr>
            </w:pPr>
          </w:p>
        </w:tc>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b/>
                <w:color w:val="000000"/>
                <w:sz w:val="18"/>
                <w:szCs w:val="18"/>
              </w:rPr>
            </w:pPr>
          </w:p>
        </w:tc>
      </w:tr>
      <w:tr w:rsidR="000A22AE" w:rsidRPr="00DA7E4C" w:rsidTr="000A22AE">
        <w:trPr>
          <w:trHeight w:val="300"/>
        </w:trPr>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center"/>
              <w:rPr>
                <w:rFonts w:eastAsia="Times New Roman" w:cs="Times New Roman"/>
                <w:sz w:val="18"/>
                <w:szCs w:val="18"/>
              </w:rPr>
            </w:pPr>
            <w:r w:rsidRPr="00DA7E4C">
              <w:rPr>
                <w:rFonts w:eastAsia="Times New Roman" w:cs="Times New Roman"/>
                <w:sz w:val="18"/>
                <w:szCs w:val="18"/>
              </w:rPr>
              <w:t>2</w:t>
            </w:r>
          </w:p>
        </w:tc>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366.189</w:t>
            </w:r>
          </w:p>
        </w:tc>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30.389</w:t>
            </w:r>
          </w:p>
        </w:tc>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color w:val="000000"/>
                <w:sz w:val="18"/>
                <w:szCs w:val="18"/>
              </w:rPr>
            </w:pPr>
          </w:p>
        </w:tc>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color w:val="000000"/>
                <w:sz w:val="18"/>
                <w:szCs w:val="18"/>
              </w:rPr>
            </w:pPr>
          </w:p>
        </w:tc>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color w:val="000000"/>
                <w:sz w:val="18"/>
                <w:szCs w:val="18"/>
              </w:rPr>
            </w:pPr>
          </w:p>
        </w:tc>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0.415</w:t>
            </w:r>
          </w:p>
        </w:tc>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5.034</w:t>
            </w:r>
          </w:p>
        </w:tc>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0.219</w:t>
            </w:r>
          </w:p>
        </w:tc>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1.715</w:t>
            </w:r>
          </w:p>
        </w:tc>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20.343</w:t>
            </w:r>
          </w:p>
        </w:tc>
      </w:tr>
      <w:tr w:rsidR="000A22AE" w:rsidRPr="00DA7E4C" w:rsidTr="000A22AE">
        <w:trPr>
          <w:trHeight w:val="300"/>
        </w:trPr>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center"/>
              <w:rPr>
                <w:rFonts w:eastAsia="Times New Roman" w:cs="Times New Roman"/>
                <w:b/>
                <w:sz w:val="18"/>
                <w:szCs w:val="18"/>
              </w:rPr>
            </w:pPr>
          </w:p>
        </w:tc>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b/>
                <w:color w:val="000000"/>
                <w:sz w:val="18"/>
                <w:szCs w:val="18"/>
              </w:rPr>
            </w:pPr>
            <w:r w:rsidRPr="00DA7E4C">
              <w:rPr>
                <w:rFonts w:eastAsia="Times New Roman" w:cs="Times New Roman"/>
                <w:b/>
                <w:color w:val="000000"/>
                <w:sz w:val="18"/>
                <w:szCs w:val="18"/>
              </w:rPr>
              <w:t>0.828</w:t>
            </w:r>
          </w:p>
        </w:tc>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b/>
                <w:color w:val="000000"/>
                <w:sz w:val="18"/>
                <w:szCs w:val="18"/>
              </w:rPr>
            </w:pPr>
            <w:r w:rsidRPr="00DA7E4C">
              <w:rPr>
                <w:rFonts w:eastAsia="Times New Roman" w:cs="Times New Roman"/>
                <w:b/>
                <w:color w:val="000000"/>
                <w:sz w:val="18"/>
                <w:szCs w:val="18"/>
              </w:rPr>
              <w:t>0.498</w:t>
            </w:r>
          </w:p>
        </w:tc>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b/>
                <w:color w:val="000000"/>
                <w:sz w:val="18"/>
                <w:szCs w:val="18"/>
              </w:rPr>
            </w:pPr>
          </w:p>
        </w:tc>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b/>
                <w:color w:val="000000"/>
                <w:sz w:val="18"/>
                <w:szCs w:val="18"/>
              </w:rPr>
            </w:pPr>
          </w:p>
        </w:tc>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b/>
                <w:color w:val="000000"/>
                <w:sz w:val="18"/>
                <w:szCs w:val="18"/>
              </w:rPr>
            </w:pPr>
          </w:p>
        </w:tc>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b/>
                <w:color w:val="000000"/>
                <w:sz w:val="18"/>
                <w:szCs w:val="18"/>
              </w:rPr>
            </w:pPr>
            <w:r w:rsidRPr="00DA7E4C">
              <w:rPr>
                <w:rFonts w:eastAsia="Times New Roman" w:cs="Times New Roman"/>
                <w:b/>
                <w:color w:val="000000"/>
                <w:sz w:val="18"/>
                <w:szCs w:val="18"/>
              </w:rPr>
              <w:t>0.010</w:t>
            </w:r>
          </w:p>
        </w:tc>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b/>
                <w:color w:val="000000"/>
                <w:sz w:val="18"/>
                <w:szCs w:val="18"/>
              </w:rPr>
            </w:pPr>
            <w:r w:rsidRPr="00DA7E4C">
              <w:rPr>
                <w:rFonts w:eastAsia="Times New Roman" w:cs="Times New Roman"/>
                <w:b/>
                <w:color w:val="000000"/>
                <w:sz w:val="18"/>
                <w:szCs w:val="18"/>
              </w:rPr>
              <w:t>0.012</w:t>
            </w:r>
          </w:p>
        </w:tc>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b/>
                <w:color w:val="000000"/>
                <w:sz w:val="18"/>
                <w:szCs w:val="18"/>
              </w:rPr>
            </w:pPr>
          </w:p>
        </w:tc>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b/>
                <w:color w:val="000000"/>
                <w:sz w:val="18"/>
                <w:szCs w:val="18"/>
              </w:rPr>
            </w:pPr>
          </w:p>
        </w:tc>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b/>
                <w:color w:val="000000"/>
                <w:sz w:val="18"/>
                <w:szCs w:val="18"/>
              </w:rPr>
            </w:pPr>
          </w:p>
        </w:tc>
      </w:tr>
      <w:tr w:rsidR="000A22AE" w:rsidRPr="00DA7E4C" w:rsidTr="000A22AE">
        <w:trPr>
          <w:trHeight w:val="300"/>
        </w:trPr>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center"/>
              <w:rPr>
                <w:rFonts w:eastAsia="Times New Roman" w:cs="Times New Roman"/>
                <w:sz w:val="18"/>
                <w:szCs w:val="18"/>
              </w:rPr>
            </w:pPr>
            <w:r w:rsidRPr="00DA7E4C">
              <w:rPr>
                <w:rFonts w:eastAsia="Times New Roman" w:cs="Times New Roman"/>
                <w:sz w:val="18"/>
                <w:szCs w:val="18"/>
              </w:rPr>
              <w:t>3</w:t>
            </w:r>
          </w:p>
        </w:tc>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161.052</w:t>
            </w:r>
          </w:p>
        </w:tc>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color w:val="000000"/>
                <w:sz w:val="18"/>
                <w:szCs w:val="18"/>
              </w:rPr>
            </w:pPr>
          </w:p>
        </w:tc>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90.234</w:t>
            </w:r>
          </w:p>
        </w:tc>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color w:val="000000"/>
                <w:sz w:val="18"/>
                <w:szCs w:val="18"/>
              </w:rPr>
            </w:pPr>
          </w:p>
        </w:tc>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color w:val="000000"/>
                <w:sz w:val="18"/>
                <w:szCs w:val="18"/>
              </w:rPr>
            </w:pPr>
          </w:p>
        </w:tc>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0.329</w:t>
            </w:r>
          </w:p>
        </w:tc>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6.938</w:t>
            </w:r>
          </w:p>
        </w:tc>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0.284</w:t>
            </w:r>
          </w:p>
        </w:tc>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1.896</w:t>
            </w:r>
          </w:p>
        </w:tc>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20.278</w:t>
            </w:r>
          </w:p>
        </w:tc>
      </w:tr>
      <w:tr w:rsidR="000A22AE" w:rsidRPr="00DA7E4C" w:rsidTr="000A22AE">
        <w:trPr>
          <w:trHeight w:val="300"/>
        </w:trPr>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center"/>
              <w:rPr>
                <w:rFonts w:eastAsia="Times New Roman" w:cs="Times New Roman"/>
                <w:b/>
                <w:sz w:val="18"/>
                <w:szCs w:val="18"/>
              </w:rPr>
            </w:pPr>
          </w:p>
        </w:tc>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b/>
                <w:color w:val="000000"/>
                <w:sz w:val="18"/>
                <w:szCs w:val="18"/>
              </w:rPr>
            </w:pPr>
            <w:r w:rsidRPr="00DA7E4C">
              <w:rPr>
                <w:rFonts w:eastAsia="Times New Roman" w:cs="Times New Roman"/>
                <w:b/>
                <w:color w:val="000000"/>
                <w:sz w:val="18"/>
                <w:szCs w:val="18"/>
              </w:rPr>
              <w:t>0.911</w:t>
            </w:r>
          </w:p>
        </w:tc>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b/>
                <w:color w:val="000000"/>
                <w:sz w:val="18"/>
                <w:szCs w:val="18"/>
              </w:rPr>
            </w:pPr>
          </w:p>
        </w:tc>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b/>
                <w:color w:val="000000"/>
                <w:sz w:val="18"/>
                <w:szCs w:val="18"/>
              </w:rPr>
            </w:pPr>
            <w:r w:rsidRPr="00DA7E4C">
              <w:rPr>
                <w:rFonts w:eastAsia="Times New Roman" w:cs="Times New Roman"/>
                <w:b/>
                <w:color w:val="000000"/>
                <w:sz w:val="18"/>
                <w:szCs w:val="18"/>
              </w:rPr>
              <w:t>0.048</w:t>
            </w:r>
          </w:p>
        </w:tc>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b/>
                <w:color w:val="000000"/>
                <w:sz w:val="18"/>
                <w:szCs w:val="18"/>
              </w:rPr>
            </w:pPr>
          </w:p>
        </w:tc>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b/>
                <w:color w:val="000000"/>
                <w:sz w:val="18"/>
                <w:szCs w:val="18"/>
              </w:rPr>
            </w:pPr>
          </w:p>
        </w:tc>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b/>
                <w:color w:val="000000"/>
                <w:sz w:val="18"/>
                <w:szCs w:val="18"/>
              </w:rPr>
            </w:pPr>
            <w:r w:rsidRPr="00DA7E4C">
              <w:rPr>
                <w:rFonts w:eastAsia="Times New Roman" w:cs="Times New Roman"/>
                <w:b/>
                <w:color w:val="000000"/>
                <w:sz w:val="18"/>
                <w:szCs w:val="18"/>
              </w:rPr>
              <w:t>0.049</w:t>
            </w:r>
          </w:p>
        </w:tc>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b/>
                <w:color w:val="000000"/>
                <w:sz w:val="18"/>
                <w:szCs w:val="18"/>
              </w:rPr>
            </w:pPr>
            <w:r w:rsidRPr="00DA7E4C">
              <w:rPr>
                <w:rFonts w:eastAsia="Times New Roman" w:cs="Times New Roman"/>
                <w:b/>
                <w:color w:val="000000"/>
                <w:sz w:val="18"/>
                <w:szCs w:val="18"/>
              </w:rPr>
              <w:t>0.003</w:t>
            </w:r>
          </w:p>
        </w:tc>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b/>
                <w:color w:val="000000"/>
                <w:sz w:val="18"/>
                <w:szCs w:val="18"/>
              </w:rPr>
            </w:pPr>
          </w:p>
        </w:tc>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b/>
                <w:color w:val="000000"/>
                <w:sz w:val="18"/>
                <w:szCs w:val="18"/>
              </w:rPr>
            </w:pPr>
          </w:p>
        </w:tc>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b/>
                <w:color w:val="000000"/>
                <w:sz w:val="18"/>
                <w:szCs w:val="18"/>
              </w:rPr>
            </w:pPr>
          </w:p>
        </w:tc>
      </w:tr>
      <w:tr w:rsidR="000A22AE" w:rsidRPr="00DA7E4C" w:rsidTr="000A22AE">
        <w:trPr>
          <w:trHeight w:val="300"/>
        </w:trPr>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center"/>
              <w:rPr>
                <w:rFonts w:eastAsia="Times New Roman" w:cs="Times New Roman"/>
                <w:sz w:val="18"/>
                <w:szCs w:val="18"/>
              </w:rPr>
            </w:pPr>
            <w:r w:rsidRPr="00DA7E4C">
              <w:rPr>
                <w:rFonts w:eastAsia="Times New Roman" w:cs="Times New Roman"/>
                <w:sz w:val="18"/>
                <w:szCs w:val="18"/>
              </w:rPr>
              <w:t>4</w:t>
            </w:r>
          </w:p>
        </w:tc>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141.699</w:t>
            </w:r>
          </w:p>
        </w:tc>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color w:val="000000"/>
                <w:sz w:val="18"/>
                <w:szCs w:val="18"/>
              </w:rPr>
            </w:pPr>
          </w:p>
        </w:tc>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color w:val="000000"/>
                <w:sz w:val="18"/>
                <w:szCs w:val="18"/>
              </w:rPr>
            </w:pPr>
          </w:p>
        </w:tc>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159.340</w:t>
            </w:r>
          </w:p>
        </w:tc>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color w:val="000000"/>
                <w:sz w:val="18"/>
                <w:szCs w:val="18"/>
              </w:rPr>
            </w:pPr>
          </w:p>
        </w:tc>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0.642</w:t>
            </w:r>
          </w:p>
        </w:tc>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15.574</w:t>
            </w:r>
          </w:p>
        </w:tc>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0.478</w:t>
            </w:r>
          </w:p>
        </w:tc>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1.329</w:t>
            </w:r>
          </w:p>
        </w:tc>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19.991</w:t>
            </w:r>
          </w:p>
        </w:tc>
      </w:tr>
      <w:tr w:rsidR="000A22AE" w:rsidRPr="00DA7E4C" w:rsidTr="000A22AE">
        <w:trPr>
          <w:trHeight w:val="300"/>
        </w:trPr>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center"/>
              <w:rPr>
                <w:rFonts w:eastAsia="Times New Roman" w:cs="Times New Roman"/>
                <w:b/>
                <w:sz w:val="18"/>
                <w:szCs w:val="18"/>
              </w:rPr>
            </w:pPr>
          </w:p>
        </w:tc>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b/>
                <w:color w:val="000000"/>
                <w:sz w:val="18"/>
                <w:szCs w:val="18"/>
              </w:rPr>
            </w:pPr>
            <w:r w:rsidRPr="00DA7E4C">
              <w:rPr>
                <w:rFonts w:eastAsia="Times New Roman" w:cs="Times New Roman"/>
                <w:b/>
                <w:color w:val="000000"/>
                <w:sz w:val="18"/>
                <w:szCs w:val="18"/>
              </w:rPr>
              <w:t>0.952</w:t>
            </w:r>
          </w:p>
        </w:tc>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b/>
                <w:color w:val="000000"/>
                <w:sz w:val="18"/>
                <w:szCs w:val="18"/>
              </w:rPr>
            </w:pPr>
          </w:p>
        </w:tc>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b/>
                <w:color w:val="000000"/>
                <w:sz w:val="18"/>
                <w:szCs w:val="18"/>
              </w:rPr>
            </w:pPr>
          </w:p>
        </w:tc>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b/>
                <w:color w:val="000000"/>
                <w:sz w:val="18"/>
                <w:szCs w:val="18"/>
              </w:rPr>
            </w:pPr>
            <w:r w:rsidRPr="00DA7E4C">
              <w:rPr>
                <w:rFonts w:eastAsia="Times New Roman" w:cs="Times New Roman"/>
                <w:b/>
                <w:color w:val="000000"/>
                <w:sz w:val="18"/>
                <w:szCs w:val="18"/>
              </w:rPr>
              <w:t>0.000</w:t>
            </w:r>
          </w:p>
        </w:tc>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b/>
                <w:color w:val="000000"/>
                <w:sz w:val="18"/>
                <w:szCs w:val="18"/>
              </w:rPr>
            </w:pPr>
          </w:p>
        </w:tc>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b/>
                <w:color w:val="000000"/>
                <w:sz w:val="18"/>
                <w:szCs w:val="18"/>
              </w:rPr>
            </w:pPr>
            <w:r w:rsidRPr="00DA7E4C">
              <w:rPr>
                <w:rFonts w:eastAsia="Times New Roman" w:cs="Times New Roman"/>
                <w:b/>
                <w:color w:val="000000"/>
                <w:sz w:val="18"/>
                <w:szCs w:val="18"/>
              </w:rPr>
              <w:t>0.000</w:t>
            </w:r>
          </w:p>
        </w:tc>
        <w:tc>
          <w:tcPr>
            <w:tcW w:w="960" w:type="dxa"/>
            <w:tcBorders>
              <w:top w:val="nil"/>
              <w:left w:val="nil"/>
              <w:bottom w:val="nil"/>
              <w:right w:val="nil"/>
            </w:tcBorders>
            <w:shd w:val="clear" w:color="auto" w:fill="auto"/>
            <w:vAlign w:val="bottom"/>
            <w:hideMark/>
          </w:tcPr>
          <w:p w:rsidR="000A22AE" w:rsidRPr="00DA7E4C" w:rsidRDefault="000A22AE" w:rsidP="000A22AE">
            <w:pPr>
              <w:spacing w:before="0" w:after="0" w:line="240" w:lineRule="auto"/>
              <w:jc w:val="right"/>
              <w:rPr>
                <w:rFonts w:eastAsia="Times New Roman" w:cs="Times New Roman"/>
                <w:b/>
                <w:color w:val="000000"/>
                <w:sz w:val="18"/>
                <w:szCs w:val="18"/>
              </w:rPr>
            </w:pPr>
            <w:r w:rsidRPr="00DA7E4C">
              <w:rPr>
                <w:rFonts w:eastAsia="Times New Roman" w:cs="Times New Roman"/>
                <w:b/>
                <w:color w:val="000000"/>
                <w:sz w:val="18"/>
                <w:szCs w:val="18"/>
              </w:rPr>
              <w:t>0.000</w:t>
            </w:r>
          </w:p>
        </w:tc>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b/>
                <w:color w:val="000000"/>
                <w:sz w:val="18"/>
                <w:szCs w:val="18"/>
              </w:rPr>
            </w:pPr>
          </w:p>
        </w:tc>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b/>
                <w:color w:val="000000"/>
                <w:sz w:val="18"/>
                <w:szCs w:val="18"/>
              </w:rPr>
            </w:pPr>
          </w:p>
        </w:tc>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b/>
                <w:color w:val="000000"/>
                <w:sz w:val="18"/>
                <w:szCs w:val="18"/>
              </w:rPr>
            </w:pPr>
          </w:p>
        </w:tc>
      </w:tr>
      <w:tr w:rsidR="000A22AE" w:rsidRPr="00DA7E4C" w:rsidTr="000A22AE">
        <w:trPr>
          <w:trHeight w:val="300"/>
        </w:trPr>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center"/>
              <w:rPr>
                <w:rFonts w:eastAsia="Times New Roman" w:cs="Times New Roman"/>
                <w:sz w:val="18"/>
                <w:szCs w:val="18"/>
              </w:rPr>
            </w:pPr>
            <w:r w:rsidRPr="00DA7E4C">
              <w:rPr>
                <w:rFonts w:eastAsia="Times New Roman" w:cs="Times New Roman"/>
                <w:sz w:val="18"/>
                <w:szCs w:val="18"/>
              </w:rPr>
              <w:t>5</w:t>
            </w:r>
          </w:p>
        </w:tc>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485.726</w:t>
            </w:r>
          </w:p>
        </w:tc>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color w:val="000000"/>
                <w:sz w:val="18"/>
                <w:szCs w:val="18"/>
              </w:rPr>
            </w:pPr>
          </w:p>
        </w:tc>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color w:val="000000"/>
                <w:sz w:val="18"/>
                <w:szCs w:val="18"/>
              </w:rPr>
            </w:pPr>
          </w:p>
        </w:tc>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color w:val="000000"/>
                <w:sz w:val="18"/>
                <w:szCs w:val="18"/>
              </w:rPr>
            </w:pPr>
          </w:p>
        </w:tc>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-143.789</w:t>
            </w:r>
          </w:p>
        </w:tc>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0.484</w:t>
            </w:r>
          </w:p>
        </w:tc>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11.061</w:t>
            </w:r>
          </w:p>
        </w:tc>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0.401</w:t>
            </w:r>
          </w:p>
        </w:tc>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1.524</w:t>
            </w:r>
          </w:p>
        </w:tc>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20.157</w:t>
            </w:r>
          </w:p>
        </w:tc>
      </w:tr>
      <w:tr w:rsidR="000A22AE" w:rsidRPr="00DA7E4C" w:rsidTr="000A22AE">
        <w:trPr>
          <w:trHeight w:val="300"/>
        </w:trPr>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center"/>
              <w:rPr>
                <w:rFonts w:eastAsia="Times New Roman" w:cs="Times New Roman"/>
                <w:b/>
                <w:sz w:val="18"/>
                <w:szCs w:val="18"/>
              </w:rPr>
            </w:pPr>
          </w:p>
        </w:tc>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b/>
                <w:color w:val="000000"/>
                <w:sz w:val="18"/>
                <w:szCs w:val="18"/>
              </w:rPr>
            </w:pPr>
            <w:r w:rsidRPr="00DA7E4C">
              <w:rPr>
                <w:rFonts w:eastAsia="Times New Roman" w:cs="Times New Roman"/>
                <w:b/>
                <w:color w:val="000000"/>
                <w:sz w:val="18"/>
                <w:szCs w:val="18"/>
              </w:rPr>
              <w:t>0.788</w:t>
            </w:r>
          </w:p>
        </w:tc>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b/>
                <w:color w:val="000000"/>
                <w:sz w:val="18"/>
                <w:szCs w:val="18"/>
              </w:rPr>
            </w:pPr>
          </w:p>
        </w:tc>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b/>
                <w:color w:val="000000"/>
                <w:sz w:val="18"/>
                <w:szCs w:val="18"/>
              </w:rPr>
            </w:pPr>
          </w:p>
        </w:tc>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b/>
                <w:color w:val="000000"/>
                <w:sz w:val="18"/>
                <w:szCs w:val="18"/>
              </w:rPr>
            </w:pPr>
          </w:p>
        </w:tc>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b/>
                <w:color w:val="000000"/>
                <w:sz w:val="18"/>
                <w:szCs w:val="18"/>
              </w:rPr>
            </w:pPr>
            <w:r w:rsidRPr="00DA7E4C">
              <w:rPr>
                <w:rFonts w:eastAsia="Times New Roman" w:cs="Times New Roman"/>
                <w:b/>
                <w:color w:val="000000"/>
                <w:sz w:val="18"/>
                <w:szCs w:val="18"/>
              </w:rPr>
              <w:t>0.031</w:t>
            </w:r>
          </w:p>
        </w:tc>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b/>
                <w:color w:val="000000"/>
                <w:sz w:val="18"/>
                <w:szCs w:val="18"/>
              </w:rPr>
            </w:pPr>
            <w:r w:rsidRPr="00DA7E4C">
              <w:rPr>
                <w:rFonts w:eastAsia="Times New Roman" w:cs="Times New Roman"/>
                <w:b/>
                <w:color w:val="000000"/>
                <w:sz w:val="18"/>
                <w:szCs w:val="18"/>
              </w:rPr>
              <w:t>0.031</w:t>
            </w:r>
          </w:p>
        </w:tc>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b/>
                <w:color w:val="000000"/>
                <w:sz w:val="18"/>
                <w:szCs w:val="18"/>
              </w:rPr>
            </w:pPr>
            <w:r w:rsidRPr="00DA7E4C">
              <w:rPr>
                <w:rFonts w:eastAsia="Times New Roman" w:cs="Times New Roman"/>
                <w:b/>
                <w:color w:val="000000"/>
                <w:sz w:val="18"/>
                <w:szCs w:val="18"/>
              </w:rPr>
              <w:t>0.000</w:t>
            </w:r>
          </w:p>
        </w:tc>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b/>
                <w:color w:val="000000"/>
                <w:sz w:val="18"/>
                <w:szCs w:val="18"/>
              </w:rPr>
            </w:pPr>
          </w:p>
        </w:tc>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b/>
                <w:color w:val="000000"/>
                <w:sz w:val="18"/>
                <w:szCs w:val="18"/>
              </w:rPr>
            </w:pPr>
          </w:p>
        </w:tc>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b/>
                <w:color w:val="000000"/>
                <w:sz w:val="18"/>
                <w:szCs w:val="18"/>
              </w:rPr>
            </w:pPr>
          </w:p>
        </w:tc>
      </w:tr>
    </w:tbl>
    <w:p w:rsidR="000A22AE" w:rsidRPr="00762161" w:rsidRDefault="000A22AE" w:rsidP="000A22AE"/>
    <w:p w:rsidR="000A22AE" w:rsidRPr="00762161" w:rsidRDefault="000A22AE" w:rsidP="000A22AE"/>
    <w:p w:rsidR="000A22AE" w:rsidRPr="00762161" w:rsidRDefault="000A22AE" w:rsidP="000A22AE"/>
    <w:p w:rsidR="000A22AE" w:rsidRPr="00762161" w:rsidRDefault="000A22AE" w:rsidP="000A22AE"/>
    <w:p w:rsidR="000A22AE" w:rsidRPr="00762161" w:rsidRDefault="000A22AE" w:rsidP="000A22AE">
      <w:pPr>
        <w:pStyle w:val="Heading2"/>
      </w:pPr>
      <w:bookmarkStart w:id="371" w:name="_Toc286616348"/>
      <w:r w:rsidRPr="00762161">
        <w:t xml:space="preserve">Table 14: The Relationship between Industrial Production and </w:t>
      </w:r>
      <w:r w:rsidR="00627488">
        <w:t>Real Stock Price</w:t>
      </w:r>
      <w:r w:rsidRPr="00762161">
        <w:t>s (Yearly 1988-1997)</w:t>
      </w:r>
      <w:bookmarkEnd w:id="371"/>
    </w:p>
    <w:tbl>
      <w:tblPr>
        <w:tblW w:w="10567" w:type="dxa"/>
        <w:tblInd w:w="93" w:type="dxa"/>
        <w:tblLook w:val="04A0"/>
      </w:tblPr>
      <w:tblGrid>
        <w:gridCol w:w="960"/>
        <w:gridCol w:w="967"/>
        <w:gridCol w:w="960"/>
        <w:gridCol w:w="960"/>
        <w:gridCol w:w="960"/>
        <w:gridCol w:w="960"/>
        <w:gridCol w:w="960"/>
        <w:gridCol w:w="960"/>
        <w:gridCol w:w="960"/>
        <w:gridCol w:w="960"/>
        <w:gridCol w:w="960"/>
      </w:tblGrid>
      <w:tr w:rsidR="000A22AE" w:rsidRPr="00DA7E4C" w:rsidTr="000A22AE">
        <w:trPr>
          <w:trHeight w:val="300"/>
        </w:trPr>
        <w:tc>
          <w:tcPr>
            <w:tcW w:w="1927" w:type="dxa"/>
            <w:gridSpan w:val="2"/>
            <w:tcBorders>
              <w:top w:val="single" w:sz="8" w:space="0" w:color="auto"/>
              <w:left w:val="single" w:sz="8" w:space="0" w:color="auto"/>
              <w:bottom w:val="single" w:sz="8" w:space="0" w:color="auto"/>
              <w:right w:val="nil"/>
            </w:tcBorders>
            <w:shd w:val="clear" w:color="auto" w:fill="auto"/>
            <w:noWrap/>
            <w:vAlign w:val="bottom"/>
            <w:hideMark/>
          </w:tcPr>
          <w:p w:rsidR="000A22AE" w:rsidRPr="00DA7E4C" w:rsidRDefault="000A22AE" w:rsidP="000A22AE">
            <w:pPr>
              <w:spacing w:before="0" w:after="0" w:line="240" w:lineRule="auto"/>
              <w:jc w:val="center"/>
              <w:rPr>
                <w:rFonts w:eastAsia="Times New Roman" w:cs="Times New Roman"/>
                <w:sz w:val="18"/>
                <w:szCs w:val="18"/>
              </w:rPr>
            </w:pPr>
            <w:r w:rsidRPr="00DA7E4C">
              <w:rPr>
                <w:rFonts w:eastAsia="Times New Roman" w:cs="Times New Roman"/>
                <w:sz w:val="18"/>
                <w:szCs w:val="18"/>
              </w:rPr>
              <w:t>Sample</w:t>
            </w:r>
          </w:p>
          <w:p w:rsidR="000A22AE" w:rsidRPr="00DA7E4C" w:rsidRDefault="000A22AE" w:rsidP="000A22AE">
            <w:pPr>
              <w:spacing w:before="0" w:after="0" w:line="240" w:lineRule="auto"/>
              <w:jc w:val="center"/>
              <w:rPr>
                <w:rFonts w:eastAsia="Times New Roman" w:cs="Times New Roman"/>
                <w:sz w:val="18"/>
                <w:szCs w:val="18"/>
              </w:rPr>
            </w:pPr>
            <w:r w:rsidRPr="00DA7E4C">
              <w:rPr>
                <w:rFonts w:eastAsia="Times New Roman" w:cs="Times New Roman"/>
                <w:sz w:val="18"/>
                <w:szCs w:val="18"/>
              </w:rPr>
              <w:t>1988-1997</w:t>
            </w:r>
          </w:p>
        </w:tc>
        <w:tc>
          <w:tcPr>
            <w:tcW w:w="3840" w:type="dxa"/>
            <w:gridSpan w:val="4"/>
            <w:tcBorders>
              <w:top w:val="single" w:sz="8" w:space="0" w:color="auto"/>
              <w:left w:val="single" w:sz="8" w:space="0" w:color="auto"/>
              <w:bottom w:val="nil"/>
              <w:right w:val="single" w:sz="8" w:space="0" w:color="000000"/>
            </w:tcBorders>
            <w:shd w:val="clear" w:color="auto" w:fill="auto"/>
            <w:vAlign w:val="bottom"/>
            <w:hideMark/>
          </w:tcPr>
          <w:p w:rsidR="000A22AE" w:rsidRPr="00DA7E4C" w:rsidRDefault="000A22AE" w:rsidP="000A22AE">
            <w:pPr>
              <w:spacing w:before="0" w:after="0" w:line="240" w:lineRule="auto"/>
              <w:jc w:val="center"/>
              <w:rPr>
                <w:rFonts w:eastAsia="Times New Roman" w:cs="Times New Roman"/>
                <w:color w:val="000000"/>
                <w:sz w:val="18"/>
                <w:szCs w:val="18"/>
              </w:rPr>
            </w:pPr>
            <w:r w:rsidRPr="00DA7E4C">
              <w:rPr>
                <w:rFonts w:eastAsia="Times New Roman" w:cs="Times New Roman"/>
                <w:color w:val="000000"/>
                <w:sz w:val="18"/>
                <w:szCs w:val="18"/>
              </w:rPr>
              <w:t xml:space="preserve">Real Stock </w:t>
            </w:r>
          </w:p>
        </w:tc>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color w:val="000000"/>
                <w:sz w:val="18"/>
                <w:szCs w:val="18"/>
              </w:rPr>
            </w:pPr>
          </w:p>
        </w:tc>
        <w:tc>
          <w:tcPr>
            <w:tcW w:w="960" w:type="dxa"/>
            <w:tcBorders>
              <w:top w:val="nil"/>
              <w:left w:val="nil"/>
              <w:bottom w:val="nil"/>
              <w:right w:val="single" w:sz="4" w:space="0" w:color="auto"/>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color w:val="000000"/>
                <w:sz w:val="18"/>
                <w:szCs w:val="18"/>
              </w:rPr>
            </w:pPr>
          </w:p>
        </w:tc>
        <w:tc>
          <w:tcPr>
            <w:tcW w:w="960"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A22AE" w:rsidRPr="00DA7E4C" w:rsidRDefault="000A22AE" w:rsidP="000A22AE">
            <w:pPr>
              <w:spacing w:before="0" w:after="0" w:line="240" w:lineRule="auto"/>
              <w:jc w:val="center"/>
              <w:rPr>
                <w:rFonts w:eastAsia="Times New Roman" w:cs="Times New Roman"/>
                <w:sz w:val="18"/>
                <w:szCs w:val="18"/>
              </w:rPr>
            </w:pPr>
            <w:r w:rsidRPr="00DA7E4C">
              <w:rPr>
                <w:rFonts w:eastAsia="Times New Roman" w:cs="Times New Roman"/>
                <w:sz w:val="18"/>
                <w:szCs w:val="18"/>
              </w:rPr>
              <w:t>Adjusted</w:t>
            </w:r>
          </w:p>
          <w:p w:rsidR="000A22AE" w:rsidRPr="00DA7E4C" w:rsidRDefault="000A22AE" w:rsidP="000A22AE">
            <w:pPr>
              <w:spacing w:before="0" w:after="0" w:line="240" w:lineRule="auto"/>
              <w:jc w:val="center"/>
              <w:rPr>
                <w:rFonts w:eastAsia="Times New Roman" w:cs="Times New Roman"/>
                <w:color w:val="000000"/>
                <w:sz w:val="18"/>
                <w:szCs w:val="18"/>
              </w:rPr>
            </w:pPr>
            <w:r w:rsidRPr="00DA7E4C">
              <w:rPr>
                <w:rFonts w:eastAsia="Times New Roman" w:cs="Times New Roman"/>
                <w:sz w:val="18"/>
                <w:szCs w:val="18"/>
              </w:rPr>
              <w:t>R-square</w:t>
            </w:r>
          </w:p>
        </w:tc>
        <w:tc>
          <w:tcPr>
            <w:tcW w:w="960" w:type="dxa"/>
            <w:tcBorders>
              <w:top w:val="nil"/>
              <w:left w:val="single" w:sz="4" w:space="0" w:color="auto"/>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color w:val="000000"/>
                <w:sz w:val="18"/>
                <w:szCs w:val="18"/>
              </w:rPr>
            </w:pPr>
          </w:p>
        </w:tc>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color w:val="000000"/>
                <w:sz w:val="18"/>
                <w:szCs w:val="18"/>
              </w:rPr>
            </w:pPr>
          </w:p>
        </w:tc>
      </w:tr>
      <w:tr w:rsidR="000A22AE" w:rsidRPr="00DA7E4C" w:rsidTr="000A22AE">
        <w:trPr>
          <w:trHeight w:val="255"/>
        </w:trPr>
        <w:tc>
          <w:tcPr>
            <w:tcW w:w="960" w:type="dxa"/>
            <w:tcBorders>
              <w:top w:val="nil"/>
              <w:left w:val="single" w:sz="8" w:space="0" w:color="auto"/>
              <w:bottom w:val="single" w:sz="8" w:space="0" w:color="auto"/>
              <w:right w:val="single" w:sz="8" w:space="0" w:color="auto"/>
            </w:tcBorders>
            <w:shd w:val="clear" w:color="auto" w:fill="auto"/>
            <w:noWrap/>
            <w:vAlign w:val="center"/>
            <w:hideMark/>
          </w:tcPr>
          <w:p w:rsidR="000A22AE" w:rsidRPr="00DA7E4C" w:rsidRDefault="000A22AE" w:rsidP="000A22AE">
            <w:pPr>
              <w:spacing w:before="0" w:after="0" w:line="240" w:lineRule="auto"/>
              <w:jc w:val="center"/>
              <w:rPr>
                <w:rFonts w:eastAsia="Times New Roman" w:cs="Times New Roman"/>
                <w:sz w:val="18"/>
                <w:szCs w:val="18"/>
              </w:rPr>
            </w:pPr>
            <w:r w:rsidRPr="00DA7E4C">
              <w:rPr>
                <w:rFonts w:eastAsia="Times New Roman" w:cs="Times New Roman"/>
                <w:sz w:val="18"/>
                <w:szCs w:val="18"/>
              </w:rPr>
              <w:t>No</w:t>
            </w:r>
          </w:p>
        </w:tc>
        <w:tc>
          <w:tcPr>
            <w:tcW w:w="967" w:type="dxa"/>
            <w:tcBorders>
              <w:top w:val="single" w:sz="8" w:space="0" w:color="auto"/>
              <w:left w:val="nil"/>
              <w:bottom w:val="single" w:sz="8" w:space="0" w:color="auto"/>
              <w:right w:val="single" w:sz="8" w:space="0" w:color="auto"/>
            </w:tcBorders>
            <w:shd w:val="clear" w:color="auto" w:fill="auto"/>
            <w:noWrap/>
            <w:vAlign w:val="center"/>
            <w:hideMark/>
          </w:tcPr>
          <w:p w:rsidR="000A22AE" w:rsidRPr="00DA7E4C" w:rsidRDefault="000A22AE" w:rsidP="000A22AE">
            <w:pPr>
              <w:spacing w:before="0" w:after="0" w:line="240" w:lineRule="auto"/>
              <w:jc w:val="center"/>
              <w:rPr>
                <w:rFonts w:eastAsia="Times New Roman" w:cs="Times New Roman"/>
                <w:sz w:val="18"/>
                <w:szCs w:val="18"/>
              </w:rPr>
            </w:pPr>
            <w:r w:rsidRPr="00DA7E4C">
              <w:rPr>
                <w:rFonts w:eastAsia="Times New Roman" w:cs="Times New Roman"/>
                <w:sz w:val="18"/>
                <w:szCs w:val="18"/>
              </w:rPr>
              <w:t>Intercept</w:t>
            </w:r>
          </w:p>
        </w:tc>
        <w:tc>
          <w:tcPr>
            <w:tcW w:w="960" w:type="dxa"/>
            <w:tcBorders>
              <w:top w:val="nil"/>
              <w:left w:val="nil"/>
              <w:bottom w:val="single" w:sz="8" w:space="0" w:color="auto"/>
              <w:right w:val="single" w:sz="8" w:space="0" w:color="auto"/>
            </w:tcBorders>
            <w:shd w:val="clear" w:color="auto" w:fill="auto"/>
            <w:vAlign w:val="center"/>
            <w:hideMark/>
          </w:tcPr>
          <w:p w:rsidR="000A22AE" w:rsidRPr="00DA7E4C" w:rsidRDefault="000A22AE" w:rsidP="000A22AE">
            <w:pPr>
              <w:spacing w:before="0" w:after="0" w:line="240" w:lineRule="auto"/>
              <w:jc w:val="center"/>
              <w:rPr>
                <w:rFonts w:eastAsia="Times New Roman" w:cs="Times New Roman"/>
                <w:sz w:val="18"/>
                <w:szCs w:val="18"/>
              </w:rPr>
            </w:pPr>
            <w:r w:rsidRPr="00DA7E4C">
              <w:rPr>
                <w:rFonts w:eastAsia="Times New Roman" w:cs="Times New Roman"/>
                <w:sz w:val="18"/>
                <w:szCs w:val="18"/>
              </w:rPr>
              <w:t>t</w:t>
            </w:r>
          </w:p>
        </w:tc>
        <w:tc>
          <w:tcPr>
            <w:tcW w:w="960" w:type="dxa"/>
            <w:tcBorders>
              <w:top w:val="nil"/>
              <w:left w:val="nil"/>
              <w:bottom w:val="single" w:sz="8" w:space="0" w:color="auto"/>
              <w:right w:val="single" w:sz="8" w:space="0" w:color="auto"/>
            </w:tcBorders>
            <w:shd w:val="clear" w:color="auto" w:fill="auto"/>
            <w:vAlign w:val="center"/>
            <w:hideMark/>
          </w:tcPr>
          <w:p w:rsidR="000A22AE" w:rsidRPr="00DA7E4C" w:rsidRDefault="000A22AE" w:rsidP="000A22AE">
            <w:pPr>
              <w:spacing w:before="0" w:after="0" w:line="240" w:lineRule="auto"/>
              <w:jc w:val="center"/>
              <w:rPr>
                <w:rFonts w:eastAsia="Times New Roman" w:cs="Times New Roman"/>
                <w:sz w:val="18"/>
                <w:szCs w:val="18"/>
              </w:rPr>
            </w:pPr>
            <w:r w:rsidRPr="00DA7E4C">
              <w:rPr>
                <w:rFonts w:eastAsia="Times New Roman" w:cs="Times New Roman"/>
                <w:sz w:val="18"/>
                <w:szCs w:val="18"/>
              </w:rPr>
              <w:t>t-1</w:t>
            </w:r>
          </w:p>
        </w:tc>
        <w:tc>
          <w:tcPr>
            <w:tcW w:w="960" w:type="dxa"/>
            <w:tcBorders>
              <w:top w:val="nil"/>
              <w:left w:val="nil"/>
              <w:bottom w:val="single" w:sz="8" w:space="0" w:color="auto"/>
              <w:right w:val="single" w:sz="8" w:space="0" w:color="auto"/>
            </w:tcBorders>
            <w:shd w:val="clear" w:color="auto" w:fill="auto"/>
            <w:vAlign w:val="center"/>
            <w:hideMark/>
          </w:tcPr>
          <w:p w:rsidR="000A22AE" w:rsidRPr="00DA7E4C" w:rsidRDefault="000A22AE" w:rsidP="000A22AE">
            <w:pPr>
              <w:spacing w:before="0" w:after="0" w:line="240" w:lineRule="auto"/>
              <w:jc w:val="center"/>
              <w:rPr>
                <w:rFonts w:eastAsia="Times New Roman" w:cs="Times New Roman"/>
                <w:sz w:val="18"/>
                <w:szCs w:val="18"/>
              </w:rPr>
            </w:pPr>
            <w:r w:rsidRPr="00DA7E4C">
              <w:rPr>
                <w:rFonts w:eastAsia="Times New Roman" w:cs="Times New Roman"/>
                <w:sz w:val="18"/>
                <w:szCs w:val="18"/>
              </w:rPr>
              <w:t>t-2</w:t>
            </w:r>
          </w:p>
        </w:tc>
        <w:tc>
          <w:tcPr>
            <w:tcW w:w="960" w:type="dxa"/>
            <w:tcBorders>
              <w:top w:val="nil"/>
              <w:left w:val="nil"/>
              <w:bottom w:val="single" w:sz="8" w:space="0" w:color="auto"/>
              <w:right w:val="single" w:sz="8" w:space="0" w:color="auto"/>
            </w:tcBorders>
            <w:shd w:val="clear" w:color="auto" w:fill="auto"/>
            <w:vAlign w:val="center"/>
            <w:hideMark/>
          </w:tcPr>
          <w:p w:rsidR="000A22AE" w:rsidRPr="00DA7E4C" w:rsidRDefault="000A22AE" w:rsidP="000A22AE">
            <w:pPr>
              <w:spacing w:before="0" w:after="0" w:line="240" w:lineRule="auto"/>
              <w:jc w:val="center"/>
              <w:rPr>
                <w:rFonts w:eastAsia="Times New Roman" w:cs="Times New Roman"/>
                <w:sz w:val="18"/>
                <w:szCs w:val="18"/>
              </w:rPr>
            </w:pPr>
            <w:r w:rsidRPr="00DA7E4C">
              <w:rPr>
                <w:rFonts w:eastAsia="Times New Roman" w:cs="Times New Roman"/>
                <w:sz w:val="18"/>
                <w:szCs w:val="18"/>
              </w:rPr>
              <w:t>t-3</w:t>
            </w:r>
          </w:p>
        </w:tc>
        <w:tc>
          <w:tcPr>
            <w:tcW w:w="960" w:type="dxa"/>
            <w:tcBorders>
              <w:top w:val="single" w:sz="8" w:space="0" w:color="auto"/>
              <w:left w:val="nil"/>
              <w:bottom w:val="single" w:sz="8" w:space="0" w:color="auto"/>
              <w:right w:val="single" w:sz="8" w:space="0" w:color="auto"/>
            </w:tcBorders>
            <w:shd w:val="clear" w:color="auto" w:fill="auto"/>
            <w:vAlign w:val="center"/>
            <w:hideMark/>
          </w:tcPr>
          <w:p w:rsidR="000A22AE" w:rsidRPr="00DA7E4C" w:rsidRDefault="000A22AE" w:rsidP="000A22AE">
            <w:pPr>
              <w:spacing w:before="0" w:after="0" w:line="240" w:lineRule="auto"/>
              <w:jc w:val="center"/>
              <w:rPr>
                <w:rFonts w:eastAsia="Times New Roman" w:cs="Times New Roman"/>
                <w:sz w:val="18"/>
                <w:szCs w:val="18"/>
              </w:rPr>
            </w:pPr>
            <w:r w:rsidRPr="00DA7E4C">
              <w:rPr>
                <w:rFonts w:eastAsia="Times New Roman" w:cs="Times New Roman"/>
                <w:sz w:val="18"/>
                <w:szCs w:val="18"/>
              </w:rPr>
              <w:t>AR</w:t>
            </w:r>
          </w:p>
        </w:tc>
        <w:tc>
          <w:tcPr>
            <w:tcW w:w="960" w:type="dxa"/>
            <w:tcBorders>
              <w:top w:val="single" w:sz="8" w:space="0" w:color="auto"/>
              <w:left w:val="nil"/>
              <w:bottom w:val="single" w:sz="8" w:space="0" w:color="auto"/>
              <w:right w:val="single" w:sz="4" w:space="0" w:color="auto"/>
            </w:tcBorders>
            <w:shd w:val="clear" w:color="auto" w:fill="auto"/>
            <w:noWrap/>
            <w:vAlign w:val="center"/>
            <w:hideMark/>
          </w:tcPr>
          <w:p w:rsidR="000A22AE" w:rsidRPr="00DA7E4C" w:rsidRDefault="000A22AE" w:rsidP="000A22AE">
            <w:pPr>
              <w:spacing w:before="0" w:after="0" w:line="240" w:lineRule="auto"/>
              <w:jc w:val="center"/>
              <w:rPr>
                <w:rFonts w:eastAsia="Times New Roman" w:cs="Times New Roman"/>
                <w:sz w:val="18"/>
                <w:szCs w:val="18"/>
              </w:rPr>
            </w:pPr>
            <w:r w:rsidRPr="00DA7E4C">
              <w:rPr>
                <w:rFonts w:eastAsia="Times New Roman" w:cs="Times New Roman"/>
                <w:sz w:val="18"/>
                <w:szCs w:val="18"/>
              </w:rPr>
              <w:t>F Value</w:t>
            </w:r>
          </w:p>
        </w:tc>
        <w:tc>
          <w:tcPr>
            <w:tcW w:w="960" w:type="dxa"/>
            <w:vMerge/>
            <w:tcBorders>
              <w:left w:val="single" w:sz="4" w:space="0" w:color="auto"/>
              <w:bottom w:val="single" w:sz="4" w:space="0" w:color="auto"/>
              <w:right w:val="single" w:sz="4" w:space="0" w:color="auto"/>
            </w:tcBorders>
            <w:shd w:val="clear" w:color="auto" w:fill="auto"/>
            <w:noWrap/>
            <w:vAlign w:val="center"/>
            <w:hideMark/>
          </w:tcPr>
          <w:p w:rsidR="000A22AE" w:rsidRPr="00DA7E4C" w:rsidRDefault="000A22AE" w:rsidP="000A22AE">
            <w:pPr>
              <w:spacing w:before="0" w:after="0" w:line="240" w:lineRule="auto"/>
              <w:jc w:val="center"/>
              <w:rPr>
                <w:rFonts w:eastAsia="Times New Roman" w:cs="Times New Roman"/>
                <w:sz w:val="18"/>
                <w:szCs w:val="18"/>
              </w:rPr>
            </w:pPr>
          </w:p>
        </w:tc>
        <w:tc>
          <w:tcPr>
            <w:tcW w:w="960" w:type="dxa"/>
            <w:tcBorders>
              <w:top w:val="single" w:sz="8" w:space="0" w:color="auto"/>
              <w:left w:val="single" w:sz="4" w:space="0" w:color="auto"/>
              <w:bottom w:val="single" w:sz="8" w:space="0" w:color="auto"/>
              <w:right w:val="single" w:sz="8" w:space="0" w:color="auto"/>
            </w:tcBorders>
            <w:shd w:val="clear" w:color="auto" w:fill="auto"/>
            <w:noWrap/>
            <w:vAlign w:val="center"/>
            <w:hideMark/>
          </w:tcPr>
          <w:p w:rsidR="000A22AE" w:rsidRPr="00DA7E4C" w:rsidRDefault="000A22AE" w:rsidP="000A22AE">
            <w:pPr>
              <w:spacing w:before="0" w:after="0" w:line="240" w:lineRule="auto"/>
              <w:jc w:val="center"/>
              <w:rPr>
                <w:rFonts w:eastAsia="Times New Roman" w:cs="Times New Roman"/>
                <w:sz w:val="18"/>
                <w:szCs w:val="18"/>
              </w:rPr>
            </w:pPr>
            <w:r w:rsidRPr="00DA7E4C">
              <w:rPr>
                <w:rFonts w:eastAsia="Times New Roman" w:cs="Times New Roman"/>
                <w:sz w:val="18"/>
                <w:szCs w:val="18"/>
              </w:rPr>
              <w:t>DW</w:t>
            </w:r>
          </w:p>
        </w:tc>
        <w:tc>
          <w:tcPr>
            <w:tcW w:w="960" w:type="dxa"/>
            <w:tcBorders>
              <w:top w:val="single" w:sz="8" w:space="0" w:color="auto"/>
              <w:left w:val="nil"/>
              <w:bottom w:val="single" w:sz="8" w:space="0" w:color="auto"/>
              <w:right w:val="single" w:sz="8" w:space="0" w:color="auto"/>
            </w:tcBorders>
            <w:shd w:val="clear" w:color="auto" w:fill="auto"/>
            <w:vAlign w:val="center"/>
            <w:hideMark/>
          </w:tcPr>
          <w:p w:rsidR="000A22AE" w:rsidRPr="00DA7E4C" w:rsidRDefault="000A22AE" w:rsidP="000A22AE">
            <w:pPr>
              <w:spacing w:before="0" w:after="0" w:line="240" w:lineRule="auto"/>
              <w:jc w:val="center"/>
              <w:rPr>
                <w:rFonts w:eastAsia="Times New Roman" w:cs="Times New Roman"/>
                <w:color w:val="000000"/>
                <w:sz w:val="18"/>
                <w:szCs w:val="18"/>
              </w:rPr>
            </w:pPr>
            <w:r w:rsidRPr="00DA7E4C">
              <w:rPr>
                <w:rFonts w:eastAsia="Times New Roman" w:cs="Times New Roman"/>
                <w:color w:val="000000"/>
                <w:sz w:val="18"/>
                <w:szCs w:val="18"/>
              </w:rPr>
              <w:t>Akaike</w:t>
            </w:r>
          </w:p>
        </w:tc>
      </w:tr>
      <w:tr w:rsidR="000A22AE" w:rsidRPr="00DA7E4C" w:rsidTr="000A22AE">
        <w:trPr>
          <w:trHeight w:val="240"/>
        </w:trPr>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center"/>
              <w:rPr>
                <w:rFonts w:eastAsia="Times New Roman" w:cs="Times New Roman"/>
                <w:sz w:val="18"/>
                <w:szCs w:val="18"/>
              </w:rPr>
            </w:pPr>
            <w:r w:rsidRPr="00DA7E4C">
              <w:rPr>
                <w:rFonts w:eastAsia="Times New Roman" w:cs="Times New Roman"/>
                <w:sz w:val="18"/>
                <w:szCs w:val="18"/>
              </w:rPr>
              <w:t>1</w:t>
            </w:r>
          </w:p>
        </w:tc>
        <w:tc>
          <w:tcPr>
            <w:tcW w:w="967"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-1270.220</w:t>
            </w:r>
          </w:p>
        </w:tc>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229.231</w:t>
            </w:r>
          </w:p>
        </w:tc>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66.548</w:t>
            </w:r>
          </w:p>
        </w:tc>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12.344</w:t>
            </w:r>
          </w:p>
        </w:tc>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54.990</w:t>
            </w:r>
          </w:p>
        </w:tc>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0.754</w:t>
            </w:r>
          </w:p>
        </w:tc>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8.583</w:t>
            </w:r>
          </w:p>
        </w:tc>
        <w:tc>
          <w:tcPr>
            <w:tcW w:w="960" w:type="dxa"/>
            <w:tcBorders>
              <w:top w:val="single" w:sz="4" w:space="0" w:color="auto"/>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0.589</w:t>
            </w:r>
          </w:p>
        </w:tc>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1.136</w:t>
            </w:r>
          </w:p>
        </w:tc>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19.382</w:t>
            </w:r>
          </w:p>
        </w:tc>
      </w:tr>
      <w:tr w:rsidR="000A22AE" w:rsidRPr="00DA7E4C" w:rsidTr="000A22AE">
        <w:trPr>
          <w:trHeight w:val="240"/>
        </w:trPr>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center"/>
              <w:rPr>
                <w:rFonts w:eastAsia="Times New Roman" w:cs="Times New Roman"/>
                <w:b/>
                <w:sz w:val="18"/>
                <w:szCs w:val="18"/>
              </w:rPr>
            </w:pPr>
          </w:p>
        </w:tc>
        <w:tc>
          <w:tcPr>
            <w:tcW w:w="967"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b/>
                <w:color w:val="000000"/>
                <w:sz w:val="18"/>
                <w:szCs w:val="18"/>
              </w:rPr>
            </w:pPr>
            <w:r w:rsidRPr="00DA7E4C">
              <w:rPr>
                <w:rFonts w:eastAsia="Times New Roman" w:cs="Times New Roman"/>
                <w:b/>
                <w:color w:val="000000"/>
                <w:sz w:val="18"/>
                <w:szCs w:val="18"/>
              </w:rPr>
              <w:t>0.611</w:t>
            </w:r>
          </w:p>
        </w:tc>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b/>
                <w:color w:val="000000"/>
                <w:sz w:val="18"/>
                <w:szCs w:val="18"/>
              </w:rPr>
            </w:pPr>
            <w:r w:rsidRPr="00DA7E4C">
              <w:rPr>
                <w:rFonts w:eastAsia="Times New Roman" w:cs="Times New Roman"/>
                <w:b/>
                <w:color w:val="000000"/>
                <w:sz w:val="18"/>
                <w:szCs w:val="18"/>
              </w:rPr>
              <w:t>0.000</w:t>
            </w:r>
          </w:p>
        </w:tc>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b/>
                <w:color w:val="000000"/>
                <w:sz w:val="18"/>
                <w:szCs w:val="18"/>
              </w:rPr>
            </w:pPr>
            <w:r w:rsidRPr="00DA7E4C">
              <w:rPr>
                <w:rFonts w:eastAsia="Times New Roman" w:cs="Times New Roman"/>
                <w:b/>
                <w:color w:val="000000"/>
                <w:sz w:val="18"/>
                <w:szCs w:val="18"/>
              </w:rPr>
              <w:t>0.108</w:t>
            </w:r>
          </w:p>
        </w:tc>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b/>
                <w:color w:val="000000"/>
                <w:sz w:val="18"/>
                <w:szCs w:val="18"/>
              </w:rPr>
            </w:pPr>
            <w:r w:rsidRPr="00DA7E4C">
              <w:rPr>
                <w:rFonts w:eastAsia="Times New Roman" w:cs="Times New Roman"/>
                <w:b/>
                <w:color w:val="000000"/>
                <w:sz w:val="18"/>
                <w:szCs w:val="18"/>
              </w:rPr>
              <w:t>0.737</w:t>
            </w:r>
          </w:p>
        </w:tc>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b/>
                <w:color w:val="000000"/>
                <w:sz w:val="18"/>
                <w:szCs w:val="18"/>
              </w:rPr>
            </w:pPr>
            <w:r w:rsidRPr="00DA7E4C">
              <w:rPr>
                <w:rFonts w:eastAsia="Times New Roman" w:cs="Times New Roman"/>
                <w:b/>
                <w:color w:val="000000"/>
                <w:sz w:val="18"/>
                <w:szCs w:val="18"/>
              </w:rPr>
              <w:t>0.082</w:t>
            </w:r>
          </w:p>
        </w:tc>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b/>
                <w:color w:val="000000"/>
                <w:sz w:val="18"/>
                <w:szCs w:val="18"/>
              </w:rPr>
            </w:pPr>
            <w:r w:rsidRPr="00DA7E4C">
              <w:rPr>
                <w:rFonts w:eastAsia="Times New Roman" w:cs="Times New Roman"/>
                <w:b/>
                <w:color w:val="000000"/>
                <w:sz w:val="18"/>
                <w:szCs w:val="18"/>
              </w:rPr>
              <w:t>0.000</w:t>
            </w:r>
          </w:p>
        </w:tc>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b/>
                <w:color w:val="000000"/>
                <w:sz w:val="18"/>
                <w:szCs w:val="18"/>
              </w:rPr>
            </w:pPr>
            <w:r w:rsidRPr="00DA7E4C">
              <w:rPr>
                <w:rFonts w:eastAsia="Times New Roman" w:cs="Times New Roman"/>
                <w:b/>
                <w:color w:val="000000"/>
                <w:sz w:val="18"/>
                <w:szCs w:val="18"/>
              </w:rPr>
              <w:t>0.000</w:t>
            </w:r>
          </w:p>
        </w:tc>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b/>
                <w:color w:val="000000"/>
                <w:sz w:val="18"/>
                <w:szCs w:val="18"/>
              </w:rPr>
            </w:pPr>
          </w:p>
        </w:tc>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b/>
                <w:color w:val="000000"/>
                <w:sz w:val="18"/>
                <w:szCs w:val="18"/>
              </w:rPr>
            </w:pPr>
          </w:p>
        </w:tc>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b/>
                <w:color w:val="000000"/>
                <w:sz w:val="18"/>
                <w:szCs w:val="18"/>
              </w:rPr>
            </w:pPr>
          </w:p>
        </w:tc>
      </w:tr>
      <w:tr w:rsidR="000A22AE" w:rsidRPr="00DA7E4C" w:rsidTr="000A22AE">
        <w:trPr>
          <w:trHeight w:val="240"/>
        </w:trPr>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center"/>
              <w:rPr>
                <w:rFonts w:eastAsia="Times New Roman" w:cs="Times New Roman"/>
                <w:sz w:val="18"/>
                <w:szCs w:val="18"/>
              </w:rPr>
            </w:pPr>
            <w:r w:rsidRPr="00DA7E4C">
              <w:rPr>
                <w:rFonts w:eastAsia="Times New Roman" w:cs="Times New Roman"/>
                <w:sz w:val="18"/>
                <w:szCs w:val="18"/>
              </w:rPr>
              <w:t>2</w:t>
            </w:r>
          </w:p>
        </w:tc>
        <w:tc>
          <w:tcPr>
            <w:tcW w:w="967"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-935.869</w:t>
            </w:r>
          </w:p>
        </w:tc>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199.042</w:t>
            </w:r>
          </w:p>
        </w:tc>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color w:val="000000"/>
                <w:sz w:val="18"/>
                <w:szCs w:val="18"/>
              </w:rPr>
            </w:pPr>
          </w:p>
        </w:tc>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color w:val="000000"/>
                <w:sz w:val="18"/>
                <w:szCs w:val="18"/>
              </w:rPr>
            </w:pPr>
          </w:p>
        </w:tc>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color w:val="000000"/>
                <w:sz w:val="18"/>
                <w:szCs w:val="18"/>
              </w:rPr>
            </w:pPr>
          </w:p>
        </w:tc>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0.694</w:t>
            </w:r>
          </w:p>
        </w:tc>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18.273</w:t>
            </w:r>
          </w:p>
        </w:tc>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0.504</w:t>
            </w:r>
          </w:p>
        </w:tc>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1.355</w:t>
            </w:r>
          </w:p>
        </w:tc>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19.311</w:t>
            </w:r>
          </w:p>
        </w:tc>
      </w:tr>
      <w:tr w:rsidR="000A22AE" w:rsidRPr="00DA7E4C" w:rsidTr="000A22AE">
        <w:trPr>
          <w:trHeight w:val="240"/>
        </w:trPr>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center"/>
              <w:rPr>
                <w:rFonts w:eastAsia="Times New Roman" w:cs="Times New Roman"/>
                <w:b/>
                <w:sz w:val="18"/>
                <w:szCs w:val="18"/>
              </w:rPr>
            </w:pPr>
          </w:p>
        </w:tc>
        <w:tc>
          <w:tcPr>
            <w:tcW w:w="967"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b/>
                <w:color w:val="000000"/>
                <w:sz w:val="18"/>
                <w:szCs w:val="18"/>
              </w:rPr>
            </w:pPr>
            <w:r w:rsidRPr="00DA7E4C">
              <w:rPr>
                <w:rFonts w:eastAsia="Times New Roman" w:cs="Times New Roman"/>
                <w:b/>
                <w:color w:val="000000"/>
                <w:sz w:val="18"/>
                <w:szCs w:val="18"/>
              </w:rPr>
              <w:t>0.627</w:t>
            </w:r>
          </w:p>
        </w:tc>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b/>
                <w:color w:val="000000"/>
                <w:sz w:val="18"/>
                <w:szCs w:val="18"/>
              </w:rPr>
            </w:pPr>
            <w:r w:rsidRPr="00DA7E4C">
              <w:rPr>
                <w:rFonts w:eastAsia="Times New Roman" w:cs="Times New Roman"/>
                <w:b/>
                <w:color w:val="000000"/>
                <w:sz w:val="18"/>
                <w:szCs w:val="18"/>
              </w:rPr>
              <w:t>0.000</w:t>
            </w:r>
          </w:p>
        </w:tc>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b/>
                <w:color w:val="000000"/>
                <w:sz w:val="18"/>
                <w:szCs w:val="18"/>
              </w:rPr>
            </w:pPr>
          </w:p>
        </w:tc>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b/>
                <w:color w:val="000000"/>
                <w:sz w:val="18"/>
                <w:szCs w:val="18"/>
              </w:rPr>
            </w:pPr>
          </w:p>
        </w:tc>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b/>
                <w:color w:val="000000"/>
                <w:sz w:val="18"/>
                <w:szCs w:val="18"/>
              </w:rPr>
            </w:pPr>
          </w:p>
        </w:tc>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b/>
                <w:color w:val="000000"/>
                <w:sz w:val="18"/>
                <w:szCs w:val="18"/>
              </w:rPr>
            </w:pPr>
            <w:r w:rsidRPr="00DA7E4C">
              <w:rPr>
                <w:rFonts w:eastAsia="Times New Roman" w:cs="Times New Roman"/>
                <w:b/>
                <w:color w:val="000000"/>
                <w:sz w:val="18"/>
                <w:szCs w:val="18"/>
              </w:rPr>
              <w:t>0.000</w:t>
            </w:r>
          </w:p>
        </w:tc>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b/>
                <w:color w:val="000000"/>
                <w:sz w:val="18"/>
                <w:szCs w:val="18"/>
              </w:rPr>
            </w:pPr>
            <w:r w:rsidRPr="00DA7E4C">
              <w:rPr>
                <w:rFonts w:eastAsia="Times New Roman" w:cs="Times New Roman"/>
                <w:b/>
                <w:color w:val="000000"/>
                <w:sz w:val="18"/>
                <w:szCs w:val="18"/>
              </w:rPr>
              <w:t>0.000</w:t>
            </w:r>
          </w:p>
        </w:tc>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b/>
                <w:color w:val="000000"/>
                <w:sz w:val="18"/>
                <w:szCs w:val="18"/>
              </w:rPr>
            </w:pPr>
          </w:p>
        </w:tc>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b/>
                <w:color w:val="000000"/>
                <w:sz w:val="18"/>
                <w:szCs w:val="18"/>
              </w:rPr>
            </w:pPr>
          </w:p>
        </w:tc>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b/>
                <w:color w:val="000000"/>
                <w:sz w:val="18"/>
                <w:szCs w:val="18"/>
              </w:rPr>
            </w:pPr>
          </w:p>
        </w:tc>
      </w:tr>
      <w:tr w:rsidR="000A22AE" w:rsidRPr="00DA7E4C" w:rsidTr="000A22AE">
        <w:trPr>
          <w:trHeight w:val="240"/>
        </w:trPr>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center"/>
              <w:rPr>
                <w:rFonts w:eastAsia="Times New Roman" w:cs="Times New Roman"/>
                <w:sz w:val="18"/>
                <w:szCs w:val="18"/>
              </w:rPr>
            </w:pPr>
            <w:r w:rsidRPr="00DA7E4C">
              <w:rPr>
                <w:rFonts w:eastAsia="Times New Roman" w:cs="Times New Roman"/>
                <w:sz w:val="18"/>
                <w:szCs w:val="18"/>
              </w:rPr>
              <w:t>3</w:t>
            </w:r>
          </w:p>
        </w:tc>
        <w:tc>
          <w:tcPr>
            <w:tcW w:w="967"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-347.259</w:t>
            </w:r>
          </w:p>
        </w:tc>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color w:val="000000"/>
                <w:sz w:val="18"/>
                <w:szCs w:val="18"/>
              </w:rPr>
            </w:pPr>
          </w:p>
        </w:tc>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-7.659</w:t>
            </w:r>
          </w:p>
        </w:tc>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color w:val="000000"/>
                <w:sz w:val="18"/>
                <w:szCs w:val="18"/>
              </w:rPr>
            </w:pPr>
          </w:p>
        </w:tc>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color w:val="000000"/>
                <w:sz w:val="18"/>
                <w:szCs w:val="18"/>
              </w:rPr>
            </w:pPr>
          </w:p>
        </w:tc>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0.416</w:t>
            </w:r>
          </w:p>
        </w:tc>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3.528</w:t>
            </w:r>
          </w:p>
        </w:tc>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0.168</w:t>
            </w:r>
          </w:p>
        </w:tc>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1.761</w:t>
            </w:r>
          </w:p>
        </w:tc>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19.858</w:t>
            </w:r>
          </w:p>
        </w:tc>
      </w:tr>
      <w:tr w:rsidR="000A22AE" w:rsidRPr="00DA7E4C" w:rsidTr="000A22AE">
        <w:trPr>
          <w:trHeight w:val="240"/>
        </w:trPr>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center"/>
              <w:rPr>
                <w:rFonts w:eastAsia="Times New Roman" w:cs="Times New Roman"/>
                <w:b/>
                <w:sz w:val="18"/>
                <w:szCs w:val="18"/>
              </w:rPr>
            </w:pPr>
          </w:p>
        </w:tc>
        <w:tc>
          <w:tcPr>
            <w:tcW w:w="967"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b/>
                <w:color w:val="000000"/>
                <w:sz w:val="18"/>
                <w:szCs w:val="18"/>
              </w:rPr>
            </w:pPr>
            <w:r w:rsidRPr="00DA7E4C">
              <w:rPr>
                <w:rFonts w:eastAsia="Times New Roman" w:cs="Times New Roman"/>
                <w:b/>
                <w:color w:val="000000"/>
                <w:sz w:val="18"/>
                <w:szCs w:val="18"/>
              </w:rPr>
              <w:t>0.796</w:t>
            </w:r>
          </w:p>
        </w:tc>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b/>
                <w:color w:val="000000"/>
                <w:sz w:val="18"/>
                <w:szCs w:val="18"/>
              </w:rPr>
            </w:pPr>
          </w:p>
        </w:tc>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b/>
                <w:color w:val="000000"/>
                <w:sz w:val="18"/>
                <w:szCs w:val="18"/>
              </w:rPr>
            </w:pPr>
            <w:r w:rsidRPr="00DA7E4C">
              <w:rPr>
                <w:rFonts w:eastAsia="Times New Roman" w:cs="Times New Roman"/>
                <w:b/>
                <w:color w:val="000000"/>
                <w:sz w:val="18"/>
                <w:szCs w:val="18"/>
              </w:rPr>
              <w:t>0.879</w:t>
            </w:r>
          </w:p>
        </w:tc>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b/>
                <w:color w:val="000000"/>
                <w:sz w:val="18"/>
                <w:szCs w:val="18"/>
              </w:rPr>
            </w:pPr>
          </w:p>
        </w:tc>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b/>
                <w:color w:val="000000"/>
                <w:sz w:val="18"/>
                <w:szCs w:val="18"/>
              </w:rPr>
            </w:pPr>
          </w:p>
        </w:tc>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b/>
                <w:color w:val="000000"/>
                <w:sz w:val="18"/>
                <w:szCs w:val="18"/>
              </w:rPr>
            </w:pPr>
            <w:r w:rsidRPr="00DA7E4C">
              <w:rPr>
                <w:rFonts w:eastAsia="Times New Roman" w:cs="Times New Roman"/>
                <w:b/>
                <w:color w:val="000000"/>
                <w:sz w:val="18"/>
                <w:szCs w:val="18"/>
              </w:rPr>
              <w:t>0.012</w:t>
            </w:r>
          </w:p>
        </w:tc>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b/>
                <w:color w:val="000000"/>
                <w:sz w:val="18"/>
                <w:szCs w:val="18"/>
              </w:rPr>
            </w:pPr>
            <w:r w:rsidRPr="00DA7E4C">
              <w:rPr>
                <w:rFonts w:eastAsia="Times New Roman" w:cs="Times New Roman"/>
                <w:b/>
                <w:color w:val="000000"/>
                <w:sz w:val="18"/>
                <w:szCs w:val="18"/>
              </w:rPr>
              <w:t>0.040</w:t>
            </w:r>
          </w:p>
        </w:tc>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b/>
                <w:color w:val="000000"/>
                <w:sz w:val="18"/>
                <w:szCs w:val="18"/>
              </w:rPr>
            </w:pPr>
          </w:p>
        </w:tc>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b/>
                <w:color w:val="000000"/>
                <w:sz w:val="18"/>
                <w:szCs w:val="18"/>
              </w:rPr>
            </w:pPr>
          </w:p>
        </w:tc>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b/>
                <w:color w:val="000000"/>
                <w:sz w:val="18"/>
                <w:szCs w:val="18"/>
              </w:rPr>
            </w:pPr>
          </w:p>
        </w:tc>
      </w:tr>
      <w:tr w:rsidR="000A22AE" w:rsidRPr="00DA7E4C" w:rsidTr="000A22AE">
        <w:trPr>
          <w:trHeight w:val="240"/>
        </w:trPr>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center"/>
              <w:rPr>
                <w:rFonts w:eastAsia="Times New Roman" w:cs="Times New Roman"/>
                <w:sz w:val="18"/>
                <w:szCs w:val="18"/>
              </w:rPr>
            </w:pPr>
            <w:r w:rsidRPr="00DA7E4C">
              <w:rPr>
                <w:rFonts w:eastAsia="Times New Roman" w:cs="Times New Roman"/>
                <w:sz w:val="18"/>
                <w:szCs w:val="18"/>
              </w:rPr>
              <w:t>4</w:t>
            </w:r>
          </w:p>
        </w:tc>
        <w:tc>
          <w:tcPr>
            <w:tcW w:w="967"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-386.556</w:t>
            </w:r>
          </w:p>
        </w:tc>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color w:val="000000"/>
                <w:sz w:val="18"/>
                <w:szCs w:val="18"/>
              </w:rPr>
            </w:pPr>
          </w:p>
        </w:tc>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color w:val="000000"/>
                <w:sz w:val="18"/>
                <w:szCs w:val="18"/>
              </w:rPr>
            </w:pPr>
          </w:p>
        </w:tc>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31.839</w:t>
            </w:r>
          </w:p>
        </w:tc>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color w:val="000000"/>
                <w:sz w:val="18"/>
                <w:szCs w:val="18"/>
              </w:rPr>
            </w:pPr>
          </w:p>
        </w:tc>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0.413</w:t>
            </w:r>
          </w:p>
        </w:tc>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3.659</w:t>
            </w:r>
          </w:p>
        </w:tc>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0.177</w:t>
            </w:r>
          </w:p>
        </w:tc>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1.748</w:t>
            </w:r>
          </w:p>
        </w:tc>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19.877</w:t>
            </w:r>
          </w:p>
        </w:tc>
      </w:tr>
      <w:tr w:rsidR="000A22AE" w:rsidRPr="00DA7E4C" w:rsidTr="000A22AE">
        <w:trPr>
          <w:trHeight w:val="240"/>
        </w:trPr>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center"/>
              <w:rPr>
                <w:rFonts w:eastAsia="Times New Roman" w:cs="Times New Roman"/>
                <w:b/>
                <w:sz w:val="18"/>
                <w:szCs w:val="18"/>
              </w:rPr>
            </w:pPr>
          </w:p>
        </w:tc>
        <w:tc>
          <w:tcPr>
            <w:tcW w:w="967"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b/>
                <w:color w:val="000000"/>
                <w:sz w:val="18"/>
                <w:szCs w:val="18"/>
              </w:rPr>
            </w:pPr>
            <w:r w:rsidRPr="00DA7E4C">
              <w:rPr>
                <w:rFonts w:eastAsia="Times New Roman" w:cs="Times New Roman"/>
                <w:b/>
                <w:color w:val="000000"/>
                <w:sz w:val="18"/>
                <w:szCs w:val="18"/>
              </w:rPr>
              <w:t>0.777</w:t>
            </w:r>
          </w:p>
        </w:tc>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b/>
                <w:color w:val="000000"/>
                <w:sz w:val="18"/>
                <w:szCs w:val="18"/>
              </w:rPr>
            </w:pPr>
          </w:p>
        </w:tc>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b/>
                <w:color w:val="000000"/>
                <w:sz w:val="18"/>
                <w:szCs w:val="18"/>
              </w:rPr>
            </w:pPr>
          </w:p>
        </w:tc>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b/>
                <w:color w:val="000000"/>
                <w:sz w:val="18"/>
                <w:szCs w:val="18"/>
              </w:rPr>
            </w:pPr>
            <w:r w:rsidRPr="00DA7E4C">
              <w:rPr>
                <w:rFonts w:eastAsia="Times New Roman" w:cs="Times New Roman"/>
                <w:b/>
                <w:color w:val="000000"/>
                <w:sz w:val="18"/>
                <w:szCs w:val="18"/>
              </w:rPr>
              <w:t>0.527</w:t>
            </w:r>
          </w:p>
        </w:tc>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b/>
                <w:color w:val="000000"/>
                <w:sz w:val="18"/>
                <w:szCs w:val="18"/>
              </w:rPr>
            </w:pPr>
          </w:p>
        </w:tc>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b/>
                <w:color w:val="000000"/>
                <w:sz w:val="18"/>
                <w:szCs w:val="18"/>
              </w:rPr>
            </w:pPr>
            <w:r w:rsidRPr="00DA7E4C">
              <w:rPr>
                <w:rFonts w:eastAsia="Times New Roman" w:cs="Times New Roman"/>
                <w:b/>
                <w:color w:val="000000"/>
                <w:sz w:val="18"/>
                <w:szCs w:val="18"/>
              </w:rPr>
              <w:t>0.012</w:t>
            </w:r>
          </w:p>
        </w:tc>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b/>
                <w:color w:val="000000"/>
                <w:sz w:val="18"/>
                <w:szCs w:val="18"/>
              </w:rPr>
            </w:pPr>
            <w:r w:rsidRPr="00DA7E4C">
              <w:rPr>
                <w:rFonts w:eastAsia="Times New Roman" w:cs="Times New Roman"/>
                <w:b/>
                <w:color w:val="000000"/>
                <w:sz w:val="18"/>
                <w:szCs w:val="18"/>
              </w:rPr>
              <w:t>0.036</w:t>
            </w:r>
          </w:p>
        </w:tc>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b/>
                <w:color w:val="000000"/>
                <w:sz w:val="18"/>
                <w:szCs w:val="18"/>
              </w:rPr>
            </w:pPr>
          </w:p>
        </w:tc>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b/>
                <w:color w:val="000000"/>
                <w:sz w:val="18"/>
                <w:szCs w:val="18"/>
              </w:rPr>
            </w:pPr>
          </w:p>
        </w:tc>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b/>
                <w:color w:val="000000"/>
                <w:sz w:val="18"/>
                <w:szCs w:val="18"/>
              </w:rPr>
            </w:pPr>
          </w:p>
        </w:tc>
      </w:tr>
      <w:tr w:rsidR="000A22AE" w:rsidRPr="00DA7E4C" w:rsidTr="000A22AE">
        <w:trPr>
          <w:trHeight w:val="240"/>
        </w:trPr>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center"/>
              <w:rPr>
                <w:rFonts w:eastAsia="Times New Roman" w:cs="Times New Roman"/>
                <w:sz w:val="18"/>
                <w:szCs w:val="18"/>
              </w:rPr>
            </w:pPr>
            <w:r w:rsidRPr="00DA7E4C">
              <w:rPr>
                <w:rFonts w:eastAsia="Times New Roman" w:cs="Times New Roman"/>
                <w:sz w:val="18"/>
                <w:szCs w:val="18"/>
              </w:rPr>
              <w:t>5</w:t>
            </w:r>
          </w:p>
        </w:tc>
        <w:tc>
          <w:tcPr>
            <w:tcW w:w="967"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-414.431</w:t>
            </w:r>
          </w:p>
        </w:tc>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color w:val="000000"/>
                <w:sz w:val="18"/>
                <w:szCs w:val="18"/>
              </w:rPr>
            </w:pPr>
          </w:p>
        </w:tc>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color w:val="000000"/>
                <w:sz w:val="18"/>
                <w:szCs w:val="18"/>
              </w:rPr>
            </w:pPr>
          </w:p>
        </w:tc>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color w:val="000000"/>
                <w:sz w:val="18"/>
                <w:szCs w:val="18"/>
              </w:rPr>
            </w:pPr>
          </w:p>
        </w:tc>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55.167</w:t>
            </w:r>
          </w:p>
        </w:tc>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0.407</w:t>
            </w:r>
          </w:p>
        </w:tc>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4.181</w:t>
            </w:r>
          </w:p>
        </w:tc>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0.202</w:t>
            </w:r>
          </w:p>
        </w:tc>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1.732</w:t>
            </w:r>
          </w:p>
        </w:tc>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19.878</w:t>
            </w:r>
          </w:p>
        </w:tc>
      </w:tr>
      <w:tr w:rsidR="000A22AE" w:rsidRPr="00DA7E4C" w:rsidTr="000A22AE">
        <w:trPr>
          <w:trHeight w:val="240"/>
        </w:trPr>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center"/>
              <w:rPr>
                <w:rFonts w:eastAsia="Times New Roman" w:cs="Times New Roman"/>
                <w:b/>
                <w:sz w:val="18"/>
                <w:szCs w:val="18"/>
              </w:rPr>
            </w:pPr>
          </w:p>
        </w:tc>
        <w:tc>
          <w:tcPr>
            <w:tcW w:w="967"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b/>
                <w:color w:val="000000"/>
                <w:sz w:val="18"/>
                <w:szCs w:val="18"/>
              </w:rPr>
            </w:pPr>
            <w:r w:rsidRPr="00DA7E4C">
              <w:rPr>
                <w:rFonts w:eastAsia="Times New Roman" w:cs="Times New Roman"/>
                <w:b/>
                <w:color w:val="000000"/>
                <w:sz w:val="18"/>
                <w:szCs w:val="18"/>
              </w:rPr>
              <w:t>0.762</w:t>
            </w:r>
          </w:p>
        </w:tc>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b/>
                <w:color w:val="000000"/>
                <w:sz w:val="18"/>
                <w:szCs w:val="18"/>
              </w:rPr>
            </w:pPr>
          </w:p>
        </w:tc>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b/>
                <w:color w:val="000000"/>
                <w:sz w:val="18"/>
                <w:szCs w:val="18"/>
              </w:rPr>
            </w:pPr>
          </w:p>
        </w:tc>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b/>
                <w:color w:val="000000"/>
                <w:sz w:val="18"/>
                <w:szCs w:val="18"/>
              </w:rPr>
            </w:pPr>
          </w:p>
        </w:tc>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b/>
                <w:color w:val="000000"/>
                <w:sz w:val="18"/>
                <w:szCs w:val="18"/>
              </w:rPr>
            </w:pPr>
            <w:r w:rsidRPr="00DA7E4C">
              <w:rPr>
                <w:rFonts w:eastAsia="Times New Roman" w:cs="Times New Roman"/>
                <w:b/>
                <w:color w:val="000000"/>
                <w:sz w:val="18"/>
                <w:szCs w:val="18"/>
              </w:rPr>
              <w:t>0.237</w:t>
            </w:r>
          </w:p>
        </w:tc>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b/>
                <w:color w:val="000000"/>
                <w:sz w:val="18"/>
                <w:szCs w:val="18"/>
              </w:rPr>
            </w:pPr>
            <w:r w:rsidRPr="00DA7E4C">
              <w:rPr>
                <w:rFonts w:eastAsia="Times New Roman" w:cs="Times New Roman"/>
                <w:b/>
                <w:color w:val="000000"/>
                <w:sz w:val="18"/>
                <w:szCs w:val="18"/>
              </w:rPr>
              <w:t>0.015</w:t>
            </w:r>
          </w:p>
        </w:tc>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b/>
                <w:color w:val="000000"/>
                <w:sz w:val="18"/>
                <w:szCs w:val="18"/>
              </w:rPr>
            </w:pPr>
            <w:r w:rsidRPr="00DA7E4C">
              <w:rPr>
                <w:rFonts w:eastAsia="Times New Roman" w:cs="Times New Roman"/>
                <w:b/>
                <w:color w:val="000000"/>
                <w:sz w:val="18"/>
                <w:szCs w:val="18"/>
              </w:rPr>
              <w:t>0.024</w:t>
            </w:r>
          </w:p>
        </w:tc>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b/>
                <w:color w:val="000000"/>
                <w:sz w:val="18"/>
                <w:szCs w:val="18"/>
              </w:rPr>
            </w:pPr>
          </w:p>
        </w:tc>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b/>
                <w:color w:val="000000"/>
                <w:sz w:val="18"/>
                <w:szCs w:val="18"/>
              </w:rPr>
            </w:pPr>
          </w:p>
        </w:tc>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b/>
                <w:color w:val="000000"/>
                <w:sz w:val="18"/>
                <w:szCs w:val="18"/>
              </w:rPr>
            </w:pPr>
          </w:p>
        </w:tc>
      </w:tr>
    </w:tbl>
    <w:p w:rsidR="000A22AE" w:rsidRPr="00762161" w:rsidRDefault="000A22AE" w:rsidP="000A22AE"/>
    <w:p w:rsidR="000A22AE" w:rsidRPr="00762161" w:rsidRDefault="000A22AE" w:rsidP="000A22AE"/>
    <w:p w:rsidR="000A22AE" w:rsidRPr="00762161" w:rsidRDefault="000A22AE" w:rsidP="000A22AE"/>
    <w:p w:rsidR="000A22AE" w:rsidRPr="00762161" w:rsidRDefault="000A22AE" w:rsidP="000A22AE"/>
    <w:p w:rsidR="000A22AE" w:rsidRPr="00762161" w:rsidRDefault="000A22AE" w:rsidP="000A22AE">
      <w:pPr>
        <w:pStyle w:val="Heading2"/>
      </w:pPr>
      <w:bookmarkStart w:id="372" w:name="_Toc286616349"/>
      <w:r w:rsidRPr="00762161">
        <w:t xml:space="preserve">Table 15: The Relationship between Industrial Production and </w:t>
      </w:r>
      <w:r w:rsidR="00627488">
        <w:t>Real Stock Price</w:t>
      </w:r>
      <w:r w:rsidRPr="00762161">
        <w:t>s (Yearly 1997-2010)</w:t>
      </w:r>
      <w:bookmarkEnd w:id="372"/>
    </w:p>
    <w:tbl>
      <w:tblPr>
        <w:tblW w:w="10560" w:type="dxa"/>
        <w:tblInd w:w="93" w:type="dxa"/>
        <w:tblLook w:val="04A0"/>
      </w:tblPr>
      <w:tblGrid>
        <w:gridCol w:w="960"/>
        <w:gridCol w:w="960"/>
        <w:gridCol w:w="960"/>
        <w:gridCol w:w="960"/>
        <w:gridCol w:w="960"/>
        <w:gridCol w:w="960"/>
        <w:gridCol w:w="960"/>
        <w:gridCol w:w="960"/>
        <w:gridCol w:w="960"/>
        <w:gridCol w:w="960"/>
        <w:gridCol w:w="960"/>
      </w:tblGrid>
      <w:tr w:rsidR="000A22AE" w:rsidRPr="00DA7E4C" w:rsidTr="000A22AE">
        <w:trPr>
          <w:trHeight w:val="300"/>
        </w:trPr>
        <w:tc>
          <w:tcPr>
            <w:tcW w:w="1920" w:type="dxa"/>
            <w:gridSpan w:val="2"/>
            <w:tcBorders>
              <w:top w:val="single" w:sz="8" w:space="0" w:color="auto"/>
              <w:left w:val="single" w:sz="8" w:space="0" w:color="auto"/>
              <w:bottom w:val="single" w:sz="8" w:space="0" w:color="auto"/>
              <w:right w:val="nil"/>
            </w:tcBorders>
            <w:shd w:val="clear" w:color="auto" w:fill="auto"/>
            <w:noWrap/>
            <w:vAlign w:val="bottom"/>
            <w:hideMark/>
          </w:tcPr>
          <w:p w:rsidR="000A22AE" w:rsidRPr="00DA7E4C" w:rsidRDefault="000A22AE" w:rsidP="000A22AE">
            <w:pPr>
              <w:spacing w:before="0" w:after="0" w:line="240" w:lineRule="auto"/>
              <w:jc w:val="center"/>
              <w:rPr>
                <w:rFonts w:eastAsia="Times New Roman" w:cs="Times New Roman"/>
                <w:sz w:val="18"/>
                <w:szCs w:val="18"/>
              </w:rPr>
            </w:pPr>
            <w:r w:rsidRPr="00DA7E4C">
              <w:rPr>
                <w:rFonts w:eastAsia="Times New Roman" w:cs="Times New Roman"/>
                <w:sz w:val="18"/>
                <w:szCs w:val="18"/>
              </w:rPr>
              <w:t>Sample</w:t>
            </w:r>
          </w:p>
          <w:p w:rsidR="000A22AE" w:rsidRPr="00DA7E4C" w:rsidRDefault="000A22AE" w:rsidP="000A22AE">
            <w:pPr>
              <w:spacing w:before="0" w:after="0" w:line="240" w:lineRule="auto"/>
              <w:jc w:val="center"/>
              <w:rPr>
                <w:rFonts w:eastAsia="Times New Roman" w:cs="Times New Roman"/>
                <w:sz w:val="18"/>
                <w:szCs w:val="18"/>
              </w:rPr>
            </w:pPr>
            <w:r w:rsidRPr="00DA7E4C">
              <w:rPr>
                <w:rFonts w:eastAsia="Times New Roman" w:cs="Times New Roman"/>
                <w:sz w:val="18"/>
                <w:szCs w:val="18"/>
              </w:rPr>
              <w:t>1997-2009</w:t>
            </w:r>
          </w:p>
        </w:tc>
        <w:tc>
          <w:tcPr>
            <w:tcW w:w="3840" w:type="dxa"/>
            <w:gridSpan w:val="4"/>
            <w:tcBorders>
              <w:top w:val="single" w:sz="8" w:space="0" w:color="auto"/>
              <w:left w:val="single" w:sz="8" w:space="0" w:color="auto"/>
              <w:bottom w:val="nil"/>
              <w:right w:val="single" w:sz="8" w:space="0" w:color="000000"/>
            </w:tcBorders>
            <w:shd w:val="clear" w:color="auto" w:fill="auto"/>
            <w:vAlign w:val="bottom"/>
            <w:hideMark/>
          </w:tcPr>
          <w:p w:rsidR="000A22AE" w:rsidRPr="00DA7E4C" w:rsidRDefault="000A22AE" w:rsidP="000A22AE">
            <w:pPr>
              <w:spacing w:before="0" w:after="0" w:line="240" w:lineRule="auto"/>
              <w:jc w:val="center"/>
              <w:rPr>
                <w:rFonts w:eastAsia="Times New Roman" w:cs="Times New Roman"/>
                <w:color w:val="000000"/>
                <w:sz w:val="18"/>
                <w:szCs w:val="18"/>
              </w:rPr>
            </w:pPr>
            <w:r w:rsidRPr="00DA7E4C">
              <w:rPr>
                <w:rFonts w:eastAsia="Times New Roman" w:cs="Times New Roman"/>
                <w:color w:val="000000"/>
                <w:sz w:val="18"/>
                <w:szCs w:val="18"/>
              </w:rPr>
              <w:t xml:space="preserve">Real Stock </w:t>
            </w:r>
          </w:p>
        </w:tc>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color w:val="000000"/>
                <w:sz w:val="18"/>
                <w:szCs w:val="18"/>
              </w:rPr>
            </w:pPr>
          </w:p>
        </w:tc>
        <w:tc>
          <w:tcPr>
            <w:tcW w:w="960" w:type="dxa"/>
            <w:tcBorders>
              <w:top w:val="nil"/>
              <w:left w:val="nil"/>
              <w:bottom w:val="nil"/>
              <w:right w:val="single" w:sz="4" w:space="0" w:color="auto"/>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color w:val="000000"/>
                <w:sz w:val="18"/>
                <w:szCs w:val="18"/>
              </w:rPr>
            </w:pPr>
          </w:p>
        </w:tc>
        <w:tc>
          <w:tcPr>
            <w:tcW w:w="960"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A22AE" w:rsidRPr="00DA7E4C" w:rsidRDefault="000A22AE" w:rsidP="000A22AE">
            <w:pPr>
              <w:spacing w:before="0" w:after="0" w:line="240" w:lineRule="auto"/>
              <w:jc w:val="center"/>
              <w:rPr>
                <w:rFonts w:eastAsia="Times New Roman" w:cs="Times New Roman"/>
                <w:sz w:val="18"/>
                <w:szCs w:val="18"/>
              </w:rPr>
            </w:pPr>
            <w:r w:rsidRPr="00DA7E4C">
              <w:rPr>
                <w:rFonts w:eastAsia="Times New Roman" w:cs="Times New Roman"/>
                <w:sz w:val="18"/>
                <w:szCs w:val="18"/>
              </w:rPr>
              <w:t>Adjusted</w:t>
            </w:r>
          </w:p>
          <w:p w:rsidR="000A22AE" w:rsidRPr="00DA7E4C" w:rsidRDefault="000A22AE" w:rsidP="000A22AE">
            <w:pPr>
              <w:spacing w:before="0" w:after="0" w:line="240" w:lineRule="auto"/>
              <w:jc w:val="center"/>
              <w:rPr>
                <w:rFonts w:eastAsia="Times New Roman" w:cs="Times New Roman"/>
                <w:color w:val="000000"/>
                <w:sz w:val="18"/>
                <w:szCs w:val="18"/>
              </w:rPr>
            </w:pPr>
            <w:r w:rsidRPr="00DA7E4C">
              <w:rPr>
                <w:rFonts w:eastAsia="Times New Roman" w:cs="Times New Roman"/>
                <w:sz w:val="18"/>
                <w:szCs w:val="18"/>
              </w:rPr>
              <w:t>R-square</w:t>
            </w:r>
          </w:p>
        </w:tc>
        <w:tc>
          <w:tcPr>
            <w:tcW w:w="960" w:type="dxa"/>
            <w:tcBorders>
              <w:top w:val="nil"/>
              <w:left w:val="single" w:sz="4" w:space="0" w:color="auto"/>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color w:val="000000"/>
                <w:sz w:val="18"/>
                <w:szCs w:val="18"/>
              </w:rPr>
            </w:pPr>
          </w:p>
        </w:tc>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color w:val="000000"/>
                <w:sz w:val="18"/>
                <w:szCs w:val="18"/>
              </w:rPr>
            </w:pPr>
          </w:p>
        </w:tc>
      </w:tr>
      <w:tr w:rsidR="000A22AE" w:rsidRPr="00DA7E4C" w:rsidTr="000A22AE">
        <w:trPr>
          <w:trHeight w:val="255"/>
        </w:trPr>
        <w:tc>
          <w:tcPr>
            <w:tcW w:w="960" w:type="dxa"/>
            <w:tcBorders>
              <w:top w:val="nil"/>
              <w:left w:val="single" w:sz="8" w:space="0" w:color="auto"/>
              <w:bottom w:val="single" w:sz="8" w:space="0" w:color="auto"/>
              <w:right w:val="single" w:sz="8" w:space="0" w:color="auto"/>
            </w:tcBorders>
            <w:shd w:val="clear" w:color="auto" w:fill="auto"/>
            <w:noWrap/>
            <w:vAlign w:val="center"/>
            <w:hideMark/>
          </w:tcPr>
          <w:p w:rsidR="000A22AE" w:rsidRPr="00DA7E4C" w:rsidRDefault="000A22AE" w:rsidP="000A22AE">
            <w:pPr>
              <w:spacing w:before="0" w:after="0" w:line="240" w:lineRule="auto"/>
              <w:jc w:val="center"/>
              <w:rPr>
                <w:rFonts w:eastAsia="Times New Roman" w:cs="Times New Roman"/>
                <w:sz w:val="18"/>
                <w:szCs w:val="18"/>
              </w:rPr>
            </w:pPr>
            <w:r w:rsidRPr="00DA7E4C">
              <w:rPr>
                <w:rFonts w:eastAsia="Times New Roman" w:cs="Times New Roman"/>
                <w:sz w:val="18"/>
                <w:szCs w:val="18"/>
              </w:rPr>
              <w:t>No</w:t>
            </w:r>
          </w:p>
        </w:tc>
        <w:tc>
          <w:tcPr>
            <w:tcW w:w="960" w:type="dxa"/>
            <w:tcBorders>
              <w:top w:val="single" w:sz="8" w:space="0" w:color="auto"/>
              <w:left w:val="nil"/>
              <w:bottom w:val="single" w:sz="8" w:space="0" w:color="auto"/>
              <w:right w:val="single" w:sz="8" w:space="0" w:color="auto"/>
            </w:tcBorders>
            <w:shd w:val="clear" w:color="auto" w:fill="auto"/>
            <w:noWrap/>
            <w:vAlign w:val="center"/>
            <w:hideMark/>
          </w:tcPr>
          <w:p w:rsidR="000A22AE" w:rsidRPr="00DA7E4C" w:rsidRDefault="000A22AE" w:rsidP="000A22AE">
            <w:pPr>
              <w:spacing w:before="0" w:after="0" w:line="240" w:lineRule="auto"/>
              <w:jc w:val="center"/>
              <w:rPr>
                <w:rFonts w:eastAsia="Times New Roman" w:cs="Times New Roman"/>
                <w:sz w:val="18"/>
                <w:szCs w:val="18"/>
              </w:rPr>
            </w:pPr>
            <w:r w:rsidRPr="00DA7E4C">
              <w:rPr>
                <w:rFonts w:eastAsia="Times New Roman" w:cs="Times New Roman"/>
                <w:sz w:val="18"/>
                <w:szCs w:val="18"/>
              </w:rPr>
              <w:t>Intercept</w:t>
            </w:r>
          </w:p>
        </w:tc>
        <w:tc>
          <w:tcPr>
            <w:tcW w:w="960" w:type="dxa"/>
            <w:tcBorders>
              <w:top w:val="nil"/>
              <w:left w:val="nil"/>
              <w:bottom w:val="single" w:sz="8" w:space="0" w:color="auto"/>
              <w:right w:val="single" w:sz="8" w:space="0" w:color="auto"/>
            </w:tcBorders>
            <w:shd w:val="clear" w:color="auto" w:fill="auto"/>
            <w:vAlign w:val="center"/>
            <w:hideMark/>
          </w:tcPr>
          <w:p w:rsidR="000A22AE" w:rsidRPr="00DA7E4C" w:rsidRDefault="000A22AE" w:rsidP="000A22AE">
            <w:pPr>
              <w:spacing w:before="0" w:after="0" w:line="240" w:lineRule="auto"/>
              <w:jc w:val="center"/>
              <w:rPr>
                <w:rFonts w:eastAsia="Times New Roman" w:cs="Times New Roman"/>
                <w:sz w:val="18"/>
                <w:szCs w:val="18"/>
              </w:rPr>
            </w:pPr>
            <w:r w:rsidRPr="00DA7E4C">
              <w:rPr>
                <w:rFonts w:eastAsia="Times New Roman" w:cs="Times New Roman"/>
                <w:sz w:val="18"/>
                <w:szCs w:val="18"/>
              </w:rPr>
              <w:t>t</w:t>
            </w:r>
          </w:p>
        </w:tc>
        <w:tc>
          <w:tcPr>
            <w:tcW w:w="960" w:type="dxa"/>
            <w:tcBorders>
              <w:top w:val="nil"/>
              <w:left w:val="nil"/>
              <w:bottom w:val="single" w:sz="8" w:space="0" w:color="auto"/>
              <w:right w:val="single" w:sz="8" w:space="0" w:color="auto"/>
            </w:tcBorders>
            <w:shd w:val="clear" w:color="auto" w:fill="auto"/>
            <w:vAlign w:val="center"/>
            <w:hideMark/>
          </w:tcPr>
          <w:p w:rsidR="000A22AE" w:rsidRPr="00DA7E4C" w:rsidRDefault="000A22AE" w:rsidP="000A22AE">
            <w:pPr>
              <w:spacing w:before="0" w:after="0" w:line="240" w:lineRule="auto"/>
              <w:jc w:val="center"/>
              <w:rPr>
                <w:rFonts w:eastAsia="Times New Roman" w:cs="Times New Roman"/>
                <w:sz w:val="18"/>
                <w:szCs w:val="18"/>
              </w:rPr>
            </w:pPr>
            <w:r w:rsidRPr="00DA7E4C">
              <w:rPr>
                <w:rFonts w:eastAsia="Times New Roman" w:cs="Times New Roman"/>
                <w:sz w:val="18"/>
                <w:szCs w:val="18"/>
              </w:rPr>
              <w:t>t-1</w:t>
            </w:r>
          </w:p>
        </w:tc>
        <w:tc>
          <w:tcPr>
            <w:tcW w:w="960" w:type="dxa"/>
            <w:tcBorders>
              <w:top w:val="nil"/>
              <w:left w:val="nil"/>
              <w:bottom w:val="single" w:sz="8" w:space="0" w:color="auto"/>
              <w:right w:val="single" w:sz="8" w:space="0" w:color="auto"/>
            </w:tcBorders>
            <w:shd w:val="clear" w:color="auto" w:fill="auto"/>
            <w:vAlign w:val="center"/>
            <w:hideMark/>
          </w:tcPr>
          <w:p w:rsidR="000A22AE" w:rsidRPr="00DA7E4C" w:rsidRDefault="000A22AE" w:rsidP="000A22AE">
            <w:pPr>
              <w:spacing w:before="0" w:after="0" w:line="240" w:lineRule="auto"/>
              <w:jc w:val="center"/>
              <w:rPr>
                <w:rFonts w:eastAsia="Times New Roman" w:cs="Times New Roman"/>
                <w:sz w:val="18"/>
                <w:szCs w:val="18"/>
              </w:rPr>
            </w:pPr>
            <w:r w:rsidRPr="00DA7E4C">
              <w:rPr>
                <w:rFonts w:eastAsia="Times New Roman" w:cs="Times New Roman"/>
                <w:sz w:val="18"/>
                <w:szCs w:val="18"/>
              </w:rPr>
              <w:t>t-2</w:t>
            </w:r>
          </w:p>
        </w:tc>
        <w:tc>
          <w:tcPr>
            <w:tcW w:w="960" w:type="dxa"/>
            <w:tcBorders>
              <w:top w:val="nil"/>
              <w:left w:val="nil"/>
              <w:bottom w:val="single" w:sz="8" w:space="0" w:color="auto"/>
              <w:right w:val="single" w:sz="8" w:space="0" w:color="auto"/>
            </w:tcBorders>
            <w:shd w:val="clear" w:color="auto" w:fill="auto"/>
            <w:vAlign w:val="center"/>
            <w:hideMark/>
          </w:tcPr>
          <w:p w:rsidR="000A22AE" w:rsidRPr="00DA7E4C" w:rsidRDefault="000A22AE" w:rsidP="000A22AE">
            <w:pPr>
              <w:spacing w:before="0" w:after="0" w:line="240" w:lineRule="auto"/>
              <w:jc w:val="center"/>
              <w:rPr>
                <w:rFonts w:eastAsia="Times New Roman" w:cs="Times New Roman"/>
                <w:sz w:val="18"/>
                <w:szCs w:val="18"/>
              </w:rPr>
            </w:pPr>
            <w:r w:rsidRPr="00DA7E4C">
              <w:rPr>
                <w:rFonts w:eastAsia="Times New Roman" w:cs="Times New Roman"/>
                <w:sz w:val="18"/>
                <w:szCs w:val="18"/>
              </w:rPr>
              <w:t>t-3</w:t>
            </w:r>
          </w:p>
        </w:tc>
        <w:tc>
          <w:tcPr>
            <w:tcW w:w="960" w:type="dxa"/>
            <w:tcBorders>
              <w:top w:val="single" w:sz="8" w:space="0" w:color="auto"/>
              <w:left w:val="nil"/>
              <w:bottom w:val="single" w:sz="8" w:space="0" w:color="auto"/>
              <w:right w:val="single" w:sz="8" w:space="0" w:color="auto"/>
            </w:tcBorders>
            <w:shd w:val="clear" w:color="auto" w:fill="auto"/>
            <w:vAlign w:val="center"/>
            <w:hideMark/>
          </w:tcPr>
          <w:p w:rsidR="000A22AE" w:rsidRPr="00DA7E4C" w:rsidRDefault="000A22AE" w:rsidP="000A22AE">
            <w:pPr>
              <w:spacing w:before="0" w:after="0" w:line="240" w:lineRule="auto"/>
              <w:jc w:val="center"/>
              <w:rPr>
                <w:rFonts w:eastAsia="Times New Roman" w:cs="Times New Roman"/>
                <w:sz w:val="18"/>
                <w:szCs w:val="18"/>
              </w:rPr>
            </w:pPr>
            <w:r w:rsidRPr="00DA7E4C">
              <w:rPr>
                <w:rFonts w:eastAsia="Times New Roman" w:cs="Times New Roman"/>
                <w:sz w:val="18"/>
                <w:szCs w:val="18"/>
              </w:rPr>
              <w:t>AR</w:t>
            </w:r>
          </w:p>
        </w:tc>
        <w:tc>
          <w:tcPr>
            <w:tcW w:w="960" w:type="dxa"/>
            <w:tcBorders>
              <w:top w:val="single" w:sz="8" w:space="0" w:color="auto"/>
              <w:left w:val="nil"/>
              <w:bottom w:val="single" w:sz="8" w:space="0" w:color="auto"/>
              <w:right w:val="single" w:sz="4" w:space="0" w:color="auto"/>
            </w:tcBorders>
            <w:shd w:val="clear" w:color="auto" w:fill="auto"/>
            <w:noWrap/>
            <w:vAlign w:val="center"/>
            <w:hideMark/>
          </w:tcPr>
          <w:p w:rsidR="000A22AE" w:rsidRPr="00DA7E4C" w:rsidRDefault="000A22AE" w:rsidP="000A22AE">
            <w:pPr>
              <w:spacing w:before="0" w:after="0" w:line="240" w:lineRule="auto"/>
              <w:jc w:val="center"/>
              <w:rPr>
                <w:rFonts w:eastAsia="Times New Roman" w:cs="Times New Roman"/>
                <w:sz w:val="18"/>
                <w:szCs w:val="18"/>
              </w:rPr>
            </w:pPr>
            <w:r w:rsidRPr="00DA7E4C">
              <w:rPr>
                <w:rFonts w:eastAsia="Times New Roman" w:cs="Times New Roman"/>
                <w:sz w:val="18"/>
                <w:szCs w:val="18"/>
              </w:rPr>
              <w:t>F Value</w:t>
            </w:r>
          </w:p>
        </w:tc>
        <w:tc>
          <w:tcPr>
            <w:tcW w:w="960" w:type="dxa"/>
            <w:vMerge/>
            <w:tcBorders>
              <w:left w:val="single" w:sz="4" w:space="0" w:color="auto"/>
              <w:bottom w:val="single" w:sz="4" w:space="0" w:color="auto"/>
              <w:right w:val="single" w:sz="4" w:space="0" w:color="auto"/>
            </w:tcBorders>
            <w:shd w:val="clear" w:color="auto" w:fill="auto"/>
            <w:noWrap/>
            <w:vAlign w:val="center"/>
            <w:hideMark/>
          </w:tcPr>
          <w:p w:rsidR="000A22AE" w:rsidRPr="00DA7E4C" w:rsidRDefault="000A22AE" w:rsidP="000A22AE">
            <w:pPr>
              <w:spacing w:before="0" w:after="0" w:line="240" w:lineRule="auto"/>
              <w:jc w:val="center"/>
              <w:rPr>
                <w:rFonts w:eastAsia="Times New Roman" w:cs="Times New Roman"/>
                <w:sz w:val="18"/>
                <w:szCs w:val="18"/>
              </w:rPr>
            </w:pPr>
          </w:p>
        </w:tc>
        <w:tc>
          <w:tcPr>
            <w:tcW w:w="960" w:type="dxa"/>
            <w:tcBorders>
              <w:top w:val="single" w:sz="8" w:space="0" w:color="auto"/>
              <w:left w:val="single" w:sz="4" w:space="0" w:color="auto"/>
              <w:bottom w:val="single" w:sz="8" w:space="0" w:color="auto"/>
              <w:right w:val="single" w:sz="8" w:space="0" w:color="auto"/>
            </w:tcBorders>
            <w:shd w:val="clear" w:color="auto" w:fill="auto"/>
            <w:noWrap/>
            <w:vAlign w:val="center"/>
            <w:hideMark/>
          </w:tcPr>
          <w:p w:rsidR="000A22AE" w:rsidRPr="00DA7E4C" w:rsidRDefault="000A22AE" w:rsidP="000A22AE">
            <w:pPr>
              <w:spacing w:before="0" w:after="0" w:line="240" w:lineRule="auto"/>
              <w:jc w:val="center"/>
              <w:rPr>
                <w:rFonts w:eastAsia="Times New Roman" w:cs="Times New Roman"/>
                <w:sz w:val="18"/>
                <w:szCs w:val="18"/>
              </w:rPr>
            </w:pPr>
            <w:r w:rsidRPr="00DA7E4C">
              <w:rPr>
                <w:rFonts w:eastAsia="Times New Roman" w:cs="Times New Roman"/>
                <w:sz w:val="18"/>
                <w:szCs w:val="18"/>
              </w:rPr>
              <w:t>DW</w:t>
            </w:r>
          </w:p>
        </w:tc>
        <w:tc>
          <w:tcPr>
            <w:tcW w:w="960" w:type="dxa"/>
            <w:tcBorders>
              <w:top w:val="single" w:sz="8" w:space="0" w:color="auto"/>
              <w:left w:val="nil"/>
              <w:bottom w:val="single" w:sz="8" w:space="0" w:color="auto"/>
              <w:right w:val="single" w:sz="8" w:space="0" w:color="auto"/>
            </w:tcBorders>
            <w:shd w:val="clear" w:color="auto" w:fill="auto"/>
            <w:vAlign w:val="center"/>
            <w:hideMark/>
          </w:tcPr>
          <w:p w:rsidR="000A22AE" w:rsidRPr="00DA7E4C" w:rsidRDefault="000A22AE" w:rsidP="000A22AE">
            <w:pPr>
              <w:spacing w:before="0" w:after="0" w:line="240" w:lineRule="auto"/>
              <w:jc w:val="center"/>
              <w:rPr>
                <w:rFonts w:eastAsia="Times New Roman" w:cs="Times New Roman"/>
                <w:color w:val="000000"/>
                <w:sz w:val="18"/>
                <w:szCs w:val="18"/>
              </w:rPr>
            </w:pPr>
            <w:r w:rsidRPr="00DA7E4C">
              <w:rPr>
                <w:rFonts w:eastAsia="Times New Roman" w:cs="Times New Roman"/>
                <w:color w:val="000000"/>
                <w:sz w:val="18"/>
                <w:szCs w:val="18"/>
              </w:rPr>
              <w:t>Akaike</w:t>
            </w:r>
          </w:p>
        </w:tc>
      </w:tr>
      <w:tr w:rsidR="000A22AE" w:rsidRPr="00DA7E4C" w:rsidTr="000A22AE">
        <w:trPr>
          <w:trHeight w:val="240"/>
        </w:trPr>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center"/>
              <w:rPr>
                <w:rFonts w:eastAsia="Times New Roman" w:cs="Times New Roman"/>
                <w:sz w:val="18"/>
                <w:szCs w:val="18"/>
              </w:rPr>
            </w:pPr>
            <w:r w:rsidRPr="00DA7E4C">
              <w:rPr>
                <w:rFonts w:eastAsia="Times New Roman" w:cs="Times New Roman"/>
                <w:sz w:val="18"/>
                <w:szCs w:val="18"/>
              </w:rPr>
              <w:t>1</w:t>
            </w:r>
          </w:p>
        </w:tc>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-34.124</w:t>
            </w:r>
          </w:p>
        </w:tc>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-18.675</w:t>
            </w:r>
          </w:p>
        </w:tc>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126.406</w:t>
            </w:r>
          </w:p>
        </w:tc>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-34.441</w:t>
            </w:r>
          </w:p>
        </w:tc>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-61.390</w:t>
            </w:r>
          </w:p>
        </w:tc>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0.645</w:t>
            </w:r>
          </w:p>
        </w:tc>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107.627</w:t>
            </w:r>
          </w:p>
        </w:tc>
        <w:tc>
          <w:tcPr>
            <w:tcW w:w="960" w:type="dxa"/>
            <w:tcBorders>
              <w:top w:val="single" w:sz="4" w:space="0" w:color="auto"/>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0.947</w:t>
            </w:r>
          </w:p>
        </w:tc>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1.667</w:t>
            </w:r>
          </w:p>
        </w:tc>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18.033</w:t>
            </w:r>
          </w:p>
        </w:tc>
      </w:tr>
      <w:tr w:rsidR="000A22AE" w:rsidRPr="00DA7E4C" w:rsidTr="000A22AE">
        <w:trPr>
          <w:trHeight w:val="240"/>
        </w:trPr>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center"/>
              <w:rPr>
                <w:rFonts w:eastAsia="Times New Roman" w:cs="Times New Roman"/>
                <w:b/>
                <w:sz w:val="18"/>
                <w:szCs w:val="18"/>
              </w:rPr>
            </w:pPr>
          </w:p>
        </w:tc>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b/>
                <w:color w:val="000000"/>
                <w:sz w:val="18"/>
                <w:szCs w:val="18"/>
              </w:rPr>
            </w:pPr>
            <w:r w:rsidRPr="00DA7E4C">
              <w:rPr>
                <w:rFonts w:eastAsia="Times New Roman" w:cs="Times New Roman"/>
                <w:b/>
                <w:color w:val="000000"/>
                <w:sz w:val="18"/>
                <w:szCs w:val="18"/>
              </w:rPr>
              <w:t>0.969</w:t>
            </w:r>
          </w:p>
        </w:tc>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b/>
                <w:color w:val="000000"/>
                <w:sz w:val="18"/>
                <w:szCs w:val="18"/>
              </w:rPr>
            </w:pPr>
            <w:r w:rsidRPr="00DA7E4C">
              <w:rPr>
                <w:rFonts w:eastAsia="Times New Roman" w:cs="Times New Roman"/>
                <w:b/>
                <w:color w:val="000000"/>
                <w:sz w:val="18"/>
                <w:szCs w:val="18"/>
              </w:rPr>
              <w:t>0.050</w:t>
            </w:r>
          </w:p>
        </w:tc>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b/>
                <w:color w:val="000000"/>
                <w:sz w:val="18"/>
                <w:szCs w:val="18"/>
              </w:rPr>
            </w:pPr>
            <w:r w:rsidRPr="00DA7E4C">
              <w:rPr>
                <w:rFonts w:eastAsia="Times New Roman" w:cs="Times New Roman"/>
                <w:b/>
                <w:color w:val="000000"/>
                <w:sz w:val="18"/>
                <w:szCs w:val="18"/>
              </w:rPr>
              <w:t>0.000</w:t>
            </w:r>
          </w:p>
        </w:tc>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b/>
                <w:color w:val="000000"/>
                <w:sz w:val="18"/>
                <w:szCs w:val="18"/>
              </w:rPr>
            </w:pPr>
            <w:r w:rsidRPr="00DA7E4C">
              <w:rPr>
                <w:rFonts w:eastAsia="Times New Roman" w:cs="Times New Roman"/>
                <w:b/>
                <w:color w:val="000000"/>
                <w:sz w:val="18"/>
                <w:szCs w:val="18"/>
              </w:rPr>
              <w:t>0.001</w:t>
            </w:r>
          </w:p>
        </w:tc>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b/>
                <w:color w:val="000000"/>
                <w:sz w:val="18"/>
                <w:szCs w:val="18"/>
              </w:rPr>
            </w:pPr>
            <w:r w:rsidRPr="00DA7E4C">
              <w:rPr>
                <w:rFonts w:eastAsia="Times New Roman" w:cs="Times New Roman"/>
                <w:b/>
                <w:color w:val="000000"/>
                <w:sz w:val="18"/>
                <w:szCs w:val="18"/>
              </w:rPr>
              <w:t>0.000</w:t>
            </w:r>
          </w:p>
        </w:tc>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b/>
                <w:color w:val="000000"/>
                <w:sz w:val="18"/>
                <w:szCs w:val="18"/>
              </w:rPr>
            </w:pPr>
            <w:r w:rsidRPr="00DA7E4C">
              <w:rPr>
                <w:rFonts w:eastAsia="Times New Roman" w:cs="Times New Roman"/>
                <w:b/>
                <w:color w:val="000000"/>
                <w:sz w:val="18"/>
                <w:szCs w:val="18"/>
              </w:rPr>
              <w:t>0.001</w:t>
            </w:r>
          </w:p>
        </w:tc>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b/>
                <w:color w:val="000000"/>
                <w:sz w:val="18"/>
                <w:szCs w:val="18"/>
              </w:rPr>
            </w:pPr>
            <w:r w:rsidRPr="00DA7E4C">
              <w:rPr>
                <w:rFonts w:eastAsia="Times New Roman" w:cs="Times New Roman"/>
                <w:b/>
                <w:color w:val="000000"/>
                <w:sz w:val="18"/>
                <w:szCs w:val="18"/>
              </w:rPr>
              <w:t>0.000</w:t>
            </w:r>
          </w:p>
        </w:tc>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b/>
                <w:color w:val="000000"/>
                <w:sz w:val="18"/>
                <w:szCs w:val="18"/>
              </w:rPr>
            </w:pPr>
          </w:p>
        </w:tc>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b/>
                <w:color w:val="000000"/>
                <w:sz w:val="18"/>
                <w:szCs w:val="18"/>
              </w:rPr>
            </w:pPr>
          </w:p>
        </w:tc>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b/>
                <w:color w:val="000000"/>
                <w:sz w:val="18"/>
                <w:szCs w:val="18"/>
              </w:rPr>
            </w:pPr>
          </w:p>
        </w:tc>
      </w:tr>
      <w:tr w:rsidR="000A22AE" w:rsidRPr="00DA7E4C" w:rsidTr="000A22AE">
        <w:trPr>
          <w:trHeight w:val="240"/>
        </w:trPr>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center"/>
              <w:rPr>
                <w:rFonts w:eastAsia="Times New Roman" w:cs="Times New Roman"/>
                <w:sz w:val="18"/>
                <w:szCs w:val="18"/>
              </w:rPr>
            </w:pPr>
            <w:r w:rsidRPr="00DA7E4C">
              <w:rPr>
                <w:rFonts w:eastAsia="Times New Roman" w:cs="Times New Roman"/>
                <w:sz w:val="18"/>
                <w:szCs w:val="18"/>
              </w:rPr>
              <w:t>2</w:t>
            </w:r>
          </w:p>
        </w:tc>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264.341</w:t>
            </w:r>
          </w:p>
        </w:tc>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103.411</w:t>
            </w:r>
          </w:p>
        </w:tc>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color w:val="000000"/>
                <w:sz w:val="18"/>
                <w:szCs w:val="18"/>
              </w:rPr>
            </w:pPr>
          </w:p>
        </w:tc>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color w:val="000000"/>
                <w:sz w:val="18"/>
                <w:szCs w:val="18"/>
              </w:rPr>
            </w:pPr>
          </w:p>
        </w:tc>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color w:val="000000"/>
                <w:sz w:val="18"/>
                <w:szCs w:val="18"/>
              </w:rPr>
            </w:pPr>
          </w:p>
        </w:tc>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-0.583</w:t>
            </w:r>
          </w:p>
        </w:tc>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10.374</w:t>
            </w:r>
          </w:p>
        </w:tc>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0.366</w:t>
            </w:r>
          </w:p>
        </w:tc>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2.098</w:t>
            </w:r>
          </w:p>
        </w:tc>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20.260</w:t>
            </w:r>
          </w:p>
        </w:tc>
      </w:tr>
      <w:tr w:rsidR="000A22AE" w:rsidRPr="00DA7E4C" w:rsidTr="000A22AE">
        <w:trPr>
          <w:trHeight w:val="240"/>
        </w:trPr>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center"/>
              <w:rPr>
                <w:rFonts w:eastAsia="Times New Roman" w:cs="Times New Roman"/>
                <w:b/>
                <w:sz w:val="18"/>
                <w:szCs w:val="18"/>
              </w:rPr>
            </w:pPr>
          </w:p>
        </w:tc>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b/>
                <w:color w:val="000000"/>
                <w:sz w:val="18"/>
                <w:szCs w:val="18"/>
              </w:rPr>
            </w:pPr>
            <w:r w:rsidRPr="00DA7E4C">
              <w:rPr>
                <w:rFonts w:eastAsia="Times New Roman" w:cs="Times New Roman"/>
                <w:b/>
                <w:color w:val="000000"/>
                <w:sz w:val="18"/>
                <w:szCs w:val="18"/>
              </w:rPr>
              <w:t>0.659</w:t>
            </w:r>
          </w:p>
        </w:tc>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b/>
                <w:color w:val="000000"/>
                <w:sz w:val="18"/>
                <w:szCs w:val="18"/>
              </w:rPr>
            </w:pPr>
            <w:r w:rsidRPr="00DA7E4C">
              <w:rPr>
                <w:rFonts w:eastAsia="Times New Roman" w:cs="Times New Roman"/>
                <w:b/>
                <w:color w:val="000000"/>
                <w:sz w:val="18"/>
                <w:szCs w:val="18"/>
              </w:rPr>
              <w:t>0.000</w:t>
            </w:r>
          </w:p>
        </w:tc>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b/>
                <w:color w:val="000000"/>
                <w:sz w:val="18"/>
                <w:szCs w:val="18"/>
              </w:rPr>
            </w:pPr>
          </w:p>
        </w:tc>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b/>
                <w:color w:val="000000"/>
                <w:sz w:val="18"/>
                <w:szCs w:val="18"/>
              </w:rPr>
            </w:pPr>
          </w:p>
        </w:tc>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b/>
                <w:color w:val="000000"/>
                <w:sz w:val="18"/>
                <w:szCs w:val="18"/>
              </w:rPr>
            </w:pPr>
          </w:p>
        </w:tc>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b/>
                <w:color w:val="000000"/>
                <w:sz w:val="18"/>
                <w:szCs w:val="18"/>
              </w:rPr>
            </w:pPr>
            <w:r w:rsidRPr="00DA7E4C">
              <w:rPr>
                <w:rFonts w:eastAsia="Times New Roman" w:cs="Times New Roman"/>
                <w:b/>
                <w:color w:val="000000"/>
                <w:sz w:val="18"/>
                <w:szCs w:val="18"/>
              </w:rPr>
              <w:t>0.003</w:t>
            </w:r>
          </w:p>
        </w:tc>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b/>
                <w:color w:val="000000"/>
                <w:sz w:val="18"/>
                <w:szCs w:val="18"/>
              </w:rPr>
            </w:pPr>
            <w:r w:rsidRPr="00DA7E4C">
              <w:rPr>
                <w:rFonts w:eastAsia="Times New Roman" w:cs="Times New Roman"/>
                <w:b/>
                <w:color w:val="000000"/>
                <w:sz w:val="18"/>
                <w:szCs w:val="18"/>
              </w:rPr>
              <w:t>0.000</w:t>
            </w:r>
          </w:p>
        </w:tc>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b/>
                <w:color w:val="000000"/>
                <w:sz w:val="18"/>
                <w:szCs w:val="18"/>
              </w:rPr>
            </w:pPr>
          </w:p>
        </w:tc>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b/>
                <w:color w:val="000000"/>
                <w:sz w:val="18"/>
                <w:szCs w:val="18"/>
              </w:rPr>
            </w:pPr>
          </w:p>
        </w:tc>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b/>
                <w:color w:val="000000"/>
                <w:sz w:val="18"/>
                <w:szCs w:val="18"/>
              </w:rPr>
            </w:pPr>
          </w:p>
        </w:tc>
      </w:tr>
      <w:tr w:rsidR="000A22AE" w:rsidRPr="00DA7E4C" w:rsidTr="000A22AE">
        <w:trPr>
          <w:trHeight w:val="240"/>
        </w:trPr>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center"/>
              <w:rPr>
                <w:rFonts w:eastAsia="Times New Roman" w:cs="Times New Roman"/>
                <w:sz w:val="18"/>
                <w:szCs w:val="18"/>
              </w:rPr>
            </w:pPr>
            <w:r w:rsidRPr="00DA7E4C">
              <w:rPr>
                <w:rFonts w:eastAsia="Times New Roman" w:cs="Times New Roman"/>
                <w:sz w:val="18"/>
                <w:szCs w:val="18"/>
              </w:rPr>
              <w:t>3</w:t>
            </w:r>
          </w:p>
        </w:tc>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-823.445</w:t>
            </w:r>
          </w:p>
        </w:tc>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color w:val="000000"/>
                <w:sz w:val="18"/>
                <w:szCs w:val="18"/>
              </w:rPr>
            </w:pPr>
          </w:p>
        </w:tc>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142.825</w:t>
            </w:r>
          </w:p>
        </w:tc>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color w:val="000000"/>
                <w:sz w:val="18"/>
                <w:szCs w:val="18"/>
              </w:rPr>
            </w:pPr>
          </w:p>
        </w:tc>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color w:val="000000"/>
                <w:sz w:val="18"/>
                <w:szCs w:val="18"/>
              </w:rPr>
            </w:pPr>
          </w:p>
        </w:tc>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0.748</w:t>
            </w:r>
          </w:p>
        </w:tc>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99.332</w:t>
            </w:r>
          </w:p>
        </w:tc>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0.850</w:t>
            </w:r>
          </w:p>
        </w:tc>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1.007</w:t>
            </w:r>
          </w:p>
        </w:tc>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18.846</w:t>
            </w:r>
          </w:p>
        </w:tc>
      </w:tr>
      <w:tr w:rsidR="000A22AE" w:rsidRPr="00DA7E4C" w:rsidTr="000A22AE">
        <w:trPr>
          <w:trHeight w:val="240"/>
        </w:trPr>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center"/>
              <w:rPr>
                <w:rFonts w:eastAsia="Times New Roman" w:cs="Times New Roman"/>
                <w:b/>
                <w:sz w:val="18"/>
                <w:szCs w:val="18"/>
              </w:rPr>
            </w:pPr>
          </w:p>
        </w:tc>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b/>
                <w:color w:val="000000"/>
                <w:sz w:val="18"/>
                <w:szCs w:val="18"/>
              </w:rPr>
            </w:pPr>
            <w:r w:rsidRPr="00DA7E4C">
              <w:rPr>
                <w:rFonts w:eastAsia="Times New Roman" w:cs="Times New Roman"/>
                <w:b/>
                <w:color w:val="000000"/>
                <w:sz w:val="18"/>
                <w:szCs w:val="18"/>
              </w:rPr>
              <w:t>0.700</w:t>
            </w:r>
          </w:p>
        </w:tc>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b/>
                <w:color w:val="000000"/>
                <w:sz w:val="18"/>
                <w:szCs w:val="18"/>
              </w:rPr>
            </w:pPr>
          </w:p>
        </w:tc>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b/>
                <w:color w:val="000000"/>
                <w:sz w:val="18"/>
                <w:szCs w:val="18"/>
              </w:rPr>
            </w:pPr>
            <w:r w:rsidRPr="00DA7E4C">
              <w:rPr>
                <w:rFonts w:eastAsia="Times New Roman" w:cs="Times New Roman"/>
                <w:b/>
                <w:color w:val="000000"/>
                <w:sz w:val="18"/>
                <w:szCs w:val="18"/>
              </w:rPr>
              <w:t>0.000</w:t>
            </w:r>
          </w:p>
        </w:tc>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b/>
                <w:color w:val="000000"/>
                <w:sz w:val="18"/>
                <w:szCs w:val="18"/>
              </w:rPr>
            </w:pPr>
          </w:p>
        </w:tc>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b/>
                <w:color w:val="000000"/>
                <w:sz w:val="18"/>
                <w:szCs w:val="18"/>
              </w:rPr>
            </w:pPr>
          </w:p>
        </w:tc>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b/>
                <w:color w:val="000000"/>
                <w:sz w:val="18"/>
                <w:szCs w:val="18"/>
              </w:rPr>
            </w:pPr>
            <w:r w:rsidRPr="00DA7E4C">
              <w:rPr>
                <w:rFonts w:eastAsia="Times New Roman" w:cs="Times New Roman"/>
                <w:b/>
                <w:color w:val="000000"/>
                <w:sz w:val="18"/>
                <w:szCs w:val="18"/>
              </w:rPr>
              <w:t>0.001</w:t>
            </w:r>
          </w:p>
        </w:tc>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b/>
                <w:color w:val="000000"/>
                <w:sz w:val="18"/>
                <w:szCs w:val="18"/>
              </w:rPr>
            </w:pPr>
            <w:r w:rsidRPr="00DA7E4C">
              <w:rPr>
                <w:rFonts w:eastAsia="Times New Roman" w:cs="Times New Roman"/>
                <w:b/>
                <w:color w:val="000000"/>
                <w:sz w:val="18"/>
                <w:szCs w:val="18"/>
              </w:rPr>
              <w:t>0.000</w:t>
            </w:r>
          </w:p>
        </w:tc>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b/>
                <w:color w:val="000000"/>
                <w:sz w:val="18"/>
                <w:szCs w:val="18"/>
              </w:rPr>
            </w:pPr>
          </w:p>
        </w:tc>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b/>
                <w:color w:val="000000"/>
                <w:sz w:val="18"/>
                <w:szCs w:val="18"/>
              </w:rPr>
            </w:pPr>
          </w:p>
        </w:tc>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b/>
                <w:color w:val="000000"/>
                <w:sz w:val="18"/>
                <w:szCs w:val="18"/>
              </w:rPr>
            </w:pPr>
          </w:p>
        </w:tc>
      </w:tr>
      <w:tr w:rsidR="000A22AE" w:rsidRPr="00DA7E4C" w:rsidTr="000A22AE">
        <w:trPr>
          <w:trHeight w:val="240"/>
        </w:trPr>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center"/>
              <w:rPr>
                <w:rFonts w:eastAsia="Times New Roman" w:cs="Times New Roman"/>
                <w:sz w:val="18"/>
                <w:szCs w:val="18"/>
              </w:rPr>
            </w:pPr>
            <w:r w:rsidRPr="00DA7E4C">
              <w:rPr>
                <w:rFonts w:eastAsia="Times New Roman" w:cs="Times New Roman"/>
                <w:sz w:val="18"/>
                <w:szCs w:val="18"/>
              </w:rPr>
              <w:t>4</w:t>
            </w:r>
          </w:p>
        </w:tc>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-384.141</w:t>
            </w:r>
          </w:p>
        </w:tc>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color w:val="000000"/>
                <w:sz w:val="18"/>
                <w:szCs w:val="18"/>
              </w:rPr>
            </w:pPr>
          </w:p>
        </w:tc>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color w:val="000000"/>
                <w:sz w:val="18"/>
                <w:szCs w:val="18"/>
              </w:rPr>
            </w:pPr>
          </w:p>
        </w:tc>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-36.123</w:t>
            </w:r>
          </w:p>
        </w:tc>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color w:val="000000"/>
                <w:sz w:val="18"/>
                <w:szCs w:val="18"/>
              </w:rPr>
            </w:pPr>
          </w:p>
        </w:tc>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0.310</w:t>
            </w:r>
          </w:p>
        </w:tc>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1.459</w:t>
            </w:r>
          </w:p>
        </w:tc>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0.079</w:t>
            </w:r>
          </w:p>
        </w:tc>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1.438</w:t>
            </w:r>
          </w:p>
        </w:tc>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20.694</w:t>
            </w:r>
          </w:p>
        </w:tc>
      </w:tr>
      <w:tr w:rsidR="000A22AE" w:rsidRPr="00DA7E4C" w:rsidTr="000A22AE">
        <w:trPr>
          <w:trHeight w:val="240"/>
        </w:trPr>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center"/>
              <w:rPr>
                <w:rFonts w:eastAsia="Times New Roman" w:cs="Times New Roman"/>
                <w:b/>
                <w:sz w:val="18"/>
                <w:szCs w:val="18"/>
              </w:rPr>
            </w:pPr>
          </w:p>
        </w:tc>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b/>
                <w:color w:val="000000"/>
                <w:sz w:val="18"/>
                <w:szCs w:val="18"/>
              </w:rPr>
            </w:pPr>
            <w:r w:rsidRPr="00DA7E4C">
              <w:rPr>
                <w:rFonts w:eastAsia="Times New Roman" w:cs="Times New Roman"/>
                <w:b/>
                <w:color w:val="000000"/>
                <w:sz w:val="18"/>
                <w:szCs w:val="18"/>
              </w:rPr>
              <w:t>0.828</w:t>
            </w:r>
          </w:p>
        </w:tc>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b/>
                <w:color w:val="000000"/>
                <w:sz w:val="18"/>
                <w:szCs w:val="18"/>
              </w:rPr>
            </w:pPr>
          </w:p>
        </w:tc>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b/>
                <w:color w:val="000000"/>
                <w:sz w:val="18"/>
                <w:szCs w:val="18"/>
              </w:rPr>
            </w:pPr>
          </w:p>
        </w:tc>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b/>
                <w:color w:val="000000"/>
                <w:sz w:val="18"/>
                <w:szCs w:val="18"/>
              </w:rPr>
            </w:pPr>
            <w:r w:rsidRPr="00DA7E4C">
              <w:rPr>
                <w:rFonts w:eastAsia="Times New Roman" w:cs="Times New Roman"/>
                <w:b/>
                <w:color w:val="000000"/>
                <w:sz w:val="18"/>
                <w:szCs w:val="18"/>
              </w:rPr>
              <w:t>0.643</w:t>
            </w:r>
          </w:p>
        </w:tc>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b/>
                <w:color w:val="000000"/>
                <w:sz w:val="18"/>
                <w:szCs w:val="18"/>
              </w:rPr>
            </w:pPr>
          </w:p>
        </w:tc>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b/>
                <w:color w:val="000000"/>
                <w:sz w:val="18"/>
                <w:szCs w:val="18"/>
              </w:rPr>
            </w:pPr>
            <w:r w:rsidRPr="00DA7E4C">
              <w:rPr>
                <w:rFonts w:eastAsia="Times New Roman" w:cs="Times New Roman"/>
                <w:b/>
                <w:color w:val="000000"/>
                <w:sz w:val="18"/>
                <w:szCs w:val="18"/>
              </w:rPr>
              <w:t>0.511</w:t>
            </w:r>
          </w:p>
        </w:tc>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b/>
                <w:color w:val="000000"/>
                <w:sz w:val="18"/>
                <w:szCs w:val="18"/>
              </w:rPr>
            </w:pPr>
            <w:r w:rsidRPr="00DA7E4C">
              <w:rPr>
                <w:rFonts w:eastAsia="Times New Roman" w:cs="Times New Roman"/>
                <w:b/>
                <w:color w:val="000000"/>
                <w:sz w:val="18"/>
                <w:szCs w:val="18"/>
              </w:rPr>
              <w:t>0.247</w:t>
            </w:r>
          </w:p>
        </w:tc>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b/>
                <w:color w:val="000000"/>
                <w:sz w:val="18"/>
                <w:szCs w:val="18"/>
              </w:rPr>
            </w:pPr>
          </w:p>
        </w:tc>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b/>
                <w:color w:val="000000"/>
                <w:sz w:val="18"/>
                <w:szCs w:val="18"/>
              </w:rPr>
            </w:pPr>
          </w:p>
        </w:tc>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b/>
                <w:color w:val="000000"/>
                <w:sz w:val="18"/>
                <w:szCs w:val="18"/>
              </w:rPr>
            </w:pPr>
          </w:p>
        </w:tc>
      </w:tr>
      <w:tr w:rsidR="000A22AE" w:rsidRPr="00DA7E4C" w:rsidTr="000A22AE">
        <w:trPr>
          <w:trHeight w:val="240"/>
        </w:trPr>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center"/>
              <w:rPr>
                <w:rFonts w:eastAsia="Times New Roman" w:cs="Times New Roman"/>
                <w:sz w:val="18"/>
                <w:szCs w:val="18"/>
              </w:rPr>
            </w:pPr>
            <w:r w:rsidRPr="00DA7E4C">
              <w:rPr>
                <w:rFonts w:eastAsia="Times New Roman" w:cs="Times New Roman"/>
                <w:sz w:val="18"/>
                <w:szCs w:val="18"/>
              </w:rPr>
              <w:t>5</w:t>
            </w:r>
          </w:p>
        </w:tc>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-531.421</w:t>
            </w:r>
          </w:p>
        </w:tc>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color w:val="000000"/>
                <w:sz w:val="18"/>
                <w:szCs w:val="18"/>
              </w:rPr>
            </w:pPr>
          </w:p>
        </w:tc>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color w:val="000000"/>
                <w:sz w:val="18"/>
                <w:szCs w:val="18"/>
              </w:rPr>
            </w:pPr>
          </w:p>
        </w:tc>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color w:val="000000"/>
                <w:sz w:val="18"/>
                <w:szCs w:val="18"/>
              </w:rPr>
            </w:pPr>
          </w:p>
        </w:tc>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-123.538</w:t>
            </w:r>
          </w:p>
        </w:tc>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0.227</w:t>
            </w:r>
          </w:p>
        </w:tc>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10.698</w:t>
            </w:r>
          </w:p>
        </w:tc>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0.393</w:t>
            </w:r>
          </w:p>
        </w:tc>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1.901</w:t>
            </w:r>
          </w:p>
        </w:tc>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20.308</w:t>
            </w:r>
          </w:p>
        </w:tc>
      </w:tr>
      <w:tr w:rsidR="000A22AE" w:rsidRPr="00DA7E4C" w:rsidTr="000A22AE">
        <w:trPr>
          <w:trHeight w:val="240"/>
        </w:trPr>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center"/>
              <w:rPr>
                <w:rFonts w:eastAsia="Times New Roman" w:cs="Times New Roman"/>
                <w:b/>
                <w:sz w:val="18"/>
                <w:szCs w:val="18"/>
              </w:rPr>
            </w:pPr>
          </w:p>
        </w:tc>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b/>
                <w:color w:val="000000"/>
                <w:sz w:val="18"/>
                <w:szCs w:val="18"/>
              </w:rPr>
            </w:pPr>
            <w:r w:rsidRPr="00DA7E4C">
              <w:rPr>
                <w:rFonts w:eastAsia="Times New Roman" w:cs="Times New Roman"/>
                <w:b/>
                <w:color w:val="000000"/>
                <w:sz w:val="18"/>
                <w:szCs w:val="18"/>
              </w:rPr>
              <w:t>0.683</w:t>
            </w:r>
          </w:p>
        </w:tc>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b/>
                <w:color w:val="000000"/>
                <w:sz w:val="18"/>
                <w:szCs w:val="18"/>
              </w:rPr>
            </w:pPr>
          </w:p>
        </w:tc>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b/>
                <w:color w:val="000000"/>
                <w:sz w:val="18"/>
                <w:szCs w:val="18"/>
              </w:rPr>
            </w:pPr>
          </w:p>
        </w:tc>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b/>
                <w:color w:val="000000"/>
                <w:sz w:val="18"/>
                <w:szCs w:val="18"/>
              </w:rPr>
            </w:pPr>
          </w:p>
        </w:tc>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b/>
                <w:color w:val="000000"/>
                <w:sz w:val="18"/>
                <w:szCs w:val="18"/>
              </w:rPr>
            </w:pPr>
            <w:r w:rsidRPr="00DA7E4C">
              <w:rPr>
                <w:rFonts w:eastAsia="Times New Roman" w:cs="Times New Roman"/>
                <w:b/>
                <w:color w:val="000000"/>
                <w:sz w:val="18"/>
                <w:szCs w:val="18"/>
              </w:rPr>
              <w:t>0.001</w:t>
            </w:r>
          </w:p>
        </w:tc>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b/>
                <w:color w:val="000000"/>
                <w:sz w:val="18"/>
                <w:szCs w:val="18"/>
              </w:rPr>
            </w:pPr>
            <w:r w:rsidRPr="00DA7E4C">
              <w:rPr>
                <w:rFonts w:eastAsia="Times New Roman" w:cs="Times New Roman"/>
                <w:b/>
                <w:color w:val="000000"/>
                <w:sz w:val="18"/>
                <w:szCs w:val="18"/>
              </w:rPr>
              <w:t>0.299</w:t>
            </w:r>
          </w:p>
        </w:tc>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b/>
                <w:color w:val="000000"/>
                <w:sz w:val="18"/>
                <w:szCs w:val="18"/>
              </w:rPr>
            </w:pPr>
            <w:r w:rsidRPr="00DA7E4C">
              <w:rPr>
                <w:rFonts w:eastAsia="Times New Roman" w:cs="Times New Roman"/>
                <w:b/>
                <w:color w:val="000000"/>
                <w:sz w:val="18"/>
                <w:szCs w:val="18"/>
              </w:rPr>
              <w:t>0.000</w:t>
            </w:r>
          </w:p>
        </w:tc>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b/>
                <w:color w:val="000000"/>
                <w:sz w:val="18"/>
                <w:szCs w:val="18"/>
              </w:rPr>
            </w:pPr>
          </w:p>
        </w:tc>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b/>
                <w:color w:val="000000"/>
                <w:sz w:val="18"/>
                <w:szCs w:val="18"/>
              </w:rPr>
            </w:pPr>
          </w:p>
        </w:tc>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b/>
                <w:color w:val="000000"/>
                <w:sz w:val="18"/>
                <w:szCs w:val="18"/>
              </w:rPr>
            </w:pPr>
          </w:p>
        </w:tc>
      </w:tr>
    </w:tbl>
    <w:p w:rsidR="000A22AE" w:rsidRPr="00762161" w:rsidRDefault="000A22AE" w:rsidP="000A22AE"/>
    <w:p w:rsidR="000A22AE" w:rsidRPr="00762161" w:rsidRDefault="000A22AE" w:rsidP="000A22AE"/>
    <w:p w:rsidR="000A22AE" w:rsidRPr="00762161" w:rsidRDefault="000A22AE" w:rsidP="000A22AE"/>
    <w:p w:rsidR="000A22AE" w:rsidRPr="00762161" w:rsidRDefault="000A22AE" w:rsidP="000A22AE"/>
    <w:p w:rsidR="000A22AE" w:rsidRPr="00762161" w:rsidRDefault="000A22AE" w:rsidP="000A22AE"/>
    <w:p w:rsidR="000A22AE" w:rsidRPr="00762161" w:rsidRDefault="000A22AE" w:rsidP="000A22AE">
      <w:pPr>
        <w:pStyle w:val="Heading2"/>
      </w:pPr>
      <w:bookmarkStart w:id="373" w:name="_Toc286616350"/>
      <w:r w:rsidRPr="00762161">
        <w:t xml:space="preserve">Table 16: The Relationship between Inflation and </w:t>
      </w:r>
      <w:r w:rsidR="00627488">
        <w:t>Real Stock Price</w:t>
      </w:r>
      <w:r w:rsidRPr="00762161">
        <w:t>s (Yearly 1970-1988)</w:t>
      </w:r>
      <w:bookmarkEnd w:id="373"/>
    </w:p>
    <w:tbl>
      <w:tblPr>
        <w:tblW w:w="10560" w:type="dxa"/>
        <w:tblInd w:w="93" w:type="dxa"/>
        <w:tblLook w:val="04A0"/>
      </w:tblPr>
      <w:tblGrid>
        <w:gridCol w:w="960"/>
        <w:gridCol w:w="960"/>
        <w:gridCol w:w="960"/>
        <w:gridCol w:w="960"/>
        <w:gridCol w:w="960"/>
        <w:gridCol w:w="960"/>
        <w:gridCol w:w="960"/>
        <w:gridCol w:w="960"/>
        <w:gridCol w:w="960"/>
        <w:gridCol w:w="960"/>
        <w:gridCol w:w="960"/>
      </w:tblGrid>
      <w:tr w:rsidR="000A22AE" w:rsidRPr="00DA7E4C" w:rsidTr="000A22AE">
        <w:trPr>
          <w:trHeight w:val="240"/>
        </w:trPr>
        <w:tc>
          <w:tcPr>
            <w:tcW w:w="1920" w:type="dxa"/>
            <w:gridSpan w:val="2"/>
            <w:tcBorders>
              <w:top w:val="single" w:sz="8" w:space="0" w:color="auto"/>
              <w:left w:val="single" w:sz="8" w:space="0" w:color="auto"/>
              <w:bottom w:val="single" w:sz="8" w:space="0" w:color="auto"/>
              <w:right w:val="nil"/>
            </w:tcBorders>
            <w:shd w:val="clear" w:color="auto" w:fill="auto"/>
            <w:noWrap/>
            <w:vAlign w:val="bottom"/>
            <w:hideMark/>
          </w:tcPr>
          <w:p w:rsidR="000A22AE" w:rsidRPr="00DA7E4C" w:rsidRDefault="000A22AE" w:rsidP="000A22AE">
            <w:pPr>
              <w:spacing w:before="0" w:after="0" w:line="240" w:lineRule="auto"/>
              <w:jc w:val="center"/>
              <w:rPr>
                <w:rFonts w:eastAsia="Times New Roman" w:cs="Times New Roman"/>
                <w:sz w:val="18"/>
                <w:szCs w:val="18"/>
              </w:rPr>
            </w:pPr>
            <w:r w:rsidRPr="00DA7E4C">
              <w:rPr>
                <w:rFonts w:eastAsia="Times New Roman" w:cs="Times New Roman"/>
                <w:sz w:val="18"/>
                <w:szCs w:val="18"/>
              </w:rPr>
              <w:t>Sample</w:t>
            </w:r>
          </w:p>
          <w:p w:rsidR="000A22AE" w:rsidRPr="00DA7E4C" w:rsidRDefault="000A22AE" w:rsidP="000A22AE">
            <w:pPr>
              <w:spacing w:before="0" w:after="0" w:line="240" w:lineRule="auto"/>
              <w:jc w:val="center"/>
              <w:rPr>
                <w:rFonts w:eastAsia="Times New Roman" w:cs="Times New Roman"/>
                <w:sz w:val="18"/>
                <w:szCs w:val="18"/>
              </w:rPr>
            </w:pPr>
            <w:r w:rsidRPr="00DA7E4C">
              <w:rPr>
                <w:rFonts w:eastAsia="Times New Roman" w:cs="Times New Roman"/>
                <w:sz w:val="18"/>
                <w:szCs w:val="18"/>
              </w:rPr>
              <w:t>1970-1988</w:t>
            </w:r>
          </w:p>
        </w:tc>
        <w:tc>
          <w:tcPr>
            <w:tcW w:w="3840" w:type="dxa"/>
            <w:gridSpan w:val="4"/>
            <w:tcBorders>
              <w:top w:val="single" w:sz="8" w:space="0" w:color="auto"/>
              <w:left w:val="single" w:sz="8" w:space="0" w:color="auto"/>
              <w:bottom w:val="nil"/>
              <w:right w:val="single" w:sz="8" w:space="0" w:color="000000"/>
            </w:tcBorders>
            <w:shd w:val="clear" w:color="auto" w:fill="auto"/>
            <w:vAlign w:val="bottom"/>
            <w:hideMark/>
          </w:tcPr>
          <w:p w:rsidR="000A22AE" w:rsidRPr="00DA7E4C" w:rsidRDefault="000A22AE" w:rsidP="000A22AE">
            <w:pPr>
              <w:spacing w:before="0" w:after="0" w:line="240" w:lineRule="auto"/>
              <w:jc w:val="center"/>
              <w:rPr>
                <w:rFonts w:eastAsia="Times New Roman" w:cs="Times New Roman"/>
                <w:color w:val="000000"/>
                <w:sz w:val="18"/>
                <w:szCs w:val="18"/>
              </w:rPr>
            </w:pPr>
            <w:r w:rsidRPr="00DA7E4C">
              <w:rPr>
                <w:rFonts w:eastAsia="Times New Roman" w:cs="Times New Roman"/>
                <w:color w:val="000000"/>
                <w:sz w:val="18"/>
                <w:szCs w:val="18"/>
              </w:rPr>
              <w:t xml:space="preserve">Real Stock </w:t>
            </w:r>
          </w:p>
        </w:tc>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color w:val="000000"/>
                <w:sz w:val="18"/>
                <w:szCs w:val="18"/>
              </w:rPr>
            </w:pPr>
          </w:p>
        </w:tc>
        <w:tc>
          <w:tcPr>
            <w:tcW w:w="960" w:type="dxa"/>
            <w:tcBorders>
              <w:top w:val="nil"/>
              <w:left w:val="nil"/>
              <w:bottom w:val="nil"/>
              <w:right w:val="single" w:sz="4" w:space="0" w:color="auto"/>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color w:val="000000"/>
                <w:sz w:val="18"/>
                <w:szCs w:val="18"/>
              </w:rPr>
            </w:pPr>
          </w:p>
        </w:tc>
        <w:tc>
          <w:tcPr>
            <w:tcW w:w="960"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A22AE" w:rsidRPr="00DA7E4C" w:rsidRDefault="000A22AE" w:rsidP="000A22AE">
            <w:pPr>
              <w:spacing w:before="0" w:after="0" w:line="240" w:lineRule="auto"/>
              <w:jc w:val="center"/>
              <w:rPr>
                <w:rFonts w:eastAsia="Times New Roman" w:cs="Times New Roman"/>
                <w:sz w:val="18"/>
                <w:szCs w:val="18"/>
              </w:rPr>
            </w:pPr>
            <w:r w:rsidRPr="00DA7E4C">
              <w:rPr>
                <w:rFonts w:eastAsia="Times New Roman" w:cs="Times New Roman"/>
                <w:sz w:val="18"/>
                <w:szCs w:val="18"/>
              </w:rPr>
              <w:t>Adjusted</w:t>
            </w:r>
          </w:p>
          <w:p w:rsidR="000A22AE" w:rsidRPr="00DA7E4C" w:rsidRDefault="000A22AE" w:rsidP="000A22AE">
            <w:pPr>
              <w:spacing w:before="0" w:after="0" w:line="240" w:lineRule="auto"/>
              <w:jc w:val="center"/>
              <w:rPr>
                <w:rFonts w:eastAsia="Times New Roman" w:cs="Times New Roman"/>
                <w:color w:val="000000"/>
                <w:sz w:val="18"/>
                <w:szCs w:val="18"/>
              </w:rPr>
            </w:pPr>
            <w:r w:rsidRPr="00DA7E4C">
              <w:rPr>
                <w:rFonts w:eastAsia="Times New Roman" w:cs="Times New Roman"/>
                <w:sz w:val="18"/>
                <w:szCs w:val="18"/>
              </w:rPr>
              <w:t>R-square</w:t>
            </w:r>
          </w:p>
        </w:tc>
        <w:tc>
          <w:tcPr>
            <w:tcW w:w="960" w:type="dxa"/>
            <w:tcBorders>
              <w:top w:val="nil"/>
              <w:left w:val="single" w:sz="4" w:space="0" w:color="auto"/>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color w:val="000000"/>
                <w:sz w:val="18"/>
                <w:szCs w:val="18"/>
              </w:rPr>
            </w:pPr>
          </w:p>
        </w:tc>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color w:val="000000"/>
                <w:sz w:val="18"/>
                <w:szCs w:val="18"/>
              </w:rPr>
            </w:pPr>
          </w:p>
        </w:tc>
      </w:tr>
      <w:tr w:rsidR="000A22AE" w:rsidRPr="00DA7E4C" w:rsidTr="000A22AE">
        <w:trPr>
          <w:trHeight w:val="255"/>
        </w:trPr>
        <w:tc>
          <w:tcPr>
            <w:tcW w:w="960" w:type="dxa"/>
            <w:tcBorders>
              <w:top w:val="nil"/>
              <w:left w:val="single" w:sz="8" w:space="0" w:color="auto"/>
              <w:bottom w:val="single" w:sz="8" w:space="0" w:color="auto"/>
              <w:right w:val="single" w:sz="8" w:space="0" w:color="auto"/>
            </w:tcBorders>
            <w:shd w:val="clear" w:color="auto" w:fill="auto"/>
            <w:noWrap/>
            <w:vAlign w:val="center"/>
            <w:hideMark/>
          </w:tcPr>
          <w:p w:rsidR="000A22AE" w:rsidRPr="00DA7E4C" w:rsidRDefault="000A22AE" w:rsidP="000A22AE">
            <w:pPr>
              <w:spacing w:before="0" w:after="0" w:line="240" w:lineRule="auto"/>
              <w:jc w:val="center"/>
              <w:rPr>
                <w:rFonts w:eastAsia="Times New Roman" w:cs="Times New Roman"/>
                <w:sz w:val="18"/>
                <w:szCs w:val="18"/>
              </w:rPr>
            </w:pPr>
            <w:r w:rsidRPr="00DA7E4C">
              <w:rPr>
                <w:rFonts w:eastAsia="Times New Roman" w:cs="Times New Roman"/>
                <w:sz w:val="18"/>
                <w:szCs w:val="18"/>
              </w:rPr>
              <w:t>No</w:t>
            </w:r>
          </w:p>
        </w:tc>
        <w:tc>
          <w:tcPr>
            <w:tcW w:w="960" w:type="dxa"/>
            <w:tcBorders>
              <w:top w:val="single" w:sz="8" w:space="0" w:color="auto"/>
              <w:left w:val="nil"/>
              <w:bottom w:val="single" w:sz="8" w:space="0" w:color="auto"/>
              <w:right w:val="single" w:sz="8" w:space="0" w:color="auto"/>
            </w:tcBorders>
            <w:shd w:val="clear" w:color="auto" w:fill="auto"/>
            <w:noWrap/>
            <w:vAlign w:val="center"/>
            <w:hideMark/>
          </w:tcPr>
          <w:p w:rsidR="000A22AE" w:rsidRPr="00DA7E4C" w:rsidRDefault="000A22AE" w:rsidP="000A22AE">
            <w:pPr>
              <w:spacing w:before="0" w:after="0" w:line="240" w:lineRule="auto"/>
              <w:jc w:val="center"/>
              <w:rPr>
                <w:rFonts w:eastAsia="Times New Roman" w:cs="Times New Roman"/>
                <w:sz w:val="18"/>
                <w:szCs w:val="18"/>
              </w:rPr>
            </w:pPr>
            <w:r w:rsidRPr="00DA7E4C">
              <w:rPr>
                <w:rFonts w:eastAsia="Times New Roman" w:cs="Times New Roman"/>
                <w:sz w:val="18"/>
                <w:szCs w:val="18"/>
              </w:rPr>
              <w:t>Intercept</w:t>
            </w:r>
          </w:p>
        </w:tc>
        <w:tc>
          <w:tcPr>
            <w:tcW w:w="960" w:type="dxa"/>
            <w:tcBorders>
              <w:top w:val="nil"/>
              <w:left w:val="nil"/>
              <w:bottom w:val="single" w:sz="8" w:space="0" w:color="auto"/>
              <w:right w:val="single" w:sz="8" w:space="0" w:color="auto"/>
            </w:tcBorders>
            <w:shd w:val="clear" w:color="auto" w:fill="auto"/>
            <w:vAlign w:val="center"/>
            <w:hideMark/>
          </w:tcPr>
          <w:p w:rsidR="000A22AE" w:rsidRPr="00DA7E4C" w:rsidRDefault="000A22AE" w:rsidP="000A22AE">
            <w:pPr>
              <w:spacing w:before="0" w:after="0" w:line="240" w:lineRule="auto"/>
              <w:jc w:val="center"/>
              <w:rPr>
                <w:rFonts w:eastAsia="Times New Roman" w:cs="Times New Roman"/>
                <w:sz w:val="18"/>
                <w:szCs w:val="18"/>
              </w:rPr>
            </w:pPr>
            <w:r w:rsidRPr="00DA7E4C">
              <w:rPr>
                <w:rFonts w:eastAsia="Times New Roman" w:cs="Times New Roman"/>
                <w:sz w:val="18"/>
                <w:szCs w:val="18"/>
              </w:rPr>
              <w:t>t</w:t>
            </w:r>
          </w:p>
        </w:tc>
        <w:tc>
          <w:tcPr>
            <w:tcW w:w="960" w:type="dxa"/>
            <w:tcBorders>
              <w:top w:val="nil"/>
              <w:left w:val="nil"/>
              <w:bottom w:val="single" w:sz="8" w:space="0" w:color="auto"/>
              <w:right w:val="single" w:sz="8" w:space="0" w:color="auto"/>
            </w:tcBorders>
            <w:shd w:val="clear" w:color="auto" w:fill="auto"/>
            <w:vAlign w:val="center"/>
            <w:hideMark/>
          </w:tcPr>
          <w:p w:rsidR="000A22AE" w:rsidRPr="00DA7E4C" w:rsidRDefault="000A22AE" w:rsidP="000A22AE">
            <w:pPr>
              <w:spacing w:before="0" w:after="0" w:line="240" w:lineRule="auto"/>
              <w:jc w:val="center"/>
              <w:rPr>
                <w:rFonts w:eastAsia="Times New Roman" w:cs="Times New Roman"/>
                <w:sz w:val="18"/>
                <w:szCs w:val="18"/>
              </w:rPr>
            </w:pPr>
            <w:r w:rsidRPr="00DA7E4C">
              <w:rPr>
                <w:rFonts w:eastAsia="Times New Roman" w:cs="Times New Roman"/>
                <w:sz w:val="18"/>
                <w:szCs w:val="18"/>
              </w:rPr>
              <w:t>t-1</w:t>
            </w:r>
          </w:p>
        </w:tc>
        <w:tc>
          <w:tcPr>
            <w:tcW w:w="960" w:type="dxa"/>
            <w:tcBorders>
              <w:top w:val="nil"/>
              <w:left w:val="nil"/>
              <w:bottom w:val="single" w:sz="8" w:space="0" w:color="auto"/>
              <w:right w:val="single" w:sz="8" w:space="0" w:color="auto"/>
            </w:tcBorders>
            <w:shd w:val="clear" w:color="auto" w:fill="auto"/>
            <w:vAlign w:val="center"/>
            <w:hideMark/>
          </w:tcPr>
          <w:p w:rsidR="000A22AE" w:rsidRPr="00DA7E4C" w:rsidRDefault="000A22AE" w:rsidP="000A22AE">
            <w:pPr>
              <w:spacing w:before="0" w:after="0" w:line="240" w:lineRule="auto"/>
              <w:jc w:val="center"/>
              <w:rPr>
                <w:rFonts w:eastAsia="Times New Roman" w:cs="Times New Roman"/>
                <w:sz w:val="18"/>
                <w:szCs w:val="18"/>
              </w:rPr>
            </w:pPr>
            <w:r w:rsidRPr="00DA7E4C">
              <w:rPr>
                <w:rFonts w:eastAsia="Times New Roman" w:cs="Times New Roman"/>
                <w:sz w:val="18"/>
                <w:szCs w:val="18"/>
              </w:rPr>
              <w:t>t-2</w:t>
            </w:r>
          </w:p>
        </w:tc>
        <w:tc>
          <w:tcPr>
            <w:tcW w:w="960" w:type="dxa"/>
            <w:tcBorders>
              <w:top w:val="nil"/>
              <w:left w:val="nil"/>
              <w:bottom w:val="single" w:sz="8" w:space="0" w:color="auto"/>
              <w:right w:val="single" w:sz="8" w:space="0" w:color="auto"/>
            </w:tcBorders>
            <w:shd w:val="clear" w:color="auto" w:fill="auto"/>
            <w:vAlign w:val="center"/>
            <w:hideMark/>
          </w:tcPr>
          <w:p w:rsidR="000A22AE" w:rsidRPr="00DA7E4C" w:rsidRDefault="000A22AE" w:rsidP="000A22AE">
            <w:pPr>
              <w:spacing w:before="0" w:after="0" w:line="240" w:lineRule="auto"/>
              <w:jc w:val="center"/>
              <w:rPr>
                <w:rFonts w:eastAsia="Times New Roman" w:cs="Times New Roman"/>
                <w:sz w:val="18"/>
                <w:szCs w:val="18"/>
              </w:rPr>
            </w:pPr>
            <w:r w:rsidRPr="00DA7E4C">
              <w:rPr>
                <w:rFonts w:eastAsia="Times New Roman" w:cs="Times New Roman"/>
                <w:sz w:val="18"/>
                <w:szCs w:val="18"/>
              </w:rPr>
              <w:t>t-3</w:t>
            </w:r>
          </w:p>
        </w:tc>
        <w:tc>
          <w:tcPr>
            <w:tcW w:w="960" w:type="dxa"/>
            <w:tcBorders>
              <w:top w:val="single" w:sz="8" w:space="0" w:color="auto"/>
              <w:left w:val="nil"/>
              <w:bottom w:val="single" w:sz="8" w:space="0" w:color="auto"/>
              <w:right w:val="single" w:sz="8" w:space="0" w:color="auto"/>
            </w:tcBorders>
            <w:shd w:val="clear" w:color="auto" w:fill="auto"/>
            <w:vAlign w:val="center"/>
            <w:hideMark/>
          </w:tcPr>
          <w:p w:rsidR="000A22AE" w:rsidRPr="00DA7E4C" w:rsidRDefault="000A22AE" w:rsidP="000A22AE">
            <w:pPr>
              <w:spacing w:before="0" w:after="0" w:line="240" w:lineRule="auto"/>
              <w:jc w:val="center"/>
              <w:rPr>
                <w:rFonts w:eastAsia="Times New Roman" w:cs="Times New Roman"/>
                <w:sz w:val="18"/>
                <w:szCs w:val="18"/>
              </w:rPr>
            </w:pPr>
            <w:r w:rsidRPr="00DA7E4C">
              <w:rPr>
                <w:rFonts w:eastAsia="Times New Roman" w:cs="Times New Roman"/>
                <w:sz w:val="18"/>
                <w:szCs w:val="18"/>
              </w:rPr>
              <w:t>AR</w:t>
            </w:r>
          </w:p>
        </w:tc>
        <w:tc>
          <w:tcPr>
            <w:tcW w:w="960" w:type="dxa"/>
            <w:tcBorders>
              <w:top w:val="single" w:sz="8" w:space="0" w:color="auto"/>
              <w:left w:val="nil"/>
              <w:bottom w:val="single" w:sz="8" w:space="0" w:color="auto"/>
              <w:right w:val="single" w:sz="4" w:space="0" w:color="auto"/>
            </w:tcBorders>
            <w:shd w:val="clear" w:color="auto" w:fill="auto"/>
            <w:noWrap/>
            <w:vAlign w:val="center"/>
            <w:hideMark/>
          </w:tcPr>
          <w:p w:rsidR="000A22AE" w:rsidRPr="00DA7E4C" w:rsidRDefault="000A22AE" w:rsidP="000A22AE">
            <w:pPr>
              <w:spacing w:before="0" w:after="0" w:line="240" w:lineRule="auto"/>
              <w:jc w:val="center"/>
              <w:rPr>
                <w:rFonts w:eastAsia="Times New Roman" w:cs="Times New Roman"/>
                <w:sz w:val="18"/>
                <w:szCs w:val="18"/>
              </w:rPr>
            </w:pPr>
            <w:r w:rsidRPr="00DA7E4C">
              <w:rPr>
                <w:rFonts w:eastAsia="Times New Roman" w:cs="Times New Roman"/>
                <w:sz w:val="18"/>
                <w:szCs w:val="18"/>
              </w:rPr>
              <w:t>F Value</w:t>
            </w:r>
          </w:p>
        </w:tc>
        <w:tc>
          <w:tcPr>
            <w:tcW w:w="960" w:type="dxa"/>
            <w:vMerge/>
            <w:tcBorders>
              <w:left w:val="single" w:sz="4" w:space="0" w:color="auto"/>
              <w:bottom w:val="single" w:sz="4" w:space="0" w:color="auto"/>
              <w:right w:val="single" w:sz="4" w:space="0" w:color="auto"/>
            </w:tcBorders>
            <w:shd w:val="clear" w:color="auto" w:fill="auto"/>
            <w:noWrap/>
            <w:vAlign w:val="center"/>
            <w:hideMark/>
          </w:tcPr>
          <w:p w:rsidR="000A22AE" w:rsidRPr="00DA7E4C" w:rsidRDefault="000A22AE" w:rsidP="000A22AE">
            <w:pPr>
              <w:spacing w:before="0" w:after="0" w:line="240" w:lineRule="auto"/>
              <w:jc w:val="center"/>
              <w:rPr>
                <w:rFonts w:eastAsia="Times New Roman" w:cs="Times New Roman"/>
                <w:sz w:val="18"/>
                <w:szCs w:val="18"/>
              </w:rPr>
            </w:pPr>
          </w:p>
        </w:tc>
        <w:tc>
          <w:tcPr>
            <w:tcW w:w="960" w:type="dxa"/>
            <w:tcBorders>
              <w:top w:val="single" w:sz="8" w:space="0" w:color="auto"/>
              <w:left w:val="single" w:sz="4" w:space="0" w:color="auto"/>
              <w:bottom w:val="single" w:sz="8" w:space="0" w:color="auto"/>
              <w:right w:val="single" w:sz="8" w:space="0" w:color="auto"/>
            </w:tcBorders>
            <w:shd w:val="clear" w:color="auto" w:fill="auto"/>
            <w:noWrap/>
            <w:vAlign w:val="center"/>
            <w:hideMark/>
          </w:tcPr>
          <w:p w:rsidR="000A22AE" w:rsidRPr="00DA7E4C" w:rsidRDefault="000A22AE" w:rsidP="000A22AE">
            <w:pPr>
              <w:spacing w:before="0" w:after="0" w:line="240" w:lineRule="auto"/>
              <w:jc w:val="center"/>
              <w:rPr>
                <w:rFonts w:eastAsia="Times New Roman" w:cs="Times New Roman"/>
                <w:sz w:val="18"/>
                <w:szCs w:val="18"/>
              </w:rPr>
            </w:pPr>
            <w:r w:rsidRPr="00DA7E4C">
              <w:rPr>
                <w:rFonts w:eastAsia="Times New Roman" w:cs="Times New Roman"/>
                <w:sz w:val="18"/>
                <w:szCs w:val="18"/>
              </w:rPr>
              <w:t>DW</w:t>
            </w:r>
          </w:p>
        </w:tc>
        <w:tc>
          <w:tcPr>
            <w:tcW w:w="960" w:type="dxa"/>
            <w:tcBorders>
              <w:top w:val="single" w:sz="8" w:space="0" w:color="auto"/>
              <w:left w:val="nil"/>
              <w:bottom w:val="single" w:sz="8" w:space="0" w:color="auto"/>
              <w:right w:val="single" w:sz="8" w:space="0" w:color="auto"/>
            </w:tcBorders>
            <w:shd w:val="clear" w:color="auto" w:fill="auto"/>
            <w:vAlign w:val="center"/>
            <w:hideMark/>
          </w:tcPr>
          <w:p w:rsidR="000A22AE" w:rsidRPr="00DA7E4C" w:rsidRDefault="000A22AE" w:rsidP="000A22AE">
            <w:pPr>
              <w:spacing w:before="0" w:after="0" w:line="240" w:lineRule="auto"/>
              <w:jc w:val="center"/>
              <w:rPr>
                <w:rFonts w:eastAsia="Times New Roman" w:cs="Times New Roman"/>
                <w:color w:val="000000"/>
                <w:sz w:val="18"/>
                <w:szCs w:val="18"/>
              </w:rPr>
            </w:pPr>
            <w:r w:rsidRPr="00DA7E4C">
              <w:rPr>
                <w:rFonts w:eastAsia="Times New Roman" w:cs="Times New Roman"/>
                <w:color w:val="000000"/>
                <w:sz w:val="18"/>
                <w:szCs w:val="18"/>
              </w:rPr>
              <w:t>Akaike</w:t>
            </w:r>
          </w:p>
        </w:tc>
      </w:tr>
      <w:tr w:rsidR="000A22AE" w:rsidRPr="00DA7E4C" w:rsidTr="000A22AE">
        <w:trPr>
          <w:trHeight w:val="240"/>
        </w:trPr>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center"/>
              <w:rPr>
                <w:rFonts w:eastAsia="Times New Roman" w:cs="Times New Roman"/>
                <w:sz w:val="18"/>
                <w:szCs w:val="18"/>
              </w:rPr>
            </w:pPr>
            <w:r w:rsidRPr="00DA7E4C">
              <w:rPr>
                <w:rFonts w:eastAsia="Times New Roman" w:cs="Times New Roman"/>
                <w:sz w:val="18"/>
                <w:szCs w:val="18"/>
              </w:rPr>
              <w:t>1</w:t>
            </w:r>
          </w:p>
        </w:tc>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2.399</w:t>
            </w:r>
          </w:p>
        </w:tc>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0.042</w:t>
            </w:r>
          </w:p>
        </w:tc>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-0.016</w:t>
            </w:r>
          </w:p>
        </w:tc>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0.063</w:t>
            </w:r>
          </w:p>
        </w:tc>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-0.034</w:t>
            </w:r>
          </w:p>
        </w:tc>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0.946</w:t>
            </w:r>
          </w:p>
        </w:tc>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44.621</w:t>
            </w:r>
          </w:p>
        </w:tc>
        <w:tc>
          <w:tcPr>
            <w:tcW w:w="960" w:type="dxa"/>
            <w:tcBorders>
              <w:top w:val="single" w:sz="4" w:space="0" w:color="auto"/>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0.881</w:t>
            </w:r>
          </w:p>
        </w:tc>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1.311</w:t>
            </w:r>
          </w:p>
        </w:tc>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4.931</w:t>
            </w:r>
          </w:p>
        </w:tc>
      </w:tr>
      <w:tr w:rsidR="000A22AE" w:rsidRPr="00DA7E4C" w:rsidTr="000A22AE">
        <w:trPr>
          <w:trHeight w:val="240"/>
        </w:trPr>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center"/>
              <w:rPr>
                <w:rFonts w:eastAsia="Times New Roman" w:cs="Times New Roman"/>
                <w:b/>
                <w:sz w:val="18"/>
                <w:szCs w:val="18"/>
              </w:rPr>
            </w:pPr>
          </w:p>
        </w:tc>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b/>
                <w:color w:val="000000"/>
                <w:sz w:val="18"/>
                <w:szCs w:val="18"/>
              </w:rPr>
            </w:pPr>
            <w:r w:rsidRPr="00DA7E4C">
              <w:rPr>
                <w:rFonts w:eastAsia="Times New Roman" w:cs="Times New Roman"/>
                <w:b/>
                <w:color w:val="000000"/>
                <w:sz w:val="18"/>
                <w:szCs w:val="18"/>
              </w:rPr>
              <w:t>0.796</w:t>
            </w:r>
          </w:p>
        </w:tc>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b/>
                <w:color w:val="000000"/>
                <w:sz w:val="18"/>
                <w:szCs w:val="18"/>
              </w:rPr>
            </w:pPr>
            <w:r w:rsidRPr="00DA7E4C">
              <w:rPr>
                <w:rFonts w:eastAsia="Times New Roman" w:cs="Times New Roman"/>
                <w:b/>
                <w:color w:val="000000"/>
                <w:sz w:val="18"/>
                <w:szCs w:val="18"/>
              </w:rPr>
              <w:t>0.034</w:t>
            </w:r>
          </w:p>
        </w:tc>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b/>
                <w:color w:val="000000"/>
                <w:sz w:val="18"/>
                <w:szCs w:val="18"/>
              </w:rPr>
            </w:pPr>
            <w:r w:rsidRPr="00DA7E4C">
              <w:rPr>
                <w:rFonts w:eastAsia="Times New Roman" w:cs="Times New Roman"/>
                <w:b/>
                <w:color w:val="000000"/>
                <w:sz w:val="18"/>
                <w:szCs w:val="18"/>
              </w:rPr>
              <w:t>0.397</w:t>
            </w:r>
          </w:p>
        </w:tc>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b/>
                <w:color w:val="000000"/>
                <w:sz w:val="18"/>
                <w:szCs w:val="18"/>
              </w:rPr>
            </w:pPr>
            <w:r w:rsidRPr="00DA7E4C">
              <w:rPr>
                <w:rFonts w:eastAsia="Times New Roman" w:cs="Times New Roman"/>
                <w:b/>
                <w:color w:val="000000"/>
                <w:sz w:val="18"/>
                <w:szCs w:val="18"/>
              </w:rPr>
              <w:t>0.001</w:t>
            </w:r>
          </w:p>
        </w:tc>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b/>
                <w:color w:val="000000"/>
                <w:sz w:val="18"/>
                <w:szCs w:val="18"/>
              </w:rPr>
            </w:pPr>
            <w:r w:rsidRPr="00DA7E4C">
              <w:rPr>
                <w:rFonts w:eastAsia="Times New Roman" w:cs="Times New Roman"/>
                <w:b/>
                <w:color w:val="000000"/>
                <w:sz w:val="18"/>
                <w:szCs w:val="18"/>
              </w:rPr>
              <w:t>0.094</w:t>
            </w:r>
          </w:p>
        </w:tc>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b/>
                <w:color w:val="000000"/>
                <w:sz w:val="18"/>
                <w:szCs w:val="18"/>
              </w:rPr>
            </w:pPr>
            <w:r w:rsidRPr="00DA7E4C">
              <w:rPr>
                <w:rFonts w:eastAsia="Times New Roman" w:cs="Times New Roman"/>
                <w:b/>
                <w:color w:val="000000"/>
                <w:sz w:val="18"/>
                <w:szCs w:val="18"/>
              </w:rPr>
              <w:t>0.000</w:t>
            </w:r>
          </w:p>
        </w:tc>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b/>
                <w:color w:val="000000"/>
                <w:sz w:val="18"/>
                <w:szCs w:val="18"/>
              </w:rPr>
            </w:pPr>
            <w:r w:rsidRPr="00DA7E4C">
              <w:rPr>
                <w:rFonts w:eastAsia="Times New Roman" w:cs="Times New Roman"/>
                <w:b/>
                <w:color w:val="000000"/>
                <w:sz w:val="18"/>
                <w:szCs w:val="18"/>
              </w:rPr>
              <w:t>0.000</w:t>
            </w:r>
          </w:p>
        </w:tc>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b/>
                <w:color w:val="000000"/>
                <w:sz w:val="18"/>
                <w:szCs w:val="18"/>
              </w:rPr>
            </w:pPr>
          </w:p>
        </w:tc>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b/>
                <w:color w:val="000000"/>
                <w:sz w:val="18"/>
                <w:szCs w:val="18"/>
              </w:rPr>
            </w:pPr>
          </w:p>
        </w:tc>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b/>
                <w:color w:val="000000"/>
                <w:sz w:val="18"/>
                <w:szCs w:val="18"/>
              </w:rPr>
            </w:pPr>
          </w:p>
        </w:tc>
      </w:tr>
      <w:tr w:rsidR="000A22AE" w:rsidRPr="00DA7E4C" w:rsidTr="000A22AE">
        <w:trPr>
          <w:trHeight w:val="240"/>
        </w:trPr>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center"/>
              <w:rPr>
                <w:rFonts w:eastAsia="Times New Roman" w:cs="Times New Roman"/>
                <w:sz w:val="18"/>
                <w:szCs w:val="18"/>
              </w:rPr>
            </w:pPr>
            <w:r w:rsidRPr="00DA7E4C">
              <w:rPr>
                <w:rFonts w:eastAsia="Times New Roman" w:cs="Times New Roman"/>
                <w:sz w:val="18"/>
                <w:szCs w:val="18"/>
              </w:rPr>
              <w:t>2</w:t>
            </w:r>
          </w:p>
        </w:tc>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4.741</w:t>
            </w:r>
          </w:p>
        </w:tc>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0.024</w:t>
            </w:r>
          </w:p>
        </w:tc>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color w:val="000000"/>
                <w:sz w:val="18"/>
                <w:szCs w:val="18"/>
              </w:rPr>
            </w:pPr>
          </w:p>
        </w:tc>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color w:val="000000"/>
                <w:sz w:val="18"/>
                <w:szCs w:val="18"/>
              </w:rPr>
            </w:pPr>
          </w:p>
        </w:tc>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color w:val="000000"/>
                <w:sz w:val="18"/>
                <w:szCs w:val="18"/>
              </w:rPr>
            </w:pPr>
          </w:p>
        </w:tc>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0.907</w:t>
            </w:r>
          </w:p>
        </w:tc>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75.848</w:t>
            </w:r>
          </w:p>
        </w:tc>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0.808</w:t>
            </w:r>
          </w:p>
        </w:tc>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1.933</w:t>
            </w:r>
          </w:p>
        </w:tc>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5.157</w:t>
            </w:r>
          </w:p>
        </w:tc>
      </w:tr>
      <w:tr w:rsidR="000A22AE" w:rsidRPr="00DA7E4C" w:rsidTr="000A22AE">
        <w:trPr>
          <w:trHeight w:val="240"/>
        </w:trPr>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center"/>
              <w:rPr>
                <w:rFonts w:eastAsia="Times New Roman" w:cs="Times New Roman"/>
                <w:b/>
                <w:sz w:val="18"/>
                <w:szCs w:val="18"/>
              </w:rPr>
            </w:pPr>
          </w:p>
        </w:tc>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b/>
                <w:color w:val="000000"/>
                <w:sz w:val="18"/>
                <w:szCs w:val="18"/>
              </w:rPr>
            </w:pPr>
            <w:r w:rsidRPr="00DA7E4C">
              <w:rPr>
                <w:rFonts w:eastAsia="Times New Roman" w:cs="Times New Roman"/>
                <w:b/>
                <w:color w:val="000000"/>
                <w:sz w:val="18"/>
                <w:szCs w:val="18"/>
              </w:rPr>
              <w:t>0.384</w:t>
            </w:r>
          </w:p>
        </w:tc>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b/>
                <w:color w:val="000000"/>
                <w:sz w:val="18"/>
                <w:szCs w:val="18"/>
              </w:rPr>
            </w:pPr>
            <w:r w:rsidRPr="00DA7E4C">
              <w:rPr>
                <w:rFonts w:eastAsia="Times New Roman" w:cs="Times New Roman"/>
                <w:b/>
                <w:color w:val="000000"/>
                <w:sz w:val="18"/>
                <w:szCs w:val="18"/>
              </w:rPr>
              <w:t>0.225</w:t>
            </w:r>
          </w:p>
        </w:tc>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b/>
                <w:color w:val="000000"/>
                <w:sz w:val="18"/>
                <w:szCs w:val="18"/>
              </w:rPr>
            </w:pPr>
          </w:p>
        </w:tc>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b/>
                <w:color w:val="000000"/>
                <w:sz w:val="18"/>
                <w:szCs w:val="18"/>
              </w:rPr>
            </w:pPr>
          </w:p>
        </w:tc>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b/>
                <w:color w:val="000000"/>
                <w:sz w:val="18"/>
                <w:szCs w:val="18"/>
              </w:rPr>
            </w:pPr>
          </w:p>
        </w:tc>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b/>
                <w:color w:val="000000"/>
                <w:sz w:val="18"/>
                <w:szCs w:val="18"/>
              </w:rPr>
            </w:pPr>
            <w:r w:rsidRPr="00DA7E4C">
              <w:rPr>
                <w:rFonts w:eastAsia="Times New Roman" w:cs="Times New Roman"/>
                <w:b/>
                <w:color w:val="000000"/>
                <w:sz w:val="18"/>
                <w:szCs w:val="18"/>
              </w:rPr>
              <w:t>0.000</w:t>
            </w:r>
          </w:p>
        </w:tc>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b/>
                <w:color w:val="000000"/>
                <w:sz w:val="18"/>
                <w:szCs w:val="18"/>
              </w:rPr>
            </w:pPr>
            <w:r w:rsidRPr="00DA7E4C">
              <w:rPr>
                <w:rFonts w:eastAsia="Times New Roman" w:cs="Times New Roman"/>
                <w:b/>
                <w:color w:val="000000"/>
                <w:sz w:val="18"/>
                <w:szCs w:val="18"/>
              </w:rPr>
              <w:t>0.000</w:t>
            </w:r>
          </w:p>
        </w:tc>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b/>
                <w:color w:val="000000"/>
                <w:sz w:val="18"/>
                <w:szCs w:val="18"/>
              </w:rPr>
            </w:pPr>
          </w:p>
        </w:tc>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b/>
                <w:color w:val="000000"/>
                <w:sz w:val="18"/>
                <w:szCs w:val="18"/>
              </w:rPr>
            </w:pPr>
          </w:p>
        </w:tc>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b/>
                <w:color w:val="000000"/>
                <w:sz w:val="18"/>
                <w:szCs w:val="18"/>
              </w:rPr>
            </w:pPr>
          </w:p>
        </w:tc>
      </w:tr>
      <w:tr w:rsidR="000A22AE" w:rsidRPr="00DA7E4C" w:rsidTr="000A22AE">
        <w:trPr>
          <w:trHeight w:val="240"/>
        </w:trPr>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center"/>
              <w:rPr>
                <w:rFonts w:eastAsia="Times New Roman" w:cs="Times New Roman"/>
                <w:sz w:val="18"/>
                <w:szCs w:val="18"/>
              </w:rPr>
            </w:pPr>
            <w:r w:rsidRPr="00DA7E4C">
              <w:rPr>
                <w:rFonts w:eastAsia="Times New Roman" w:cs="Times New Roman"/>
                <w:sz w:val="18"/>
                <w:szCs w:val="18"/>
              </w:rPr>
              <w:t>3</w:t>
            </w:r>
          </w:p>
        </w:tc>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3.792</w:t>
            </w:r>
          </w:p>
        </w:tc>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color w:val="000000"/>
                <w:sz w:val="18"/>
                <w:szCs w:val="18"/>
              </w:rPr>
            </w:pPr>
          </w:p>
        </w:tc>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-0.010</w:t>
            </w:r>
          </w:p>
        </w:tc>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color w:val="000000"/>
                <w:sz w:val="18"/>
                <w:szCs w:val="18"/>
              </w:rPr>
            </w:pPr>
          </w:p>
        </w:tc>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color w:val="000000"/>
                <w:sz w:val="18"/>
                <w:szCs w:val="18"/>
              </w:rPr>
            </w:pPr>
          </w:p>
        </w:tc>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0.908</w:t>
            </w:r>
          </w:p>
        </w:tc>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74.203</w:t>
            </w:r>
          </w:p>
        </w:tc>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0.809</w:t>
            </w:r>
          </w:p>
        </w:tc>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1.827</w:t>
            </w:r>
          </w:p>
        </w:tc>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5.180</w:t>
            </w:r>
          </w:p>
        </w:tc>
      </w:tr>
      <w:tr w:rsidR="000A22AE" w:rsidRPr="00DA7E4C" w:rsidTr="000A22AE">
        <w:trPr>
          <w:trHeight w:val="240"/>
        </w:trPr>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center"/>
              <w:rPr>
                <w:rFonts w:eastAsia="Times New Roman" w:cs="Times New Roman"/>
                <w:b/>
                <w:sz w:val="18"/>
                <w:szCs w:val="18"/>
              </w:rPr>
            </w:pPr>
          </w:p>
        </w:tc>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b/>
                <w:color w:val="000000"/>
                <w:sz w:val="18"/>
                <w:szCs w:val="18"/>
              </w:rPr>
            </w:pPr>
            <w:r w:rsidRPr="00DA7E4C">
              <w:rPr>
                <w:rFonts w:eastAsia="Times New Roman" w:cs="Times New Roman"/>
                <w:b/>
                <w:color w:val="000000"/>
                <w:sz w:val="18"/>
                <w:szCs w:val="18"/>
              </w:rPr>
              <w:t>0.517</w:t>
            </w:r>
          </w:p>
        </w:tc>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b/>
                <w:color w:val="000000"/>
                <w:sz w:val="18"/>
                <w:szCs w:val="18"/>
              </w:rPr>
            </w:pPr>
          </w:p>
        </w:tc>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b/>
                <w:color w:val="000000"/>
                <w:sz w:val="18"/>
                <w:szCs w:val="18"/>
              </w:rPr>
            </w:pPr>
            <w:r w:rsidRPr="00DA7E4C">
              <w:rPr>
                <w:rFonts w:eastAsia="Times New Roman" w:cs="Times New Roman"/>
                <w:b/>
                <w:color w:val="000000"/>
                <w:sz w:val="18"/>
                <w:szCs w:val="18"/>
              </w:rPr>
              <w:t>0.602</w:t>
            </w:r>
          </w:p>
        </w:tc>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b/>
                <w:color w:val="000000"/>
                <w:sz w:val="18"/>
                <w:szCs w:val="18"/>
              </w:rPr>
            </w:pPr>
          </w:p>
        </w:tc>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b/>
                <w:color w:val="000000"/>
                <w:sz w:val="18"/>
                <w:szCs w:val="18"/>
              </w:rPr>
            </w:pPr>
          </w:p>
        </w:tc>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b/>
                <w:color w:val="000000"/>
                <w:sz w:val="18"/>
                <w:szCs w:val="18"/>
              </w:rPr>
            </w:pPr>
            <w:r w:rsidRPr="00DA7E4C">
              <w:rPr>
                <w:rFonts w:eastAsia="Times New Roman" w:cs="Times New Roman"/>
                <w:b/>
                <w:color w:val="000000"/>
                <w:sz w:val="18"/>
                <w:szCs w:val="18"/>
              </w:rPr>
              <w:t>0.000</w:t>
            </w:r>
          </w:p>
        </w:tc>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b/>
                <w:color w:val="000000"/>
                <w:sz w:val="18"/>
                <w:szCs w:val="18"/>
              </w:rPr>
            </w:pPr>
            <w:r w:rsidRPr="00DA7E4C">
              <w:rPr>
                <w:rFonts w:eastAsia="Times New Roman" w:cs="Times New Roman"/>
                <w:b/>
                <w:color w:val="000000"/>
                <w:sz w:val="18"/>
                <w:szCs w:val="18"/>
              </w:rPr>
              <w:t>0.000</w:t>
            </w:r>
          </w:p>
        </w:tc>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b/>
                <w:color w:val="000000"/>
                <w:sz w:val="18"/>
                <w:szCs w:val="18"/>
              </w:rPr>
            </w:pPr>
          </w:p>
        </w:tc>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b/>
                <w:color w:val="000000"/>
                <w:sz w:val="18"/>
                <w:szCs w:val="18"/>
              </w:rPr>
            </w:pPr>
          </w:p>
        </w:tc>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b/>
                <w:color w:val="000000"/>
                <w:sz w:val="18"/>
                <w:szCs w:val="18"/>
              </w:rPr>
            </w:pPr>
          </w:p>
        </w:tc>
      </w:tr>
      <w:tr w:rsidR="000A22AE" w:rsidRPr="00DA7E4C" w:rsidTr="000A22AE">
        <w:trPr>
          <w:trHeight w:val="240"/>
        </w:trPr>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center"/>
              <w:rPr>
                <w:rFonts w:eastAsia="Times New Roman" w:cs="Times New Roman"/>
                <w:sz w:val="18"/>
                <w:szCs w:val="18"/>
              </w:rPr>
            </w:pPr>
            <w:r w:rsidRPr="00DA7E4C">
              <w:rPr>
                <w:rFonts w:eastAsia="Times New Roman" w:cs="Times New Roman"/>
                <w:sz w:val="18"/>
                <w:szCs w:val="18"/>
              </w:rPr>
              <w:t>4</w:t>
            </w:r>
          </w:p>
        </w:tc>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2.989</w:t>
            </w:r>
          </w:p>
        </w:tc>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color w:val="000000"/>
                <w:sz w:val="18"/>
                <w:szCs w:val="18"/>
              </w:rPr>
            </w:pPr>
          </w:p>
        </w:tc>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color w:val="000000"/>
                <w:sz w:val="18"/>
                <w:szCs w:val="18"/>
              </w:rPr>
            </w:pPr>
          </w:p>
        </w:tc>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0.050</w:t>
            </w:r>
          </w:p>
        </w:tc>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color w:val="000000"/>
                <w:sz w:val="18"/>
                <w:szCs w:val="18"/>
              </w:rPr>
            </w:pPr>
          </w:p>
        </w:tc>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0.926</w:t>
            </w:r>
          </w:p>
        </w:tc>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90.499</w:t>
            </w:r>
          </w:p>
        </w:tc>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0.842</w:t>
            </w:r>
          </w:p>
        </w:tc>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1.481</w:t>
            </w:r>
          </w:p>
        </w:tc>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5.021</w:t>
            </w:r>
          </w:p>
        </w:tc>
      </w:tr>
      <w:tr w:rsidR="000A22AE" w:rsidRPr="00DA7E4C" w:rsidTr="000A22AE">
        <w:trPr>
          <w:trHeight w:val="240"/>
        </w:trPr>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center"/>
              <w:rPr>
                <w:rFonts w:eastAsia="Times New Roman" w:cs="Times New Roman"/>
                <w:b/>
                <w:sz w:val="18"/>
                <w:szCs w:val="18"/>
              </w:rPr>
            </w:pPr>
          </w:p>
        </w:tc>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b/>
                <w:color w:val="000000"/>
                <w:sz w:val="18"/>
                <w:szCs w:val="18"/>
              </w:rPr>
            </w:pPr>
            <w:r w:rsidRPr="00DA7E4C">
              <w:rPr>
                <w:rFonts w:eastAsia="Times New Roman" w:cs="Times New Roman"/>
                <w:b/>
                <w:color w:val="000000"/>
                <w:sz w:val="18"/>
                <w:szCs w:val="18"/>
              </w:rPr>
              <w:t>0.668</w:t>
            </w:r>
          </w:p>
        </w:tc>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b/>
                <w:color w:val="000000"/>
                <w:sz w:val="18"/>
                <w:szCs w:val="18"/>
              </w:rPr>
            </w:pPr>
          </w:p>
        </w:tc>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b/>
                <w:color w:val="000000"/>
                <w:sz w:val="18"/>
                <w:szCs w:val="18"/>
              </w:rPr>
            </w:pPr>
          </w:p>
        </w:tc>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b/>
                <w:color w:val="000000"/>
                <w:sz w:val="18"/>
                <w:szCs w:val="18"/>
              </w:rPr>
            </w:pPr>
            <w:r w:rsidRPr="00DA7E4C">
              <w:rPr>
                <w:rFonts w:eastAsia="Times New Roman" w:cs="Times New Roman"/>
                <w:b/>
                <w:color w:val="000000"/>
                <w:sz w:val="18"/>
                <w:szCs w:val="18"/>
              </w:rPr>
              <w:t>0.010</w:t>
            </w:r>
          </w:p>
        </w:tc>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b/>
                <w:color w:val="000000"/>
                <w:sz w:val="18"/>
                <w:szCs w:val="18"/>
              </w:rPr>
            </w:pPr>
          </w:p>
        </w:tc>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b/>
                <w:color w:val="000000"/>
                <w:sz w:val="18"/>
                <w:szCs w:val="18"/>
              </w:rPr>
            </w:pPr>
            <w:r w:rsidRPr="00DA7E4C">
              <w:rPr>
                <w:rFonts w:eastAsia="Times New Roman" w:cs="Times New Roman"/>
                <w:b/>
                <w:color w:val="000000"/>
                <w:sz w:val="18"/>
                <w:szCs w:val="18"/>
              </w:rPr>
              <w:t>0.000</w:t>
            </w:r>
          </w:p>
        </w:tc>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b/>
                <w:color w:val="000000"/>
                <w:sz w:val="18"/>
                <w:szCs w:val="18"/>
              </w:rPr>
            </w:pPr>
          </w:p>
        </w:tc>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b/>
                <w:color w:val="000000"/>
                <w:sz w:val="18"/>
                <w:szCs w:val="18"/>
              </w:rPr>
            </w:pPr>
          </w:p>
        </w:tc>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b/>
                <w:color w:val="000000"/>
                <w:sz w:val="18"/>
                <w:szCs w:val="18"/>
              </w:rPr>
            </w:pPr>
          </w:p>
        </w:tc>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b/>
                <w:color w:val="000000"/>
                <w:sz w:val="18"/>
                <w:szCs w:val="18"/>
              </w:rPr>
            </w:pPr>
          </w:p>
        </w:tc>
      </w:tr>
      <w:tr w:rsidR="000A22AE" w:rsidRPr="00DA7E4C" w:rsidTr="000A22AE">
        <w:trPr>
          <w:trHeight w:val="240"/>
        </w:trPr>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center"/>
              <w:rPr>
                <w:rFonts w:eastAsia="Times New Roman" w:cs="Times New Roman"/>
                <w:sz w:val="18"/>
                <w:szCs w:val="18"/>
              </w:rPr>
            </w:pPr>
            <w:r w:rsidRPr="00DA7E4C">
              <w:rPr>
                <w:rFonts w:eastAsia="Times New Roman" w:cs="Times New Roman"/>
                <w:sz w:val="18"/>
                <w:szCs w:val="18"/>
              </w:rPr>
              <w:t>5</w:t>
            </w:r>
          </w:p>
        </w:tc>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3.882</w:t>
            </w:r>
          </w:p>
        </w:tc>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color w:val="000000"/>
                <w:sz w:val="18"/>
                <w:szCs w:val="18"/>
              </w:rPr>
            </w:pPr>
          </w:p>
        </w:tc>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color w:val="000000"/>
                <w:sz w:val="18"/>
                <w:szCs w:val="18"/>
              </w:rPr>
            </w:pPr>
          </w:p>
        </w:tc>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color w:val="000000"/>
                <w:sz w:val="18"/>
                <w:szCs w:val="18"/>
              </w:rPr>
            </w:pPr>
          </w:p>
        </w:tc>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-0.034</w:t>
            </w:r>
          </w:p>
        </w:tc>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0.913</w:t>
            </w:r>
          </w:p>
        </w:tc>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75.323</w:t>
            </w:r>
          </w:p>
        </w:tc>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0.820</w:t>
            </w:r>
          </w:p>
        </w:tc>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1.693</w:t>
            </w:r>
          </w:p>
        </w:tc>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5.180</w:t>
            </w:r>
          </w:p>
        </w:tc>
      </w:tr>
      <w:tr w:rsidR="000A22AE" w:rsidRPr="00DA7E4C" w:rsidTr="000A22AE">
        <w:trPr>
          <w:trHeight w:val="240"/>
        </w:trPr>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center"/>
              <w:rPr>
                <w:rFonts w:eastAsia="Times New Roman" w:cs="Times New Roman"/>
                <w:b/>
                <w:sz w:val="18"/>
                <w:szCs w:val="18"/>
              </w:rPr>
            </w:pPr>
          </w:p>
        </w:tc>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b/>
                <w:color w:val="000000"/>
                <w:sz w:val="18"/>
                <w:szCs w:val="18"/>
              </w:rPr>
            </w:pPr>
            <w:r w:rsidRPr="00DA7E4C">
              <w:rPr>
                <w:rFonts w:eastAsia="Times New Roman" w:cs="Times New Roman"/>
                <w:b/>
                <w:color w:val="000000"/>
                <w:sz w:val="18"/>
                <w:szCs w:val="18"/>
              </w:rPr>
              <w:t>0.536</w:t>
            </w:r>
          </w:p>
        </w:tc>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b/>
                <w:color w:val="000000"/>
                <w:sz w:val="18"/>
                <w:szCs w:val="18"/>
              </w:rPr>
            </w:pPr>
          </w:p>
        </w:tc>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b/>
                <w:color w:val="000000"/>
                <w:sz w:val="18"/>
                <w:szCs w:val="18"/>
              </w:rPr>
            </w:pPr>
          </w:p>
        </w:tc>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b/>
                <w:color w:val="000000"/>
                <w:sz w:val="18"/>
                <w:szCs w:val="18"/>
              </w:rPr>
            </w:pPr>
          </w:p>
        </w:tc>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b/>
                <w:color w:val="000000"/>
                <w:sz w:val="18"/>
                <w:szCs w:val="18"/>
              </w:rPr>
            </w:pPr>
            <w:r w:rsidRPr="00DA7E4C">
              <w:rPr>
                <w:rFonts w:eastAsia="Times New Roman" w:cs="Times New Roman"/>
                <w:b/>
                <w:color w:val="000000"/>
                <w:sz w:val="18"/>
                <w:szCs w:val="18"/>
              </w:rPr>
              <w:t>0.132</w:t>
            </w:r>
          </w:p>
        </w:tc>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b/>
                <w:color w:val="000000"/>
                <w:sz w:val="18"/>
                <w:szCs w:val="18"/>
              </w:rPr>
            </w:pPr>
            <w:r w:rsidRPr="00DA7E4C">
              <w:rPr>
                <w:rFonts w:eastAsia="Times New Roman" w:cs="Times New Roman"/>
                <w:b/>
                <w:color w:val="000000"/>
                <w:sz w:val="18"/>
                <w:szCs w:val="18"/>
              </w:rPr>
              <w:t>0.000</w:t>
            </w:r>
          </w:p>
        </w:tc>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b/>
                <w:color w:val="000000"/>
                <w:sz w:val="18"/>
                <w:szCs w:val="18"/>
              </w:rPr>
            </w:pPr>
          </w:p>
        </w:tc>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b/>
                <w:color w:val="000000"/>
                <w:sz w:val="18"/>
                <w:szCs w:val="18"/>
              </w:rPr>
            </w:pPr>
          </w:p>
        </w:tc>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b/>
                <w:color w:val="000000"/>
                <w:sz w:val="18"/>
                <w:szCs w:val="18"/>
              </w:rPr>
            </w:pPr>
          </w:p>
        </w:tc>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b/>
                <w:color w:val="000000"/>
                <w:sz w:val="18"/>
                <w:szCs w:val="18"/>
              </w:rPr>
            </w:pPr>
          </w:p>
        </w:tc>
      </w:tr>
    </w:tbl>
    <w:p w:rsidR="000A22AE" w:rsidRPr="00762161" w:rsidRDefault="000A22AE" w:rsidP="000A22AE"/>
    <w:p w:rsidR="000A22AE" w:rsidRPr="00762161" w:rsidRDefault="000A22AE" w:rsidP="000A22AE"/>
    <w:p w:rsidR="000A22AE" w:rsidRPr="00762161" w:rsidRDefault="000A22AE" w:rsidP="000A22AE"/>
    <w:p w:rsidR="000A22AE" w:rsidRPr="00762161" w:rsidRDefault="000A22AE" w:rsidP="000A22AE"/>
    <w:p w:rsidR="000A22AE" w:rsidRPr="00762161" w:rsidRDefault="000A22AE" w:rsidP="000A22AE">
      <w:pPr>
        <w:pStyle w:val="Heading2"/>
      </w:pPr>
      <w:bookmarkStart w:id="374" w:name="_Toc286616351"/>
      <w:r w:rsidRPr="00762161">
        <w:t xml:space="preserve">Table 17: The Relationship between Inflation and </w:t>
      </w:r>
      <w:r w:rsidR="00627488">
        <w:t>Real Stock Price</w:t>
      </w:r>
      <w:r w:rsidRPr="00762161">
        <w:t>s (Yearly 1988-1997)</w:t>
      </w:r>
      <w:bookmarkEnd w:id="374"/>
    </w:p>
    <w:tbl>
      <w:tblPr>
        <w:tblW w:w="10560" w:type="dxa"/>
        <w:tblInd w:w="93" w:type="dxa"/>
        <w:tblLook w:val="04A0"/>
      </w:tblPr>
      <w:tblGrid>
        <w:gridCol w:w="960"/>
        <w:gridCol w:w="960"/>
        <w:gridCol w:w="960"/>
        <w:gridCol w:w="960"/>
        <w:gridCol w:w="960"/>
        <w:gridCol w:w="960"/>
        <w:gridCol w:w="960"/>
        <w:gridCol w:w="960"/>
        <w:gridCol w:w="960"/>
        <w:gridCol w:w="960"/>
        <w:gridCol w:w="960"/>
      </w:tblGrid>
      <w:tr w:rsidR="000A22AE" w:rsidRPr="00DA7E4C" w:rsidTr="000A22AE">
        <w:trPr>
          <w:trHeight w:val="240"/>
        </w:trPr>
        <w:tc>
          <w:tcPr>
            <w:tcW w:w="1920" w:type="dxa"/>
            <w:gridSpan w:val="2"/>
            <w:tcBorders>
              <w:top w:val="single" w:sz="8" w:space="0" w:color="auto"/>
              <w:left w:val="single" w:sz="8" w:space="0" w:color="auto"/>
              <w:bottom w:val="single" w:sz="8" w:space="0" w:color="auto"/>
              <w:right w:val="nil"/>
            </w:tcBorders>
            <w:shd w:val="clear" w:color="auto" w:fill="auto"/>
            <w:noWrap/>
            <w:vAlign w:val="bottom"/>
            <w:hideMark/>
          </w:tcPr>
          <w:p w:rsidR="000A22AE" w:rsidRPr="00DA7E4C" w:rsidRDefault="000A22AE" w:rsidP="000A22AE">
            <w:pPr>
              <w:spacing w:before="0" w:after="0" w:line="240" w:lineRule="auto"/>
              <w:jc w:val="center"/>
              <w:rPr>
                <w:rFonts w:eastAsia="Times New Roman" w:cs="Times New Roman"/>
                <w:sz w:val="18"/>
                <w:szCs w:val="18"/>
              </w:rPr>
            </w:pPr>
            <w:r w:rsidRPr="00DA7E4C">
              <w:rPr>
                <w:rFonts w:eastAsia="Times New Roman" w:cs="Times New Roman"/>
                <w:sz w:val="18"/>
                <w:szCs w:val="18"/>
              </w:rPr>
              <w:t>Sample</w:t>
            </w:r>
          </w:p>
          <w:p w:rsidR="000A22AE" w:rsidRPr="00DA7E4C" w:rsidRDefault="000A22AE" w:rsidP="000A22AE">
            <w:pPr>
              <w:spacing w:before="0" w:after="0" w:line="240" w:lineRule="auto"/>
              <w:jc w:val="center"/>
              <w:rPr>
                <w:rFonts w:eastAsia="Times New Roman" w:cs="Times New Roman"/>
                <w:sz w:val="18"/>
                <w:szCs w:val="18"/>
              </w:rPr>
            </w:pPr>
            <w:r w:rsidRPr="00DA7E4C">
              <w:rPr>
                <w:rFonts w:eastAsia="Times New Roman" w:cs="Times New Roman"/>
                <w:sz w:val="18"/>
                <w:szCs w:val="18"/>
              </w:rPr>
              <w:t>1988-1997</w:t>
            </w:r>
          </w:p>
        </w:tc>
        <w:tc>
          <w:tcPr>
            <w:tcW w:w="3840" w:type="dxa"/>
            <w:gridSpan w:val="4"/>
            <w:tcBorders>
              <w:top w:val="single" w:sz="8" w:space="0" w:color="auto"/>
              <w:left w:val="single" w:sz="8" w:space="0" w:color="auto"/>
              <w:bottom w:val="nil"/>
              <w:right w:val="single" w:sz="8" w:space="0" w:color="000000"/>
            </w:tcBorders>
            <w:shd w:val="clear" w:color="auto" w:fill="auto"/>
            <w:vAlign w:val="bottom"/>
            <w:hideMark/>
          </w:tcPr>
          <w:p w:rsidR="000A22AE" w:rsidRPr="00DA7E4C" w:rsidRDefault="000A22AE" w:rsidP="000A22AE">
            <w:pPr>
              <w:spacing w:before="0" w:after="0" w:line="240" w:lineRule="auto"/>
              <w:jc w:val="center"/>
              <w:rPr>
                <w:rFonts w:eastAsia="Times New Roman" w:cs="Times New Roman"/>
                <w:color w:val="000000"/>
                <w:sz w:val="18"/>
                <w:szCs w:val="18"/>
              </w:rPr>
            </w:pPr>
            <w:r w:rsidRPr="00DA7E4C">
              <w:rPr>
                <w:rFonts w:eastAsia="Times New Roman" w:cs="Times New Roman"/>
                <w:color w:val="000000"/>
                <w:sz w:val="18"/>
                <w:szCs w:val="18"/>
              </w:rPr>
              <w:t xml:space="preserve">Real Stock </w:t>
            </w:r>
          </w:p>
        </w:tc>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color w:val="000000"/>
                <w:sz w:val="18"/>
                <w:szCs w:val="18"/>
              </w:rPr>
            </w:pPr>
          </w:p>
        </w:tc>
        <w:tc>
          <w:tcPr>
            <w:tcW w:w="960" w:type="dxa"/>
            <w:tcBorders>
              <w:top w:val="nil"/>
              <w:left w:val="nil"/>
              <w:bottom w:val="nil"/>
              <w:right w:val="single" w:sz="4" w:space="0" w:color="auto"/>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color w:val="000000"/>
                <w:sz w:val="18"/>
                <w:szCs w:val="18"/>
              </w:rPr>
            </w:pPr>
          </w:p>
        </w:tc>
        <w:tc>
          <w:tcPr>
            <w:tcW w:w="960"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A22AE" w:rsidRPr="00DA7E4C" w:rsidRDefault="000A22AE" w:rsidP="000A22AE">
            <w:pPr>
              <w:spacing w:before="0" w:after="0" w:line="240" w:lineRule="auto"/>
              <w:jc w:val="center"/>
              <w:rPr>
                <w:rFonts w:eastAsia="Times New Roman" w:cs="Times New Roman"/>
                <w:sz w:val="18"/>
                <w:szCs w:val="18"/>
              </w:rPr>
            </w:pPr>
            <w:r w:rsidRPr="00DA7E4C">
              <w:rPr>
                <w:rFonts w:eastAsia="Times New Roman" w:cs="Times New Roman"/>
                <w:sz w:val="18"/>
                <w:szCs w:val="18"/>
              </w:rPr>
              <w:t>Adjusted</w:t>
            </w:r>
          </w:p>
          <w:p w:rsidR="000A22AE" w:rsidRPr="00DA7E4C" w:rsidRDefault="000A22AE" w:rsidP="000A22AE">
            <w:pPr>
              <w:spacing w:before="0" w:after="0" w:line="240" w:lineRule="auto"/>
              <w:jc w:val="center"/>
              <w:rPr>
                <w:rFonts w:eastAsia="Times New Roman" w:cs="Times New Roman"/>
                <w:color w:val="000000"/>
                <w:sz w:val="18"/>
                <w:szCs w:val="18"/>
              </w:rPr>
            </w:pPr>
            <w:r w:rsidRPr="00DA7E4C">
              <w:rPr>
                <w:rFonts w:eastAsia="Times New Roman" w:cs="Times New Roman"/>
                <w:sz w:val="18"/>
                <w:szCs w:val="18"/>
              </w:rPr>
              <w:t>R-square</w:t>
            </w:r>
          </w:p>
        </w:tc>
        <w:tc>
          <w:tcPr>
            <w:tcW w:w="960" w:type="dxa"/>
            <w:tcBorders>
              <w:top w:val="nil"/>
              <w:left w:val="single" w:sz="4" w:space="0" w:color="auto"/>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color w:val="000000"/>
                <w:sz w:val="18"/>
                <w:szCs w:val="18"/>
              </w:rPr>
            </w:pPr>
          </w:p>
        </w:tc>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color w:val="000000"/>
                <w:sz w:val="18"/>
                <w:szCs w:val="18"/>
              </w:rPr>
            </w:pPr>
          </w:p>
        </w:tc>
      </w:tr>
      <w:tr w:rsidR="000A22AE" w:rsidRPr="00DA7E4C" w:rsidTr="000A22AE">
        <w:trPr>
          <w:trHeight w:val="255"/>
        </w:trPr>
        <w:tc>
          <w:tcPr>
            <w:tcW w:w="960" w:type="dxa"/>
            <w:tcBorders>
              <w:top w:val="nil"/>
              <w:left w:val="single" w:sz="8" w:space="0" w:color="auto"/>
              <w:bottom w:val="single" w:sz="8" w:space="0" w:color="auto"/>
              <w:right w:val="single" w:sz="8" w:space="0" w:color="auto"/>
            </w:tcBorders>
            <w:shd w:val="clear" w:color="auto" w:fill="auto"/>
            <w:noWrap/>
            <w:vAlign w:val="center"/>
            <w:hideMark/>
          </w:tcPr>
          <w:p w:rsidR="000A22AE" w:rsidRPr="00DA7E4C" w:rsidRDefault="000A22AE" w:rsidP="000A22AE">
            <w:pPr>
              <w:spacing w:before="0" w:after="0" w:line="240" w:lineRule="auto"/>
              <w:jc w:val="center"/>
              <w:rPr>
                <w:rFonts w:eastAsia="Times New Roman" w:cs="Times New Roman"/>
                <w:sz w:val="18"/>
                <w:szCs w:val="18"/>
              </w:rPr>
            </w:pPr>
            <w:r w:rsidRPr="00DA7E4C">
              <w:rPr>
                <w:rFonts w:eastAsia="Times New Roman" w:cs="Times New Roman"/>
                <w:sz w:val="18"/>
                <w:szCs w:val="18"/>
              </w:rPr>
              <w:t>No</w:t>
            </w:r>
          </w:p>
        </w:tc>
        <w:tc>
          <w:tcPr>
            <w:tcW w:w="960" w:type="dxa"/>
            <w:tcBorders>
              <w:top w:val="single" w:sz="8" w:space="0" w:color="auto"/>
              <w:left w:val="nil"/>
              <w:bottom w:val="single" w:sz="8" w:space="0" w:color="auto"/>
              <w:right w:val="single" w:sz="8" w:space="0" w:color="auto"/>
            </w:tcBorders>
            <w:shd w:val="clear" w:color="auto" w:fill="auto"/>
            <w:noWrap/>
            <w:vAlign w:val="center"/>
            <w:hideMark/>
          </w:tcPr>
          <w:p w:rsidR="000A22AE" w:rsidRPr="00DA7E4C" w:rsidRDefault="000A22AE" w:rsidP="000A22AE">
            <w:pPr>
              <w:spacing w:before="0" w:after="0" w:line="240" w:lineRule="auto"/>
              <w:jc w:val="center"/>
              <w:rPr>
                <w:rFonts w:eastAsia="Times New Roman" w:cs="Times New Roman"/>
                <w:sz w:val="18"/>
                <w:szCs w:val="18"/>
              </w:rPr>
            </w:pPr>
            <w:r w:rsidRPr="00DA7E4C">
              <w:rPr>
                <w:rFonts w:eastAsia="Times New Roman" w:cs="Times New Roman"/>
                <w:sz w:val="18"/>
                <w:szCs w:val="18"/>
              </w:rPr>
              <w:t>Intercept</w:t>
            </w:r>
          </w:p>
        </w:tc>
        <w:tc>
          <w:tcPr>
            <w:tcW w:w="960" w:type="dxa"/>
            <w:tcBorders>
              <w:top w:val="nil"/>
              <w:left w:val="nil"/>
              <w:bottom w:val="single" w:sz="8" w:space="0" w:color="auto"/>
              <w:right w:val="single" w:sz="8" w:space="0" w:color="auto"/>
            </w:tcBorders>
            <w:shd w:val="clear" w:color="auto" w:fill="auto"/>
            <w:vAlign w:val="center"/>
            <w:hideMark/>
          </w:tcPr>
          <w:p w:rsidR="000A22AE" w:rsidRPr="00DA7E4C" w:rsidRDefault="000A22AE" w:rsidP="000A22AE">
            <w:pPr>
              <w:spacing w:before="0" w:after="0" w:line="240" w:lineRule="auto"/>
              <w:jc w:val="center"/>
              <w:rPr>
                <w:rFonts w:eastAsia="Times New Roman" w:cs="Times New Roman"/>
                <w:sz w:val="18"/>
                <w:szCs w:val="18"/>
              </w:rPr>
            </w:pPr>
            <w:r w:rsidRPr="00DA7E4C">
              <w:rPr>
                <w:rFonts w:eastAsia="Times New Roman" w:cs="Times New Roman"/>
                <w:sz w:val="18"/>
                <w:szCs w:val="18"/>
              </w:rPr>
              <w:t>t</w:t>
            </w:r>
          </w:p>
        </w:tc>
        <w:tc>
          <w:tcPr>
            <w:tcW w:w="960" w:type="dxa"/>
            <w:tcBorders>
              <w:top w:val="nil"/>
              <w:left w:val="nil"/>
              <w:bottom w:val="single" w:sz="8" w:space="0" w:color="auto"/>
              <w:right w:val="single" w:sz="8" w:space="0" w:color="auto"/>
            </w:tcBorders>
            <w:shd w:val="clear" w:color="auto" w:fill="auto"/>
            <w:vAlign w:val="center"/>
            <w:hideMark/>
          </w:tcPr>
          <w:p w:rsidR="000A22AE" w:rsidRPr="00DA7E4C" w:rsidRDefault="000A22AE" w:rsidP="000A22AE">
            <w:pPr>
              <w:spacing w:before="0" w:after="0" w:line="240" w:lineRule="auto"/>
              <w:jc w:val="center"/>
              <w:rPr>
                <w:rFonts w:eastAsia="Times New Roman" w:cs="Times New Roman"/>
                <w:sz w:val="18"/>
                <w:szCs w:val="18"/>
              </w:rPr>
            </w:pPr>
            <w:r w:rsidRPr="00DA7E4C">
              <w:rPr>
                <w:rFonts w:eastAsia="Times New Roman" w:cs="Times New Roman"/>
                <w:sz w:val="18"/>
                <w:szCs w:val="18"/>
              </w:rPr>
              <w:t>t-1</w:t>
            </w:r>
          </w:p>
        </w:tc>
        <w:tc>
          <w:tcPr>
            <w:tcW w:w="960" w:type="dxa"/>
            <w:tcBorders>
              <w:top w:val="nil"/>
              <w:left w:val="nil"/>
              <w:bottom w:val="single" w:sz="8" w:space="0" w:color="auto"/>
              <w:right w:val="single" w:sz="8" w:space="0" w:color="auto"/>
            </w:tcBorders>
            <w:shd w:val="clear" w:color="auto" w:fill="auto"/>
            <w:vAlign w:val="center"/>
            <w:hideMark/>
          </w:tcPr>
          <w:p w:rsidR="000A22AE" w:rsidRPr="00DA7E4C" w:rsidRDefault="000A22AE" w:rsidP="000A22AE">
            <w:pPr>
              <w:spacing w:before="0" w:after="0" w:line="240" w:lineRule="auto"/>
              <w:jc w:val="center"/>
              <w:rPr>
                <w:rFonts w:eastAsia="Times New Roman" w:cs="Times New Roman"/>
                <w:sz w:val="18"/>
                <w:szCs w:val="18"/>
              </w:rPr>
            </w:pPr>
            <w:r w:rsidRPr="00DA7E4C">
              <w:rPr>
                <w:rFonts w:eastAsia="Times New Roman" w:cs="Times New Roman"/>
                <w:sz w:val="18"/>
                <w:szCs w:val="18"/>
              </w:rPr>
              <w:t>t-2</w:t>
            </w:r>
          </w:p>
        </w:tc>
        <w:tc>
          <w:tcPr>
            <w:tcW w:w="960" w:type="dxa"/>
            <w:tcBorders>
              <w:top w:val="nil"/>
              <w:left w:val="nil"/>
              <w:bottom w:val="single" w:sz="8" w:space="0" w:color="auto"/>
              <w:right w:val="single" w:sz="8" w:space="0" w:color="auto"/>
            </w:tcBorders>
            <w:shd w:val="clear" w:color="auto" w:fill="auto"/>
            <w:vAlign w:val="center"/>
            <w:hideMark/>
          </w:tcPr>
          <w:p w:rsidR="000A22AE" w:rsidRPr="00DA7E4C" w:rsidRDefault="000A22AE" w:rsidP="000A22AE">
            <w:pPr>
              <w:spacing w:before="0" w:after="0" w:line="240" w:lineRule="auto"/>
              <w:jc w:val="center"/>
              <w:rPr>
                <w:rFonts w:eastAsia="Times New Roman" w:cs="Times New Roman"/>
                <w:sz w:val="18"/>
                <w:szCs w:val="18"/>
              </w:rPr>
            </w:pPr>
            <w:r w:rsidRPr="00DA7E4C">
              <w:rPr>
                <w:rFonts w:eastAsia="Times New Roman" w:cs="Times New Roman"/>
                <w:sz w:val="18"/>
                <w:szCs w:val="18"/>
              </w:rPr>
              <w:t>t-3</w:t>
            </w:r>
          </w:p>
        </w:tc>
        <w:tc>
          <w:tcPr>
            <w:tcW w:w="960" w:type="dxa"/>
            <w:tcBorders>
              <w:top w:val="single" w:sz="8" w:space="0" w:color="auto"/>
              <w:left w:val="nil"/>
              <w:bottom w:val="single" w:sz="8" w:space="0" w:color="auto"/>
              <w:right w:val="single" w:sz="8" w:space="0" w:color="auto"/>
            </w:tcBorders>
            <w:shd w:val="clear" w:color="auto" w:fill="auto"/>
            <w:vAlign w:val="center"/>
            <w:hideMark/>
          </w:tcPr>
          <w:p w:rsidR="000A22AE" w:rsidRPr="00DA7E4C" w:rsidRDefault="000A22AE" w:rsidP="000A22AE">
            <w:pPr>
              <w:spacing w:before="0" w:after="0" w:line="240" w:lineRule="auto"/>
              <w:jc w:val="center"/>
              <w:rPr>
                <w:rFonts w:eastAsia="Times New Roman" w:cs="Times New Roman"/>
                <w:sz w:val="18"/>
                <w:szCs w:val="18"/>
              </w:rPr>
            </w:pPr>
            <w:r w:rsidRPr="00DA7E4C">
              <w:rPr>
                <w:rFonts w:eastAsia="Times New Roman" w:cs="Times New Roman"/>
                <w:sz w:val="18"/>
                <w:szCs w:val="18"/>
              </w:rPr>
              <w:t>AR</w:t>
            </w:r>
          </w:p>
        </w:tc>
        <w:tc>
          <w:tcPr>
            <w:tcW w:w="960" w:type="dxa"/>
            <w:tcBorders>
              <w:top w:val="single" w:sz="8" w:space="0" w:color="auto"/>
              <w:left w:val="nil"/>
              <w:bottom w:val="single" w:sz="8" w:space="0" w:color="auto"/>
              <w:right w:val="single" w:sz="4" w:space="0" w:color="auto"/>
            </w:tcBorders>
            <w:shd w:val="clear" w:color="auto" w:fill="auto"/>
            <w:noWrap/>
            <w:vAlign w:val="center"/>
            <w:hideMark/>
          </w:tcPr>
          <w:p w:rsidR="000A22AE" w:rsidRPr="00DA7E4C" w:rsidRDefault="000A22AE" w:rsidP="000A22AE">
            <w:pPr>
              <w:spacing w:before="0" w:after="0" w:line="240" w:lineRule="auto"/>
              <w:jc w:val="center"/>
              <w:rPr>
                <w:rFonts w:eastAsia="Times New Roman" w:cs="Times New Roman"/>
                <w:sz w:val="18"/>
                <w:szCs w:val="18"/>
              </w:rPr>
            </w:pPr>
            <w:r w:rsidRPr="00DA7E4C">
              <w:rPr>
                <w:rFonts w:eastAsia="Times New Roman" w:cs="Times New Roman"/>
                <w:sz w:val="18"/>
                <w:szCs w:val="18"/>
              </w:rPr>
              <w:t>F Value</w:t>
            </w:r>
          </w:p>
        </w:tc>
        <w:tc>
          <w:tcPr>
            <w:tcW w:w="960" w:type="dxa"/>
            <w:vMerge/>
            <w:tcBorders>
              <w:left w:val="single" w:sz="4" w:space="0" w:color="auto"/>
              <w:bottom w:val="single" w:sz="4" w:space="0" w:color="auto"/>
              <w:right w:val="single" w:sz="4" w:space="0" w:color="auto"/>
            </w:tcBorders>
            <w:shd w:val="clear" w:color="auto" w:fill="auto"/>
            <w:noWrap/>
            <w:vAlign w:val="center"/>
            <w:hideMark/>
          </w:tcPr>
          <w:p w:rsidR="000A22AE" w:rsidRPr="00DA7E4C" w:rsidRDefault="000A22AE" w:rsidP="000A22AE">
            <w:pPr>
              <w:spacing w:before="0" w:after="0" w:line="240" w:lineRule="auto"/>
              <w:jc w:val="center"/>
              <w:rPr>
                <w:rFonts w:eastAsia="Times New Roman" w:cs="Times New Roman"/>
                <w:sz w:val="18"/>
                <w:szCs w:val="18"/>
              </w:rPr>
            </w:pPr>
          </w:p>
        </w:tc>
        <w:tc>
          <w:tcPr>
            <w:tcW w:w="960" w:type="dxa"/>
            <w:tcBorders>
              <w:top w:val="single" w:sz="8" w:space="0" w:color="auto"/>
              <w:left w:val="single" w:sz="4" w:space="0" w:color="auto"/>
              <w:bottom w:val="single" w:sz="8" w:space="0" w:color="auto"/>
              <w:right w:val="single" w:sz="8" w:space="0" w:color="auto"/>
            </w:tcBorders>
            <w:shd w:val="clear" w:color="auto" w:fill="auto"/>
            <w:noWrap/>
            <w:vAlign w:val="center"/>
            <w:hideMark/>
          </w:tcPr>
          <w:p w:rsidR="000A22AE" w:rsidRPr="00DA7E4C" w:rsidRDefault="000A22AE" w:rsidP="000A22AE">
            <w:pPr>
              <w:spacing w:before="0" w:after="0" w:line="240" w:lineRule="auto"/>
              <w:jc w:val="center"/>
              <w:rPr>
                <w:rFonts w:eastAsia="Times New Roman" w:cs="Times New Roman"/>
                <w:sz w:val="18"/>
                <w:szCs w:val="18"/>
              </w:rPr>
            </w:pPr>
            <w:r w:rsidRPr="00DA7E4C">
              <w:rPr>
                <w:rFonts w:eastAsia="Times New Roman" w:cs="Times New Roman"/>
                <w:sz w:val="18"/>
                <w:szCs w:val="18"/>
              </w:rPr>
              <w:t>DW</w:t>
            </w:r>
          </w:p>
        </w:tc>
        <w:tc>
          <w:tcPr>
            <w:tcW w:w="960" w:type="dxa"/>
            <w:tcBorders>
              <w:top w:val="single" w:sz="8" w:space="0" w:color="auto"/>
              <w:left w:val="nil"/>
              <w:bottom w:val="single" w:sz="8" w:space="0" w:color="auto"/>
              <w:right w:val="single" w:sz="8" w:space="0" w:color="auto"/>
            </w:tcBorders>
            <w:shd w:val="clear" w:color="auto" w:fill="auto"/>
            <w:vAlign w:val="center"/>
            <w:hideMark/>
          </w:tcPr>
          <w:p w:rsidR="000A22AE" w:rsidRPr="00DA7E4C" w:rsidRDefault="000A22AE" w:rsidP="000A22AE">
            <w:pPr>
              <w:spacing w:before="0" w:after="0" w:line="240" w:lineRule="auto"/>
              <w:jc w:val="center"/>
              <w:rPr>
                <w:rFonts w:eastAsia="Times New Roman" w:cs="Times New Roman"/>
                <w:color w:val="000000"/>
                <w:sz w:val="18"/>
                <w:szCs w:val="18"/>
              </w:rPr>
            </w:pPr>
            <w:r w:rsidRPr="00DA7E4C">
              <w:rPr>
                <w:rFonts w:eastAsia="Times New Roman" w:cs="Times New Roman"/>
                <w:color w:val="000000"/>
                <w:sz w:val="18"/>
                <w:szCs w:val="18"/>
              </w:rPr>
              <w:t>Akaike</w:t>
            </w:r>
          </w:p>
        </w:tc>
      </w:tr>
      <w:tr w:rsidR="000A22AE" w:rsidRPr="00DA7E4C" w:rsidTr="000A22AE">
        <w:trPr>
          <w:trHeight w:val="240"/>
        </w:trPr>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center"/>
              <w:rPr>
                <w:rFonts w:eastAsia="Times New Roman" w:cs="Times New Roman"/>
                <w:sz w:val="18"/>
                <w:szCs w:val="18"/>
              </w:rPr>
            </w:pPr>
            <w:r w:rsidRPr="00DA7E4C">
              <w:rPr>
                <w:rFonts w:eastAsia="Times New Roman" w:cs="Times New Roman"/>
                <w:sz w:val="18"/>
                <w:szCs w:val="18"/>
              </w:rPr>
              <w:t>1</w:t>
            </w:r>
          </w:p>
        </w:tc>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2.096</w:t>
            </w:r>
          </w:p>
        </w:tc>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0.099</w:t>
            </w:r>
          </w:p>
        </w:tc>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0.039</w:t>
            </w:r>
          </w:p>
        </w:tc>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0.045</w:t>
            </w:r>
          </w:p>
        </w:tc>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0.062</w:t>
            </w:r>
          </w:p>
        </w:tc>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0.879</w:t>
            </w:r>
          </w:p>
        </w:tc>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24.723</w:t>
            </w:r>
          </w:p>
        </w:tc>
        <w:tc>
          <w:tcPr>
            <w:tcW w:w="960" w:type="dxa"/>
            <w:tcBorders>
              <w:top w:val="single" w:sz="4" w:space="0" w:color="auto"/>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0.805</w:t>
            </w:r>
          </w:p>
        </w:tc>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0.853</w:t>
            </w:r>
          </w:p>
        </w:tc>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4.752</w:t>
            </w:r>
          </w:p>
        </w:tc>
      </w:tr>
      <w:tr w:rsidR="000A22AE" w:rsidRPr="00DA7E4C" w:rsidTr="000A22AE">
        <w:trPr>
          <w:trHeight w:val="240"/>
        </w:trPr>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center"/>
              <w:rPr>
                <w:rFonts w:eastAsia="Times New Roman" w:cs="Times New Roman"/>
                <w:b/>
                <w:sz w:val="18"/>
                <w:szCs w:val="18"/>
              </w:rPr>
            </w:pPr>
          </w:p>
        </w:tc>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b/>
                <w:color w:val="000000"/>
                <w:sz w:val="18"/>
                <w:szCs w:val="18"/>
              </w:rPr>
            </w:pPr>
            <w:r w:rsidRPr="00DA7E4C">
              <w:rPr>
                <w:rFonts w:eastAsia="Times New Roman" w:cs="Times New Roman"/>
                <w:b/>
                <w:color w:val="000000"/>
                <w:sz w:val="18"/>
                <w:szCs w:val="18"/>
              </w:rPr>
              <w:t>0.534</w:t>
            </w:r>
          </w:p>
        </w:tc>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b/>
                <w:color w:val="000000"/>
                <w:sz w:val="18"/>
                <w:szCs w:val="18"/>
              </w:rPr>
            </w:pPr>
            <w:r w:rsidRPr="00DA7E4C">
              <w:rPr>
                <w:rFonts w:eastAsia="Times New Roman" w:cs="Times New Roman"/>
                <w:b/>
                <w:color w:val="000000"/>
                <w:sz w:val="18"/>
                <w:szCs w:val="18"/>
              </w:rPr>
              <w:t>0.000</w:t>
            </w:r>
          </w:p>
        </w:tc>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b/>
                <w:color w:val="000000"/>
                <w:sz w:val="18"/>
                <w:szCs w:val="18"/>
              </w:rPr>
            </w:pPr>
            <w:r w:rsidRPr="00DA7E4C">
              <w:rPr>
                <w:rFonts w:eastAsia="Times New Roman" w:cs="Times New Roman"/>
                <w:b/>
                <w:color w:val="000000"/>
                <w:sz w:val="18"/>
                <w:szCs w:val="18"/>
              </w:rPr>
              <w:t>0.107</w:t>
            </w:r>
          </w:p>
        </w:tc>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b/>
                <w:color w:val="000000"/>
                <w:sz w:val="18"/>
                <w:szCs w:val="18"/>
              </w:rPr>
            </w:pPr>
            <w:r w:rsidRPr="00DA7E4C">
              <w:rPr>
                <w:rFonts w:eastAsia="Times New Roman" w:cs="Times New Roman"/>
                <w:b/>
                <w:color w:val="000000"/>
                <w:sz w:val="18"/>
                <w:szCs w:val="18"/>
              </w:rPr>
              <w:t>0.058</w:t>
            </w:r>
          </w:p>
        </w:tc>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b/>
                <w:color w:val="000000"/>
                <w:sz w:val="18"/>
                <w:szCs w:val="18"/>
              </w:rPr>
            </w:pPr>
            <w:r w:rsidRPr="00DA7E4C">
              <w:rPr>
                <w:rFonts w:eastAsia="Times New Roman" w:cs="Times New Roman"/>
                <w:b/>
                <w:color w:val="000000"/>
                <w:sz w:val="18"/>
                <w:szCs w:val="18"/>
              </w:rPr>
              <w:t>0.003</w:t>
            </w:r>
          </w:p>
        </w:tc>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b/>
                <w:color w:val="000000"/>
                <w:sz w:val="18"/>
                <w:szCs w:val="18"/>
              </w:rPr>
            </w:pPr>
            <w:r w:rsidRPr="00DA7E4C">
              <w:rPr>
                <w:rFonts w:eastAsia="Times New Roman" w:cs="Times New Roman"/>
                <w:b/>
                <w:color w:val="000000"/>
                <w:sz w:val="18"/>
                <w:szCs w:val="18"/>
              </w:rPr>
              <w:t>0.000</w:t>
            </w:r>
          </w:p>
        </w:tc>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b/>
                <w:color w:val="000000"/>
                <w:sz w:val="18"/>
                <w:szCs w:val="18"/>
              </w:rPr>
            </w:pPr>
            <w:r w:rsidRPr="00DA7E4C">
              <w:rPr>
                <w:rFonts w:eastAsia="Times New Roman" w:cs="Times New Roman"/>
                <w:b/>
                <w:color w:val="000000"/>
                <w:sz w:val="18"/>
                <w:szCs w:val="18"/>
              </w:rPr>
              <w:t>0.000</w:t>
            </w:r>
          </w:p>
        </w:tc>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b/>
                <w:color w:val="000000"/>
                <w:sz w:val="18"/>
                <w:szCs w:val="18"/>
              </w:rPr>
            </w:pPr>
          </w:p>
        </w:tc>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b/>
                <w:color w:val="000000"/>
                <w:sz w:val="18"/>
                <w:szCs w:val="18"/>
              </w:rPr>
            </w:pPr>
          </w:p>
        </w:tc>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b/>
                <w:color w:val="000000"/>
                <w:sz w:val="18"/>
                <w:szCs w:val="18"/>
              </w:rPr>
            </w:pPr>
          </w:p>
        </w:tc>
      </w:tr>
      <w:tr w:rsidR="000A22AE" w:rsidRPr="00DA7E4C" w:rsidTr="000A22AE">
        <w:trPr>
          <w:trHeight w:val="240"/>
        </w:trPr>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center"/>
              <w:rPr>
                <w:rFonts w:eastAsia="Times New Roman" w:cs="Times New Roman"/>
                <w:sz w:val="18"/>
                <w:szCs w:val="18"/>
              </w:rPr>
            </w:pPr>
            <w:r w:rsidRPr="00DA7E4C">
              <w:rPr>
                <w:rFonts w:eastAsia="Times New Roman" w:cs="Times New Roman"/>
                <w:sz w:val="18"/>
                <w:szCs w:val="18"/>
              </w:rPr>
              <w:t>2</w:t>
            </w:r>
          </w:p>
        </w:tc>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2.069</w:t>
            </w:r>
          </w:p>
        </w:tc>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0.094</w:t>
            </w:r>
          </w:p>
        </w:tc>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color w:val="000000"/>
                <w:sz w:val="18"/>
                <w:szCs w:val="18"/>
              </w:rPr>
            </w:pPr>
          </w:p>
        </w:tc>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color w:val="000000"/>
                <w:sz w:val="18"/>
                <w:szCs w:val="18"/>
              </w:rPr>
            </w:pPr>
          </w:p>
        </w:tc>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color w:val="000000"/>
                <w:sz w:val="18"/>
                <w:szCs w:val="18"/>
              </w:rPr>
            </w:pPr>
          </w:p>
        </w:tc>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0.836</w:t>
            </w:r>
          </w:p>
        </w:tc>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48.323</w:t>
            </w:r>
          </w:p>
        </w:tc>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0.729</w:t>
            </w:r>
          </w:p>
        </w:tc>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1.471</w:t>
            </w:r>
          </w:p>
        </w:tc>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4.841</w:t>
            </w:r>
          </w:p>
        </w:tc>
      </w:tr>
      <w:tr w:rsidR="000A22AE" w:rsidRPr="00DA7E4C" w:rsidTr="000A22AE">
        <w:trPr>
          <w:trHeight w:val="240"/>
        </w:trPr>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center"/>
              <w:rPr>
                <w:rFonts w:eastAsia="Times New Roman" w:cs="Times New Roman"/>
                <w:b/>
                <w:sz w:val="18"/>
                <w:szCs w:val="18"/>
              </w:rPr>
            </w:pPr>
          </w:p>
        </w:tc>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b/>
                <w:color w:val="000000"/>
                <w:sz w:val="18"/>
                <w:szCs w:val="18"/>
              </w:rPr>
            </w:pPr>
            <w:r w:rsidRPr="00DA7E4C">
              <w:rPr>
                <w:rFonts w:eastAsia="Times New Roman" w:cs="Times New Roman"/>
                <w:b/>
                <w:color w:val="000000"/>
                <w:sz w:val="18"/>
                <w:szCs w:val="18"/>
              </w:rPr>
              <w:t>0.426</w:t>
            </w:r>
          </w:p>
        </w:tc>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b/>
                <w:color w:val="000000"/>
                <w:sz w:val="18"/>
                <w:szCs w:val="18"/>
              </w:rPr>
            </w:pPr>
            <w:r w:rsidRPr="00DA7E4C">
              <w:rPr>
                <w:rFonts w:eastAsia="Times New Roman" w:cs="Times New Roman"/>
                <w:b/>
                <w:color w:val="000000"/>
                <w:sz w:val="18"/>
                <w:szCs w:val="18"/>
              </w:rPr>
              <w:t>0.001</w:t>
            </w:r>
          </w:p>
        </w:tc>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b/>
                <w:color w:val="000000"/>
                <w:sz w:val="18"/>
                <w:szCs w:val="18"/>
              </w:rPr>
            </w:pPr>
          </w:p>
        </w:tc>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b/>
                <w:color w:val="000000"/>
                <w:sz w:val="18"/>
                <w:szCs w:val="18"/>
              </w:rPr>
            </w:pPr>
          </w:p>
        </w:tc>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b/>
                <w:color w:val="000000"/>
                <w:sz w:val="18"/>
                <w:szCs w:val="18"/>
              </w:rPr>
            </w:pPr>
          </w:p>
        </w:tc>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b/>
                <w:color w:val="000000"/>
                <w:sz w:val="18"/>
                <w:szCs w:val="18"/>
              </w:rPr>
            </w:pPr>
            <w:r w:rsidRPr="00DA7E4C">
              <w:rPr>
                <w:rFonts w:eastAsia="Times New Roman" w:cs="Times New Roman"/>
                <w:b/>
                <w:color w:val="000000"/>
                <w:sz w:val="18"/>
                <w:szCs w:val="18"/>
              </w:rPr>
              <w:t>0.000</w:t>
            </w:r>
          </w:p>
        </w:tc>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b/>
                <w:color w:val="000000"/>
                <w:sz w:val="18"/>
                <w:szCs w:val="18"/>
              </w:rPr>
            </w:pPr>
            <w:r w:rsidRPr="00DA7E4C">
              <w:rPr>
                <w:rFonts w:eastAsia="Times New Roman" w:cs="Times New Roman"/>
                <w:b/>
                <w:color w:val="000000"/>
                <w:sz w:val="18"/>
                <w:szCs w:val="18"/>
              </w:rPr>
              <w:t>0.000</w:t>
            </w:r>
          </w:p>
        </w:tc>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b/>
                <w:color w:val="000000"/>
                <w:sz w:val="18"/>
                <w:szCs w:val="18"/>
              </w:rPr>
            </w:pPr>
          </w:p>
        </w:tc>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b/>
                <w:color w:val="000000"/>
                <w:sz w:val="18"/>
                <w:szCs w:val="18"/>
              </w:rPr>
            </w:pPr>
          </w:p>
        </w:tc>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b/>
                <w:color w:val="000000"/>
                <w:sz w:val="18"/>
                <w:szCs w:val="18"/>
              </w:rPr>
            </w:pPr>
          </w:p>
        </w:tc>
      </w:tr>
      <w:tr w:rsidR="000A22AE" w:rsidRPr="00DA7E4C" w:rsidTr="000A22AE">
        <w:trPr>
          <w:trHeight w:val="240"/>
        </w:trPr>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center"/>
              <w:rPr>
                <w:rFonts w:eastAsia="Times New Roman" w:cs="Times New Roman"/>
                <w:sz w:val="18"/>
                <w:szCs w:val="18"/>
              </w:rPr>
            </w:pPr>
            <w:r w:rsidRPr="00DA7E4C">
              <w:rPr>
                <w:rFonts w:eastAsia="Times New Roman" w:cs="Times New Roman"/>
                <w:sz w:val="18"/>
                <w:szCs w:val="18"/>
              </w:rPr>
              <w:t>3</w:t>
            </w:r>
          </w:p>
        </w:tc>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2.435</w:t>
            </w:r>
          </w:p>
        </w:tc>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color w:val="000000"/>
                <w:sz w:val="18"/>
                <w:szCs w:val="18"/>
              </w:rPr>
            </w:pPr>
          </w:p>
        </w:tc>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-0.016</w:t>
            </w:r>
          </w:p>
        </w:tc>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color w:val="000000"/>
                <w:sz w:val="18"/>
                <w:szCs w:val="18"/>
              </w:rPr>
            </w:pPr>
          </w:p>
        </w:tc>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color w:val="000000"/>
                <w:sz w:val="18"/>
                <w:szCs w:val="18"/>
              </w:rPr>
            </w:pPr>
          </w:p>
        </w:tc>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0.791</w:t>
            </w:r>
          </w:p>
        </w:tc>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28.625</w:t>
            </w:r>
          </w:p>
        </w:tc>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0.621</w:t>
            </w:r>
          </w:p>
        </w:tc>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1.975</w:t>
            </w:r>
          </w:p>
        </w:tc>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5.200</w:t>
            </w:r>
          </w:p>
        </w:tc>
      </w:tr>
      <w:tr w:rsidR="000A22AE" w:rsidRPr="00DA7E4C" w:rsidTr="000A22AE">
        <w:trPr>
          <w:trHeight w:val="240"/>
        </w:trPr>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center"/>
              <w:rPr>
                <w:rFonts w:eastAsia="Times New Roman" w:cs="Times New Roman"/>
                <w:b/>
                <w:sz w:val="18"/>
                <w:szCs w:val="18"/>
              </w:rPr>
            </w:pPr>
          </w:p>
        </w:tc>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b/>
                <w:color w:val="000000"/>
                <w:sz w:val="18"/>
                <w:szCs w:val="18"/>
              </w:rPr>
            </w:pPr>
            <w:r w:rsidRPr="00DA7E4C">
              <w:rPr>
                <w:rFonts w:eastAsia="Times New Roman" w:cs="Times New Roman"/>
                <w:b/>
                <w:color w:val="000000"/>
                <w:sz w:val="18"/>
                <w:szCs w:val="18"/>
              </w:rPr>
              <w:t>0.324</w:t>
            </w:r>
          </w:p>
        </w:tc>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b/>
                <w:color w:val="000000"/>
                <w:sz w:val="18"/>
                <w:szCs w:val="18"/>
              </w:rPr>
            </w:pPr>
          </w:p>
        </w:tc>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b/>
                <w:color w:val="000000"/>
                <w:sz w:val="18"/>
                <w:szCs w:val="18"/>
              </w:rPr>
            </w:pPr>
            <w:r w:rsidRPr="00DA7E4C">
              <w:rPr>
                <w:rFonts w:eastAsia="Times New Roman" w:cs="Times New Roman"/>
                <w:b/>
                <w:color w:val="000000"/>
                <w:sz w:val="18"/>
                <w:szCs w:val="18"/>
              </w:rPr>
              <w:t>0.570</w:t>
            </w:r>
          </w:p>
        </w:tc>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b/>
                <w:color w:val="000000"/>
                <w:sz w:val="18"/>
                <w:szCs w:val="18"/>
              </w:rPr>
            </w:pPr>
          </w:p>
        </w:tc>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b/>
                <w:color w:val="000000"/>
                <w:sz w:val="18"/>
                <w:szCs w:val="18"/>
              </w:rPr>
            </w:pPr>
          </w:p>
        </w:tc>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b/>
                <w:color w:val="000000"/>
                <w:sz w:val="18"/>
                <w:szCs w:val="18"/>
              </w:rPr>
            </w:pPr>
            <w:r w:rsidRPr="00DA7E4C">
              <w:rPr>
                <w:rFonts w:eastAsia="Times New Roman" w:cs="Times New Roman"/>
                <w:b/>
                <w:color w:val="000000"/>
                <w:sz w:val="18"/>
                <w:szCs w:val="18"/>
              </w:rPr>
              <w:t>0.000</w:t>
            </w:r>
          </w:p>
        </w:tc>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b/>
                <w:color w:val="000000"/>
                <w:sz w:val="18"/>
                <w:szCs w:val="18"/>
              </w:rPr>
            </w:pPr>
          </w:p>
        </w:tc>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b/>
                <w:color w:val="000000"/>
                <w:sz w:val="18"/>
                <w:szCs w:val="18"/>
              </w:rPr>
            </w:pPr>
          </w:p>
        </w:tc>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b/>
                <w:color w:val="000000"/>
                <w:sz w:val="18"/>
                <w:szCs w:val="18"/>
              </w:rPr>
            </w:pPr>
          </w:p>
        </w:tc>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b/>
                <w:color w:val="000000"/>
                <w:sz w:val="18"/>
                <w:szCs w:val="18"/>
              </w:rPr>
            </w:pPr>
          </w:p>
        </w:tc>
      </w:tr>
      <w:tr w:rsidR="000A22AE" w:rsidRPr="00DA7E4C" w:rsidTr="000A22AE">
        <w:trPr>
          <w:trHeight w:val="240"/>
        </w:trPr>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center"/>
              <w:rPr>
                <w:rFonts w:eastAsia="Times New Roman" w:cs="Times New Roman"/>
                <w:sz w:val="18"/>
                <w:szCs w:val="18"/>
              </w:rPr>
            </w:pPr>
            <w:r w:rsidRPr="00DA7E4C">
              <w:rPr>
                <w:rFonts w:eastAsia="Times New Roman" w:cs="Times New Roman"/>
                <w:sz w:val="18"/>
                <w:szCs w:val="18"/>
              </w:rPr>
              <w:t>4</w:t>
            </w:r>
          </w:p>
        </w:tc>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2.454</w:t>
            </w:r>
          </w:p>
        </w:tc>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color w:val="000000"/>
                <w:sz w:val="18"/>
                <w:szCs w:val="18"/>
              </w:rPr>
            </w:pPr>
          </w:p>
        </w:tc>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color w:val="000000"/>
                <w:sz w:val="18"/>
                <w:szCs w:val="18"/>
              </w:rPr>
            </w:pPr>
          </w:p>
        </w:tc>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0.036</w:t>
            </w:r>
          </w:p>
        </w:tc>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color w:val="000000"/>
                <w:sz w:val="18"/>
                <w:szCs w:val="18"/>
              </w:rPr>
            </w:pPr>
          </w:p>
        </w:tc>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0.796</w:t>
            </w:r>
          </w:p>
        </w:tc>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29.509</w:t>
            </w:r>
          </w:p>
        </w:tc>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0.634</w:t>
            </w:r>
          </w:p>
        </w:tc>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2.007</w:t>
            </w:r>
          </w:p>
        </w:tc>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5.187</w:t>
            </w:r>
          </w:p>
        </w:tc>
      </w:tr>
      <w:tr w:rsidR="000A22AE" w:rsidRPr="00DA7E4C" w:rsidTr="000A22AE">
        <w:trPr>
          <w:trHeight w:val="240"/>
        </w:trPr>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center"/>
              <w:rPr>
                <w:rFonts w:eastAsia="Times New Roman" w:cs="Times New Roman"/>
                <w:b/>
                <w:sz w:val="18"/>
                <w:szCs w:val="18"/>
              </w:rPr>
            </w:pPr>
          </w:p>
        </w:tc>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b/>
                <w:color w:val="000000"/>
                <w:sz w:val="18"/>
                <w:szCs w:val="18"/>
              </w:rPr>
            </w:pPr>
            <w:r w:rsidRPr="00DA7E4C">
              <w:rPr>
                <w:rFonts w:eastAsia="Times New Roman" w:cs="Times New Roman"/>
                <w:b/>
                <w:color w:val="000000"/>
                <w:sz w:val="18"/>
                <w:szCs w:val="18"/>
              </w:rPr>
              <w:t>0.335</w:t>
            </w:r>
          </w:p>
        </w:tc>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b/>
                <w:color w:val="000000"/>
                <w:sz w:val="18"/>
                <w:szCs w:val="18"/>
              </w:rPr>
            </w:pPr>
          </w:p>
        </w:tc>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b/>
                <w:color w:val="000000"/>
                <w:sz w:val="18"/>
                <w:szCs w:val="18"/>
              </w:rPr>
            </w:pPr>
          </w:p>
        </w:tc>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b/>
                <w:color w:val="000000"/>
                <w:sz w:val="18"/>
                <w:szCs w:val="18"/>
              </w:rPr>
            </w:pPr>
            <w:r w:rsidRPr="00DA7E4C">
              <w:rPr>
                <w:rFonts w:eastAsia="Times New Roman" w:cs="Times New Roman"/>
                <w:b/>
                <w:color w:val="000000"/>
                <w:sz w:val="18"/>
                <w:szCs w:val="18"/>
              </w:rPr>
              <w:t>0.184</w:t>
            </w:r>
          </w:p>
        </w:tc>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b/>
                <w:color w:val="000000"/>
                <w:sz w:val="18"/>
                <w:szCs w:val="18"/>
              </w:rPr>
            </w:pPr>
          </w:p>
        </w:tc>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b/>
                <w:color w:val="000000"/>
                <w:sz w:val="18"/>
                <w:szCs w:val="18"/>
              </w:rPr>
            </w:pPr>
            <w:r w:rsidRPr="00DA7E4C">
              <w:rPr>
                <w:rFonts w:eastAsia="Times New Roman" w:cs="Times New Roman"/>
                <w:b/>
                <w:color w:val="000000"/>
                <w:sz w:val="18"/>
                <w:szCs w:val="18"/>
              </w:rPr>
              <w:t>0.000</w:t>
            </w:r>
          </w:p>
        </w:tc>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b/>
                <w:color w:val="000000"/>
                <w:sz w:val="18"/>
                <w:szCs w:val="18"/>
              </w:rPr>
            </w:pPr>
          </w:p>
        </w:tc>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b/>
                <w:color w:val="000000"/>
                <w:sz w:val="18"/>
                <w:szCs w:val="18"/>
              </w:rPr>
            </w:pPr>
          </w:p>
        </w:tc>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b/>
                <w:color w:val="000000"/>
                <w:sz w:val="18"/>
                <w:szCs w:val="18"/>
              </w:rPr>
            </w:pPr>
          </w:p>
        </w:tc>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b/>
                <w:color w:val="000000"/>
                <w:sz w:val="18"/>
                <w:szCs w:val="18"/>
              </w:rPr>
            </w:pPr>
          </w:p>
        </w:tc>
      </w:tr>
      <w:tr w:rsidR="000A22AE" w:rsidRPr="00DA7E4C" w:rsidTr="000A22AE">
        <w:trPr>
          <w:trHeight w:val="240"/>
        </w:trPr>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center"/>
              <w:rPr>
                <w:rFonts w:eastAsia="Times New Roman" w:cs="Times New Roman"/>
                <w:sz w:val="18"/>
                <w:szCs w:val="18"/>
              </w:rPr>
            </w:pPr>
            <w:r w:rsidRPr="00DA7E4C">
              <w:rPr>
                <w:rFonts w:eastAsia="Times New Roman" w:cs="Times New Roman"/>
                <w:sz w:val="18"/>
                <w:szCs w:val="18"/>
              </w:rPr>
              <w:t>5</w:t>
            </w:r>
          </w:p>
        </w:tc>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2.512</w:t>
            </w:r>
          </w:p>
        </w:tc>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color w:val="000000"/>
                <w:sz w:val="18"/>
                <w:szCs w:val="18"/>
              </w:rPr>
            </w:pPr>
          </w:p>
        </w:tc>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color w:val="000000"/>
                <w:sz w:val="18"/>
                <w:szCs w:val="18"/>
              </w:rPr>
            </w:pPr>
          </w:p>
        </w:tc>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color w:val="000000"/>
                <w:sz w:val="18"/>
                <w:szCs w:val="18"/>
              </w:rPr>
            </w:pPr>
          </w:p>
        </w:tc>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0.048</w:t>
            </w:r>
          </w:p>
        </w:tc>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0.805</w:t>
            </w:r>
          </w:p>
        </w:tc>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31.445</w:t>
            </w:r>
          </w:p>
        </w:tc>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0.656</w:t>
            </w:r>
          </w:p>
        </w:tc>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1.866</w:t>
            </w:r>
          </w:p>
        </w:tc>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5.152</w:t>
            </w:r>
          </w:p>
        </w:tc>
      </w:tr>
      <w:tr w:rsidR="000A22AE" w:rsidRPr="00DA7E4C" w:rsidTr="000A22AE">
        <w:trPr>
          <w:trHeight w:val="240"/>
        </w:trPr>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center"/>
              <w:rPr>
                <w:rFonts w:eastAsia="Times New Roman" w:cs="Times New Roman"/>
                <w:b/>
                <w:sz w:val="18"/>
                <w:szCs w:val="18"/>
              </w:rPr>
            </w:pPr>
          </w:p>
        </w:tc>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b/>
                <w:color w:val="000000"/>
                <w:sz w:val="18"/>
                <w:szCs w:val="18"/>
              </w:rPr>
            </w:pPr>
            <w:r w:rsidRPr="00DA7E4C">
              <w:rPr>
                <w:rFonts w:eastAsia="Times New Roman" w:cs="Times New Roman"/>
                <w:b/>
                <w:color w:val="000000"/>
                <w:sz w:val="18"/>
                <w:szCs w:val="18"/>
              </w:rPr>
              <w:t>0.343</w:t>
            </w:r>
          </w:p>
        </w:tc>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b/>
                <w:color w:val="000000"/>
                <w:sz w:val="18"/>
                <w:szCs w:val="18"/>
              </w:rPr>
            </w:pPr>
          </w:p>
        </w:tc>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b/>
                <w:color w:val="000000"/>
                <w:sz w:val="18"/>
                <w:szCs w:val="18"/>
              </w:rPr>
            </w:pPr>
          </w:p>
        </w:tc>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b/>
                <w:color w:val="000000"/>
                <w:sz w:val="18"/>
                <w:szCs w:val="18"/>
              </w:rPr>
            </w:pPr>
          </w:p>
        </w:tc>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b/>
                <w:color w:val="000000"/>
                <w:sz w:val="18"/>
                <w:szCs w:val="18"/>
              </w:rPr>
            </w:pPr>
            <w:r w:rsidRPr="00DA7E4C">
              <w:rPr>
                <w:rFonts w:eastAsia="Times New Roman" w:cs="Times New Roman"/>
                <w:b/>
                <w:color w:val="000000"/>
                <w:sz w:val="18"/>
                <w:szCs w:val="18"/>
              </w:rPr>
              <w:t>0.048</w:t>
            </w:r>
          </w:p>
        </w:tc>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b/>
                <w:color w:val="000000"/>
                <w:sz w:val="18"/>
                <w:szCs w:val="18"/>
              </w:rPr>
            </w:pPr>
            <w:r w:rsidRPr="00DA7E4C">
              <w:rPr>
                <w:rFonts w:eastAsia="Times New Roman" w:cs="Times New Roman"/>
                <w:b/>
                <w:color w:val="000000"/>
                <w:sz w:val="18"/>
                <w:szCs w:val="18"/>
              </w:rPr>
              <w:t>0.000</w:t>
            </w:r>
          </w:p>
        </w:tc>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b/>
                <w:color w:val="000000"/>
                <w:sz w:val="18"/>
                <w:szCs w:val="18"/>
              </w:rPr>
            </w:pPr>
          </w:p>
        </w:tc>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b/>
                <w:color w:val="000000"/>
                <w:sz w:val="18"/>
                <w:szCs w:val="18"/>
              </w:rPr>
            </w:pPr>
          </w:p>
        </w:tc>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b/>
                <w:color w:val="000000"/>
                <w:sz w:val="18"/>
                <w:szCs w:val="18"/>
              </w:rPr>
            </w:pPr>
          </w:p>
        </w:tc>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b/>
                <w:color w:val="000000"/>
                <w:sz w:val="18"/>
                <w:szCs w:val="18"/>
              </w:rPr>
            </w:pPr>
          </w:p>
        </w:tc>
      </w:tr>
    </w:tbl>
    <w:p w:rsidR="000A22AE" w:rsidRPr="00762161" w:rsidRDefault="000A22AE" w:rsidP="000A22AE"/>
    <w:p w:rsidR="000A22AE" w:rsidRPr="00762161" w:rsidRDefault="000A22AE" w:rsidP="000A22AE"/>
    <w:p w:rsidR="000A22AE" w:rsidRPr="00762161" w:rsidRDefault="000A22AE" w:rsidP="000A22AE"/>
    <w:p w:rsidR="000A22AE" w:rsidRPr="00762161" w:rsidRDefault="000A22AE" w:rsidP="000A22AE"/>
    <w:p w:rsidR="000A22AE" w:rsidRPr="00762161" w:rsidRDefault="000A22AE" w:rsidP="000A22AE"/>
    <w:p w:rsidR="000A22AE" w:rsidRPr="00762161" w:rsidRDefault="000A22AE" w:rsidP="000A22AE">
      <w:pPr>
        <w:pStyle w:val="Heading2"/>
      </w:pPr>
      <w:bookmarkStart w:id="375" w:name="_Toc286616352"/>
      <w:r w:rsidRPr="00762161">
        <w:t xml:space="preserve">Table 18: The Relationship between Inflation and </w:t>
      </w:r>
      <w:r w:rsidR="00627488">
        <w:t>Real Stock Price</w:t>
      </w:r>
      <w:r w:rsidRPr="00762161">
        <w:t>s (Yearly 1997-2010)</w:t>
      </w:r>
      <w:bookmarkEnd w:id="375"/>
    </w:p>
    <w:tbl>
      <w:tblPr>
        <w:tblW w:w="10560" w:type="dxa"/>
        <w:tblInd w:w="93" w:type="dxa"/>
        <w:tblLook w:val="04A0"/>
      </w:tblPr>
      <w:tblGrid>
        <w:gridCol w:w="960"/>
        <w:gridCol w:w="960"/>
        <w:gridCol w:w="960"/>
        <w:gridCol w:w="960"/>
        <w:gridCol w:w="960"/>
        <w:gridCol w:w="960"/>
        <w:gridCol w:w="960"/>
        <w:gridCol w:w="960"/>
        <w:gridCol w:w="960"/>
        <w:gridCol w:w="960"/>
        <w:gridCol w:w="960"/>
      </w:tblGrid>
      <w:tr w:rsidR="000A22AE" w:rsidRPr="00DA7E4C" w:rsidTr="000A22AE">
        <w:trPr>
          <w:trHeight w:val="240"/>
        </w:trPr>
        <w:tc>
          <w:tcPr>
            <w:tcW w:w="1920" w:type="dxa"/>
            <w:gridSpan w:val="2"/>
            <w:tcBorders>
              <w:top w:val="single" w:sz="8" w:space="0" w:color="auto"/>
              <w:left w:val="single" w:sz="8" w:space="0" w:color="auto"/>
              <w:bottom w:val="single" w:sz="8" w:space="0" w:color="auto"/>
              <w:right w:val="nil"/>
            </w:tcBorders>
            <w:shd w:val="clear" w:color="auto" w:fill="auto"/>
            <w:noWrap/>
            <w:vAlign w:val="bottom"/>
            <w:hideMark/>
          </w:tcPr>
          <w:p w:rsidR="000A22AE" w:rsidRPr="00DA7E4C" w:rsidRDefault="000A22AE" w:rsidP="000A22AE">
            <w:pPr>
              <w:spacing w:before="0" w:after="0" w:line="240" w:lineRule="auto"/>
              <w:jc w:val="center"/>
              <w:rPr>
                <w:rFonts w:eastAsia="Times New Roman" w:cs="Times New Roman"/>
                <w:sz w:val="18"/>
                <w:szCs w:val="18"/>
              </w:rPr>
            </w:pPr>
            <w:r w:rsidRPr="00DA7E4C">
              <w:rPr>
                <w:rFonts w:eastAsia="Times New Roman" w:cs="Times New Roman"/>
                <w:sz w:val="18"/>
                <w:szCs w:val="18"/>
              </w:rPr>
              <w:t>Sample</w:t>
            </w:r>
          </w:p>
          <w:p w:rsidR="000A22AE" w:rsidRPr="00DA7E4C" w:rsidRDefault="000A22AE" w:rsidP="000A22AE">
            <w:pPr>
              <w:spacing w:before="0" w:after="0" w:line="240" w:lineRule="auto"/>
              <w:jc w:val="center"/>
              <w:rPr>
                <w:rFonts w:eastAsia="Times New Roman" w:cs="Times New Roman"/>
                <w:sz w:val="18"/>
                <w:szCs w:val="18"/>
              </w:rPr>
            </w:pPr>
            <w:r w:rsidRPr="00DA7E4C">
              <w:rPr>
                <w:rFonts w:eastAsia="Times New Roman" w:cs="Times New Roman"/>
                <w:sz w:val="18"/>
                <w:szCs w:val="18"/>
              </w:rPr>
              <w:t>1997-2009</w:t>
            </w:r>
          </w:p>
        </w:tc>
        <w:tc>
          <w:tcPr>
            <w:tcW w:w="3840" w:type="dxa"/>
            <w:gridSpan w:val="4"/>
            <w:tcBorders>
              <w:top w:val="single" w:sz="8" w:space="0" w:color="auto"/>
              <w:left w:val="single" w:sz="8" w:space="0" w:color="auto"/>
              <w:bottom w:val="nil"/>
              <w:right w:val="single" w:sz="8" w:space="0" w:color="000000"/>
            </w:tcBorders>
            <w:shd w:val="clear" w:color="auto" w:fill="auto"/>
            <w:vAlign w:val="bottom"/>
            <w:hideMark/>
          </w:tcPr>
          <w:p w:rsidR="000A22AE" w:rsidRPr="00DA7E4C" w:rsidRDefault="000A22AE" w:rsidP="000A22AE">
            <w:pPr>
              <w:spacing w:before="0" w:after="0" w:line="240" w:lineRule="auto"/>
              <w:jc w:val="center"/>
              <w:rPr>
                <w:rFonts w:eastAsia="Times New Roman" w:cs="Times New Roman"/>
                <w:color w:val="000000"/>
                <w:sz w:val="18"/>
                <w:szCs w:val="18"/>
              </w:rPr>
            </w:pPr>
            <w:r w:rsidRPr="00DA7E4C">
              <w:rPr>
                <w:rFonts w:eastAsia="Times New Roman" w:cs="Times New Roman"/>
                <w:color w:val="000000"/>
                <w:sz w:val="18"/>
                <w:szCs w:val="18"/>
              </w:rPr>
              <w:t xml:space="preserve">Real Stock </w:t>
            </w:r>
          </w:p>
        </w:tc>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color w:val="000000"/>
                <w:sz w:val="18"/>
                <w:szCs w:val="18"/>
              </w:rPr>
            </w:pPr>
          </w:p>
        </w:tc>
        <w:tc>
          <w:tcPr>
            <w:tcW w:w="960" w:type="dxa"/>
            <w:tcBorders>
              <w:top w:val="nil"/>
              <w:left w:val="nil"/>
              <w:bottom w:val="nil"/>
              <w:right w:val="single" w:sz="4" w:space="0" w:color="auto"/>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color w:val="000000"/>
                <w:sz w:val="18"/>
                <w:szCs w:val="18"/>
              </w:rPr>
            </w:pPr>
          </w:p>
        </w:tc>
        <w:tc>
          <w:tcPr>
            <w:tcW w:w="960"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A22AE" w:rsidRPr="00DA7E4C" w:rsidRDefault="000A22AE" w:rsidP="000A22AE">
            <w:pPr>
              <w:spacing w:before="0" w:after="0" w:line="240" w:lineRule="auto"/>
              <w:jc w:val="center"/>
              <w:rPr>
                <w:rFonts w:eastAsia="Times New Roman" w:cs="Times New Roman"/>
                <w:sz w:val="18"/>
                <w:szCs w:val="18"/>
              </w:rPr>
            </w:pPr>
            <w:r w:rsidRPr="00DA7E4C">
              <w:rPr>
                <w:rFonts w:eastAsia="Times New Roman" w:cs="Times New Roman"/>
                <w:sz w:val="18"/>
                <w:szCs w:val="18"/>
              </w:rPr>
              <w:t>Adjusted</w:t>
            </w:r>
          </w:p>
          <w:p w:rsidR="000A22AE" w:rsidRPr="00DA7E4C" w:rsidRDefault="000A22AE" w:rsidP="000A22AE">
            <w:pPr>
              <w:spacing w:before="0" w:after="0" w:line="240" w:lineRule="auto"/>
              <w:jc w:val="center"/>
              <w:rPr>
                <w:rFonts w:eastAsia="Times New Roman" w:cs="Times New Roman"/>
                <w:color w:val="000000"/>
                <w:sz w:val="18"/>
                <w:szCs w:val="18"/>
              </w:rPr>
            </w:pPr>
            <w:r w:rsidRPr="00DA7E4C">
              <w:rPr>
                <w:rFonts w:eastAsia="Times New Roman" w:cs="Times New Roman"/>
                <w:sz w:val="18"/>
                <w:szCs w:val="18"/>
              </w:rPr>
              <w:t>R-square</w:t>
            </w:r>
          </w:p>
        </w:tc>
        <w:tc>
          <w:tcPr>
            <w:tcW w:w="960" w:type="dxa"/>
            <w:tcBorders>
              <w:top w:val="nil"/>
              <w:left w:val="single" w:sz="4" w:space="0" w:color="auto"/>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color w:val="000000"/>
                <w:sz w:val="18"/>
                <w:szCs w:val="18"/>
              </w:rPr>
            </w:pPr>
          </w:p>
        </w:tc>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color w:val="000000"/>
                <w:sz w:val="18"/>
                <w:szCs w:val="18"/>
              </w:rPr>
            </w:pPr>
          </w:p>
        </w:tc>
      </w:tr>
      <w:tr w:rsidR="000A22AE" w:rsidRPr="00DA7E4C" w:rsidTr="000A22AE">
        <w:trPr>
          <w:trHeight w:val="255"/>
        </w:trPr>
        <w:tc>
          <w:tcPr>
            <w:tcW w:w="960" w:type="dxa"/>
            <w:tcBorders>
              <w:top w:val="nil"/>
              <w:left w:val="single" w:sz="8" w:space="0" w:color="auto"/>
              <w:bottom w:val="single" w:sz="8" w:space="0" w:color="auto"/>
              <w:right w:val="single" w:sz="8" w:space="0" w:color="auto"/>
            </w:tcBorders>
            <w:shd w:val="clear" w:color="auto" w:fill="auto"/>
            <w:noWrap/>
            <w:vAlign w:val="center"/>
            <w:hideMark/>
          </w:tcPr>
          <w:p w:rsidR="000A22AE" w:rsidRPr="00DA7E4C" w:rsidRDefault="000A22AE" w:rsidP="000A22AE">
            <w:pPr>
              <w:spacing w:before="0" w:after="0" w:line="240" w:lineRule="auto"/>
              <w:jc w:val="center"/>
              <w:rPr>
                <w:rFonts w:eastAsia="Times New Roman" w:cs="Times New Roman"/>
                <w:sz w:val="18"/>
                <w:szCs w:val="18"/>
              </w:rPr>
            </w:pPr>
            <w:r w:rsidRPr="00DA7E4C">
              <w:rPr>
                <w:rFonts w:eastAsia="Times New Roman" w:cs="Times New Roman"/>
                <w:sz w:val="18"/>
                <w:szCs w:val="18"/>
              </w:rPr>
              <w:t>No</w:t>
            </w:r>
          </w:p>
        </w:tc>
        <w:tc>
          <w:tcPr>
            <w:tcW w:w="960" w:type="dxa"/>
            <w:tcBorders>
              <w:top w:val="single" w:sz="8" w:space="0" w:color="auto"/>
              <w:left w:val="nil"/>
              <w:bottom w:val="single" w:sz="8" w:space="0" w:color="auto"/>
              <w:right w:val="single" w:sz="8" w:space="0" w:color="auto"/>
            </w:tcBorders>
            <w:shd w:val="clear" w:color="auto" w:fill="auto"/>
            <w:noWrap/>
            <w:vAlign w:val="center"/>
            <w:hideMark/>
          </w:tcPr>
          <w:p w:rsidR="000A22AE" w:rsidRPr="00DA7E4C" w:rsidRDefault="000A22AE" w:rsidP="000A22AE">
            <w:pPr>
              <w:spacing w:before="0" w:after="0" w:line="240" w:lineRule="auto"/>
              <w:jc w:val="center"/>
              <w:rPr>
                <w:rFonts w:eastAsia="Times New Roman" w:cs="Times New Roman"/>
                <w:sz w:val="18"/>
                <w:szCs w:val="18"/>
              </w:rPr>
            </w:pPr>
            <w:r w:rsidRPr="00DA7E4C">
              <w:rPr>
                <w:rFonts w:eastAsia="Times New Roman" w:cs="Times New Roman"/>
                <w:sz w:val="18"/>
                <w:szCs w:val="18"/>
              </w:rPr>
              <w:t>Intercept</w:t>
            </w:r>
          </w:p>
        </w:tc>
        <w:tc>
          <w:tcPr>
            <w:tcW w:w="960" w:type="dxa"/>
            <w:tcBorders>
              <w:top w:val="nil"/>
              <w:left w:val="nil"/>
              <w:bottom w:val="single" w:sz="8" w:space="0" w:color="auto"/>
              <w:right w:val="single" w:sz="8" w:space="0" w:color="auto"/>
            </w:tcBorders>
            <w:shd w:val="clear" w:color="auto" w:fill="auto"/>
            <w:vAlign w:val="center"/>
            <w:hideMark/>
          </w:tcPr>
          <w:p w:rsidR="000A22AE" w:rsidRPr="00DA7E4C" w:rsidRDefault="000A22AE" w:rsidP="000A22AE">
            <w:pPr>
              <w:spacing w:before="0" w:after="0" w:line="240" w:lineRule="auto"/>
              <w:jc w:val="center"/>
              <w:rPr>
                <w:rFonts w:eastAsia="Times New Roman" w:cs="Times New Roman"/>
                <w:sz w:val="18"/>
                <w:szCs w:val="18"/>
              </w:rPr>
            </w:pPr>
            <w:r w:rsidRPr="00DA7E4C">
              <w:rPr>
                <w:rFonts w:eastAsia="Times New Roman" w:cs="Times New Roman"/>
                <w:sz w:val="18"/>
                <w:szCs w:val="18"/>
              </w:rPr>
              <w:t>t</w:t>
            </w:r>
          </w:p>
        </w:tc>
        <w:tc>
          <w:tcPr>
            <w:tcW w:w="960" w:type="dxa"/>
            <w:tcBorders>
              <w:top w:val="nil"/>
              <w:left w:val="nil"/>
              <w:bottom w:val="single" w:sz="8" w:space="0" w:color="auto"/>
              <w:right w:val="single" w:sz="8" w:space="0" w:color="auto"/>
            </w:tcBorders>
            <w:shd w:val="clear" w:color="auto" w:fill="auto"/>
            <w:vAlign w:val="center"/>
            <w:hideMark/>
          </w:tcPr>
          <w:p w:rsidR="000A22AE" w:rsidRPr="00DA7E4C" w:rsidRDefault="000A22AE" w:rsidP="000A22AE">
            <w:pPr>
              <w:spacing w:before="0" w:after="0" w:line="240" w:lineRule="auto"/>
              <w:jc w:val="center"/>
              <w:rPr>
                <w:rFonts w:eastAsia="Times New Roman" w:cs="Times New Roman"/>
                <w:sz w:val="18"/>
                <w:szCs w:val="18"/>
              </w:rPr>
            </w:pPr>
            <w:r w:rsidRPr="00DA7E4C">
              <w:rPr>
                <w:rFonts w:eastAsia="Times New Roman" w:cs="Times New Roman"/>
                <w:sz w:val="18"/>
                <w:szCs w:val="18"/>
              </w:rPr>
              <w:t>t-1</w:t>
            </w:r>
          </w:p>
        </w:tc>
        <w:tc>
          <w:tcPr>
            <w:tcW w:w="960" w:type="dxa"/>
            <w:tcBorders>
              <w:top w:val="nil"/>
              <w:left w:val="nil"/>
              <w:bottom w:val="single" w:sz="8" w:space="0" w:color="auto"/>
              <w:right w:val="single" w:sz="8" w:space="0" w:color="auto"/>
            </w:tcBorders>
            <w:shd w:val="clear" w:color="auto" w:fill="auto"/>
            <w:vAlign w:val="center"/>
            <w:hideMark/>
          </w:tcPr>
          <w:p w:rsidR="000A22AE" w:rsidRPr="00DA7E4C" w:rsidRDefault="000A22AE" w:rsidP="000A22AE">
            <w:pPr>
              <w:spacing w:before="0" w:after="0" w:line="240" w:lineRule="auto"/>
              <w:jc w:val="center"/>
              <w:rPr>
                <w:rFonts w:eastAsia="Times New Roman" w:cs="Times New Roman"/>
                <w:sz w:val="18"/>
                <w:szCs w:val="18"/>
              </w:rPr>
            </w:pPr>
            <w:r w:rsidRPr="00DA7E4C">
              <w:rPr>
                <w:rFonts w:eastAsia="Times New Roman" w:cs="Times New Roman"/>
                <w:sz w:val="18"/>
                <w:szCs w:val="18"/>
              </w:rPr>
              <w:t>t-2</w:t>
            </w:r>
          </w:p>
        </w:tc>
        <w:tc>
          <w:tcPr>
            <w:tcW w:w="960" w:type="dxa"/>
            <w:tcBorders>
              <w:top w:val="nil"/>
              <w:left w:val="nil"/>
              <w:bottom w:val="single" w:sz="8" w:space="0" w:color="auto"/>
              <w:right w:val="single" w:sz="8" w:space="0" w:color="auto"/>
            </w:tcBorders>
            <w:shd w:val="clear" w:color="auto" w:fill="auto"/>
            <w:vAlign w:val="center"/>
            <w:hideMark/>
          </w:tcPr>
          <w:p w:rsidR="000A22AE" w:rsidRPr="00DA7E4C" w:rsidRDefault="000A22AE" w:rsidP="000A22AE">
            <w:pPr>
              <w:spacing w:before="0" w:after="0" w:line="240" w:lineRule="auto"/>
              <w:jc w:val="center"/>
              <w:rPr>
                <w:rFonts w:eastAsia="Times New Roman" w:cs="Times New Roman"/>
                <w:sz w:val="18"/>
                <w:szCs w:val="18"/>
              </w:rPr>
            </w:pPr>
            <w:r w:rsidRPr="00DA7E4C">
              <w:rPr>
                <w:rFonts w:eastAsia="Times New Roman" w:cs="Times New Roman"/>
                <w:sz w:val="18"/>
                <w:szCs w:val="18"/>
              </w:rPr>
              <w:t>t-3</w:t>
            </w:r>
          </w:p>
        </w:tc>
        <w:tc>
          <w:tcPr>
            <w:tcW w:w="960" w:type="dxa"/>
            <w:tcBorders>
              <w:top w:val="single" w:sz="8" w:space="0" w:color="auto"/>
              <w:left w:val="nil"/>
              <w:bottom w:val="single" w:sz="8" w:space="0" w:color="auto"/>
              <w:right w:val="single" w:sz="8" w:space="0" w:color="auto"/>
            </w:tcBorders>
            <w:shd w:val="clear" w:color="auto" w:fill="auto"/>
            <w:vAlign w:val="center"/>
            <w:hideMark/>
          </w:tcPr>
          <w:p w:rsidR="000A22AE" w:rsidRPr="00DA7E4C" w:rsidRDefault="000A22AE" w:rsidP="000A22AE">
            <w:pPr>
              <w:spacing w:before="0" w:after="0" w:line="240" w:lineRule="auto"/>
              <w:jc w:val="center"/>
              <w:rPr>
                <w:rFonts w:eastAsia="Times New Roman" w:cs="Times New Roman"/>
                <w:sz w:val="18"/>
                <w:szCs w:val="18"/>
              </w:rPr>
            </w:pPr>
            <w:r w:rsidRPr="00DA7E4C">
              <w:rPr>
                <w:rFonts w:eastAsia="Times New Roman" w:cs="Times New Roman"/>
                <w:sz w:val="18"/>
                <w:szCs w:val="18"/>
              </w:rPr>
              <w:t>AR</w:t>
            </w:r>
          </w:p>
        </w:tc>
        <w:tc>
          <w:tcPr>
            <w:tcW w:w="960" w:type="dxa"/>
            <w:tcBorders>
              <w:top w:val="single" w:sz="8" w:space="0" w:color="auto"/>
              <w:left w:val="nil"/>
              <w:bottom w:val="single" w:sz="8" w:space="0" w:color="auto"/>
              <w:right w:val="single" w:sz="4" w:space="0" w:color="auto"/>
            </w:tcBorders>
            <w:shd w:val="clear" w:color="auto" w:fill="auto"/>
            <w:noWrap/>
            <w:vAlign w:val="center"/>
            <w:hideMark/>
          </w:tcPr>
          <w:p w:rsidR="000A22AE" w:rsidRPr="00DA7E4C" w:rsidRDefault="000A22AE" w:rsidP="000A22AE">
            <w:pPr>
              <w:spacing w:before="0" w:after="0" w:line="240" w:lineRule="auto"/>
              <w:jc w:val="center"/>
              <w:rPr>
                <w:rFonts w:eastAsia="Times New Roman" w:cs="Times New Roman"/>
                <w:sz w:val="18"/>
                <w:szCs w:val="18"/>
              </w:rPr>
            </w:pPr>
            <w:r w:rsidRPr="00DA7E4C">
              <w:rPr>
                <w:rFonts w:eastAsia="Times New Roman" w:cs="Times New Roman"/>
                <w:sz w:val="18"/>
                <w:szCs w:val="18"/>
              </w:rPr>
              <w:t>F Value</w:t>
            </w:r>
          </w:p>
        </w:tc>
        <w:tc>
          <w:tcPr>
            <w:tcW w:w="960" w:type="dxa"/>
            <w:vMerge/>
            <w:tcBorders>
              <w:left w:val="single" w:sz="4" w:space="0" w:color="auto"/>
              <w:bottom w:val="single" w:sz="4" w:space="0" w:color="auto"/>
              <w:right w:val="single" w:sz="4" w:space="0" w:color="auto"/>
            </w:tcBorders>
            <w:shd w:val="clear" w:color="auto" w:fill="auto"/>
            <w:noWrap/>
            <w:vAlign w:val="center"/>
            <w:hideMark/>
          </w:tcPr>
          <w:p w:rsidR="000A22AE" w:rsidRPr="00DA7E4C" w:rsidRDefault="000A22AE" w:rsidP="000A22AE">
            <w:pPr>
              <w:spacing w:before="0" w:after="0" w:line="240" w:lineRule="auto"/>
              <w:jc w:val="center"/>
              <w:rPr>
                <w:rFonts w:eastAsia="Times New Roman" w:cs="Times New Roman"/>
                <w:sz w:val="18"/>
                <w:szCs w:val="18"/>
              </w:rPr>
            </w:pPr>
          </w:p>
        </w:tc>
        <w:tc>
          <w:tcPr>
            <w:tcW w:w="960" w:type="dxa"/>
            <w:tcBorders>
              <w:top w:val="single" w:sz="8" w:space="0" w:color="auto"/>
              <w:left w:val="single" w:sz="4" w:space="0" w:color="auto"/>
              <w:bottom w:val="single" w:sz="8" w:space="0" w:color="auto"/>
              <w:right w:val="single" w:sz="8" w:space="0" w:color="auto"/>
            </w:tcBorders>
            <w:shd w:val="clear" w:color="auto" w:fill="auto"/>
            <w:noWrap/>
            <w:vAlign w:val="center"/>
            <w:hideMark/>
          </w:tcPr>
          <w:p w:rsidR="000A22AE" w:rsidRPr="00DA7E4C" w:rsidRDefault="000A22AE" w:rsidP="000A22AE">
            <w:pPr>
              <w:spacing w:before="0" w:after="0" w:line="240" w:lineRule="auto"/>
              <w:jc w:val="center"/>
              <w:rPr>
                <w:rFonts w:eastAsia="Times New Roman" w:cs="Times New Roman"/>
                <w:sz w:val="18"/>
                <w:szCs w:val="18"/>
              </w:rPr>
            </w:pPr>
            <w:r w:rsidRPr="00DA7E4C">
              <w:rPr>
                <w:rFonts w:eastAsia="Times New Roman" w:cs="Times New Roman"/>
                <w:sz w:val="18"/>
                <w:szCs w:val="18"/>
              </w:rPr>
              <w:t>DW</w:t>
            </w:r>
          </w:p>
        </w:tc>
        <w:tc>
          <w:tcPr>
            <w:tcW w:w="960" w:type="dxa"/>
            <w:tcBorders>
              <w:top w:val="single" w:sz="8" w:space="0" w:color="auto"/>
              <w:left w:val="nil"/>
              <w:bottom w:val="single" w:sz="8" w:space="0" w:color="auto"/>
              <w:right w:val="single" w:sz="8" w:space="0" w:color="auto"/>
            </w:tcBorders>
            <w:shd w:val="clear" w:color="auto" w:fill="auto"/>
            <w:vAlign w:val="center"/>
            <w:hideMark/>
          </w:tcPr>
          <w:p w:rsidR="000A22AE" w:rsidRPr="00DA7E4C" w:rsidRDefault="000A22AE" w:rsidP="000A22AE">
            <w:pPr>
              <w:spacing w:before="0" w:after="0" w:line="240" w:lineRule="auto"/>
              <w:jc w:val="center"/>
              <w:rPr>
                <w:rFonts w:eastAsia="Times New Roman" w:cs="Times New Roman"/>
                <w:color w:val="000000"/>
                <w:sz w:val="18"/>
                <w:szCs w:val="18"/>
              </w:rPr>
            </w:pPr>
            <w:r w:rsidRPr="00DA7E4C">
              <w:rPr>
                <w:rFonts w:eastAsia="Times New Roman" w:cs="Times New Roman"/>
                <w:color w:val="000000"/>
                <w:sz w:val="18"/>
                <w:szCs w:val="18"/>
              </w:rPr>
              <w:t>Akaike</w:t>
            </w:r>
          </w:p>
        </w:tc>
      </w:tr>
      <w:tr w:rsidR="000A22AE" w:rsidRPr="00DA7E4C" w:rsidTr="000A22AE">
        <w:trPr>
          <w:trHeight w:val="240"/>
        </w:trPr>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center"/>
              <w:rPr>
                <w:rFonts w:eastAsia="Times New Roman" w:cs="Times New Roman"/>
                <w:sz w:val="18"/>
                <w:szCs w:val="18"/>
              </w:rPr>
            </w:pPr>
            <w:r w:rsidRPr="00DA7E4C">
              <w:rPr>
                <w:rFonts w:eastAsia="Times New Roman" w:cs="Times New Roman"/>
                <w:sz w:val="18"/>
                <w:szCs w:val="18"/>
              </w:rPr>
              <w:t>1</w:t>
            </w:r>
          </w:p>
        </w:tc>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2.843</w:t>
            </w:r>
          </w:p>
        </w:tc>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0.000</w:t>
            </w:r>
          </w:p>
        </w:tc>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0.042</w:t>
            </w:r>
          </w:p>
        </w:tc>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-0.019</w:t>
            </w:r>
          </w:p>
        </w:tc>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0.053</w:t>
            </w:r>
          </w:p>
        </w:tc>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0.787</w:t>
            </w:r>
          </w:p>
        </w:tc>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9.379</w:t>
            </w:r>
          </w:p>
        </w:tc>
        <w:tc>
          <w:tcPr>
            <w:tcW w:w="960" w:type="dxa"/>
            <w:tcBorders>
              <w:top w:val="single" w:sz="4" w:space="0" w:color="auto"/>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0.610</w:t>
            </w:r>
          </w:p>
        </w:tc>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2.352</w:t>
            </w:r>
          </w:p>
        </w:tc>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4.717</w:t>
            </w:r>
          </w:p>
        </w:tc>
      </w:tr>
      <w:tr w:rsidR="000A22AE" w:rsidRPr="00DA7E4C" w:rsidTr="000A22AE">
        <w:trPr>
          <w:trHeight w:val="240"/>
        </w:trPr>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center"/>
              <w:rPr>
                <w:rFonts w:eastAsia="Times New Roman" w:cs="Times New Roman"/>
                <w:b/>
                <w:sz w:val="18"/>
                <w:szCs w:val="18"/>
              </w:rPr>
            </w:pPr>
          </w:p>
        </w:tc>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b/>
                <w:color w:val="000000"/>
                <w:sz w:val="18"/>
                <w:szCs w:val="18"/>
              </w:rPr>
            </w:pPr>
            <w:r w:rsidRPr="00DA7E4C">
              <w:rPr>
                <w:rFonts w:eastAsia="Times New Roman" w:cs="Times New Roman"/>
                <w:b/>
                <w:color w:val="000000"/>
                <w:sz w:val="18"/>
                <w:szCs w:val="18"/>
              </w:rPr>
              <w:t>0.149</w:t>
            </w:r>
          </w:p>
        </w:tc>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b/>
                <w:color w:val="000000"/>
                <w:sz w:val="18"/>
                <w:szCs w:val="18"/>
              </w:rPr>
            </w:pPr>
            <w:r w:rsidRPr="00DA7E4C">
              <w:rPr>
                <w:rFonts w:eastAsia="Times New Roman" w:cs="Times New Roman"/>
                <w:b/>
                <w:color w:val="000000"/>
                <w:sz w:val="18"/>
                <w:szCs w:val="18"/>
              </w:rPr>
              <w:t>0.967</w:t>
            </w:r>
          </w:p>
        </w:tc>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b/>
                <w:color w:val="000000"/>
                <w:sz w:val="18"/>
                <w:szCs w:val="18"/>
              </w:rPr>
            </w:pPr>
            <w:r w:rsidRPr="00DA7E4C">
              <w:rPr>
                <w:rFonts w:eastAsia="Times New Roman" w:cs="Times New Roman"/>
                <w:b/>
                <w:color w:val="000000"/>
                <w:sz w:val="18"/>
                <w:szCs w:val="18"/>
              </w:rPr>
              <w:t>0.000</w:t>
            </w:r>
          </w:p>
        </w:tc>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b/>
                <w:color w:val="000000"/>
                <w:sz w:val="18"/>
                <w:szCs w:val="18"/>
              </w:rPr>
            </w:pPr>
            <w:r w:rsidRPr="00DA7E4C">
              <w:rPr>
                <w:rFonts w:eastAsia="Times New Roman" w:cs="Times New Roman"/>
                <w:b/>
                <w:color w:val="000000"/>
                <w:sz w:val="18"/>
                <w:szCs w:val="18"/>
              </w:rPr>
              <w:t>0.128</w:t>
            </w:r>
          </w:p>
        </w:tc>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b/>
                <w:color w:val="000000"/>
                <w:sz w:val="18"/>
                <w:szCs w:val="18"/>
              </w:rPr>
            </w:pPr>
            <w:r w:rsidRPr="00DA7E4C">
              <w:rPr>
                <w:rFonts w:eastAsia="Times New Roman" w:cs="Times New Roman"/>
                <w:b/>
                <w:color w:val="000000"/>
                <w:sz w:val="18"/>
                <w:szCs w:val="18"/>
              </w:rPr>
              <w:t>0.001</w:t>
            </w:r>
          </w:p>
        </w:tc>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b/>
                <w:color w:val="000000"/>
                <w:sz w:val="18"/>
                <w:szCs w:val="18"/>
              </w:rPr>
            </w:pPr>
            <w:r w:rsidRPr="00DA7E4C">
              <w:rPr>
                <w:rFonts w:eastAsia="Times New Roman" w:cs="Times New Roman"/>
                <w:b/>
                <w:color w:val="000000"/>
                <w:sz w:val="18"/>
                <w:szCs w:val="18"/>
              </w:rPr>
              <w:t>0.000</w:t>
            </w:r>
          </w:p>
        </w:tc>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b/>
                <w:color w:val="000000"/>
                <w:sz w:val="18"/>
                <w:szCs w:val="18"/>
              </w:rPr>
            </w:pPr>
            <w:r w:rsidRPr="00DA7E4C">
              <w:rPr>
                <w:rFonts w:eastAsia="Times New Roman" w:cs="Times New Roman"/>
                <w:b/>
                <w:color w:val="000000"/>
                <w:sz w:val="18"/>
                <w:szCs w:val="18"/>
              </w:rPr>
              <w:t>0.000</w:t>
            </w:r>
          </w:p>
        </w:tc>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b/>
                <w:color w:val="000000"/>
                <w:sz w:val="18"/>
                <w:szCs w:val="18"/>
              </w:rPr>
            </w:pPr>
          </w:p>
        </w:tc>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b/>
                <w:color w:val="000000"/>
                <w:sz w:val="18"/>
                <w:szCs w:val="18"/>
              </w:rPr>
            </w:pPr>
          </w:p>
        </w:tc>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b/>
                <w:color w:val="000000"/>
                <w:sz w:val="18"/>
                <w:szCs w:val="18"/>
              </w:rPr>
            </w:pPr>
          </w:p>
        </w:tc>
      </w:tr>
      <w:tr w:rsidR="000A22AE" w:rsidRPr="00DA7E4C" w:rsidTr="000A22AE">
        <w:trPr>
          <w:trHeight w:val="240"/>
        </w:trPr>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center"/>
              <w:rPr>
                <w:rFonts w:eastAsia="Times New Roman" w:cs="Times New Roman"/>
                <w:sz w:val="18"/>
                <w:szCs w:val="18"/>
              </w:rPr>
            </w:pPr>
            <w:r w:rsidRPr="00DA7E4C">
              <w:rPr>
                <w:rFonts w:eastAsia="Times New Roman" w:cs="Times New Roman"/>
                <w:sz w:val="18"/>
                <w:szCs w:val="18"/>
              </w:rPr>
              <w:t>2</w:t>
            </w:r>
          </w:p>
        </w:tc>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2.036</w:t>
            </w:r>
          </w:p>
        </w:tc>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-0.015</w:t>
            </w:r>
          </w:p>
        </w:tc>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color w:val="000000"/>
                <w:sz w:val="18"/>
                <w:szCs w:val="18"/>
              </w:rPr>
            </w:pPr>
          </w:p>
        </w:tc>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color w:val="000000"/>
                <w:sz w:val="18"/>
                <w:szCs w:val="18"/>
              </w:rPr>
            </w:pPr>
          </w:p>
        </w:tc>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color w:val="000000"/>
                <w:sz w:val="18"/>
                <w:szCs w:val="18"/>
              </w:rPr>
            </w:pPr>
          </w:p>
        </w:tc>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0.581</w:t>
            </w:r>
          </w:p>
        </w:tc>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8.469</w:t>
            </w:r>
          </w:p>
        </w:tc>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0.320</w:t>
            </w:r>
          </w:p>
        </w:tc>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2.436</w:t>
            </w:r>
          </w:p>
        </w:tc>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5.039</w:t>
            </w:r>
          </w:p>
        </w:tc>
      </w:tr>
      <w:tr w:rsidR="000A22AE" w:rsidRPr="00DA7E4C" w:rsidTr="000A22AE">
        <w:trPr>
          <w:trHeight w:val="240"/>
        </w:trPr>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center"/>
              <w:rPr>
                <w:rFonts w:eastAsia="Times New Roman" w:cs="Times New Roman"/>
                <w:b/>
                <w:sz w:val="18"/>
                <w:szCs w:val="18"/>
              </w:rPr>
            </w:pPr>
          </w:p>
        </w:tc>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b/>
                <w:color w:val="000000"/>
                <w:sz w:val="18"/>
                <w:szCs w:val="18"/>
              </w:rPr>
            </w:pPr>
            <w:r w:rsidRPr="00DA7E4C">
              <w:rPr>
                <w:rFonts w:eastAsia="Times New Roman" w:cs="Times New Roman"/>
                <w:b/>
                <w:color w:val="000000"/>
                <w:sz w:val="18"/>
                <w:szCs w:val="18"/>
              </w:rPr>
              <w:t>0.076</w:t>
            </w:r>
          </w:p>
        </w:tc>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b/>
                <w:color w:val="000000"/>
                <w:sz w:val="18"/>
                <w:szCs w:val="18"/>
              </w:rPr>
            </w:pPr>
            <w:r w:rsidRPr="00DA7E4C">
              <w:rPr>
                <w:rFonts w:eastAsia="Times New Roman" w:cs="Times New Roman"/>
                <w:b/>
                <w:color w:val="000000"/>
                <w:sz w:val="18"/>
                <w:szCs w:val="18"/>
              </w:rPr>
              <w:t>0.134</w:t>
            </w:r>
          </w:p>
        </w:tc>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b/>
                <w:color w:val="000000"/>
                <w:sz w:val="18"/>
                <w:szCs w:val="18"/>
              </w:rPr>
            </w:pPr>
          </w:p>
        </w:tc>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b/>
                <w:color w:val="000000"/>
                <w:sz w:val="18"/>
                <w:szCs w:val="18"/>
              </w:rPr>
            </w:pPr>
          </w:p>
        </w:tc>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b/>
                <w:color w:val="000000"/>
                <w:sz w:val="18"/>
                <w:szCs w:val="18"/>
              </w:rPr>
            </w:pPr>
          </w:p>
        </w:tc>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b/>
                <w:color w:val="000000"/>
                <w:sz w:val="18"/>
                <w:szCs w:val="18"/>
              </w:rPr>
            </w:pPr>
            <w:r w:rsidRPr="00DA7E4C">
              <w:rPr>
                <w:rFonts w:eastAsia="Times New Roman" w:cs="Times New Roman"/>
                <w:b/>
                <w:color w:val="000000"/>
                <w:sz w:val="18"/>
                <w:szCs w:val="18"/>
              </w:rPr>
              <w:t>0.000</w:t>
            </w:r>
          </w:p>
        </w:tc>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b/>
                <w:color w:val="000000"/>
                <w:sz w:val="18"/>
                <w:szCs w:val="18"/>
              </w:rPr>
            </w:pPr>
            <w:r w:rsidRPr="00DA7E4C">
              <w:rPr>
                <w:rFonts w:eastAsia="Times New Roman" w:cs="Times New Roman"/>
                <w:b/>
                <w:color w:val="000000"/>
                <w:sz w:val="18"/>
                <w:szCs w:val="18"/>
              </w:rPr>
              <w:t>0.001</w:t>
            </w:r>
          </w:p>
        </w:tc>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b/>
                <w:color w:val="000000"/>
                <w:sz w:val="18"/>
                <w:szCs w:val="18"/>
              </w:rPr>
            </w:pPr>
          </w:p>
        </w:tc>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b/>
                <w:color w:val="000000"/>
                <w:sz w:val="18"/>
                <w:szCs w:val="18"/>
              </w:rPr>
            </w:pPr>
          </w:p>
        </w:tc>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b/>
                <w:color w:val="000000"/>
                <w:sz w:val="18"/>
                <w:szCs w:val="18"/>
              </w:rPr>
            </w:pPr>
          </w:p>
        </w:tc>
      </w:tr>
      <w:tr w:rsidR="000A22AE" w:rsidRPr="00DA7E4C" w:rsidTr="000A22AE">
        <w:trPr>
          <w:trHeight w:val="240"/>
        </w:trPr>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center"/>
              <w:rPr>
                <w:rFonts w:eastAsia="Times New Roman" w:cs="Times New Roman"/>
                <w:sz w:val="18"/>
                <w:szCs w:val="18"/>
              </w:rPr>
            </w:pPr>
            <w:r w:rsidRPr="00DA7E4C">
              <w:rPr>
                <w:rFonts w:eastAsia="Times New Roman" w:cs="Times New Roman"/>
                <w:sz w:val="18"/>
                <w:szCs w:val="18"/>
              </w:rPr>
              <w:t>3</w:t>
            </w:r>
          </w:p>
        </w:tc>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2.383</w:t>
            </w:r>
          </w:p>
        </w:tc>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color w:val="000000"/>
                <w:sz w:val="18"/>
                <w:szCs w:val="18"/>
              </w:rPr>
            </w:pPr>
          </w:p>
        </w:tc>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0.028</w:t>
            </w:r>
          </w:p>
        </w:tc>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color w:val="000000"/>
                <w:sz w:val="18"/>
                <w:szCs w:val="18"/>
              </w:rPr>
            </w:pPr>
          </w:p>
        </w:tc>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color w:val="000000"/>
                <w:sz w:val="18"/>
                <w:szCs w:val="18"/>
              </w:rPr>
            </w:pPr>
          </w:p>
        </w:tc>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0.635</w:t>
            </w:r>
          </w:p>
        </w:tc>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12.259</w:t>
            </w:r>
          </w:p>
        </w:tc>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0.412</w:t>
            </w:r>
          </w:p>
        </w:tc>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2.566</w:t>
            </w:r>
          </w:p>
        </w:tc>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4.915</w:t>
            </w:r>
          </w:p>
        </w:tc>
      </w:tr>
      <w:tr w:rsidR="000A22AE" w:rsidRPr="00DA7E4C" w:rsidTr="000A22AE">
        <w:trPr>
          <w:trHeight w:val="240"/>
        </w:trPr>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center"/>
              <w:rPr>
                <w:rFonts w:eastAsia="Times New Roman" w:cs="Times New Roman"/>
                <w:b/>
                <w:sz w:val="18"/>
                <w:szCs w:val="18"/>
              </w:rPr>
            </w:pPr>
          </w:p>
        </w:tc>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b/>
                <w:color w:val="000000"/>
                <w:sz w:val="18"/>
                <w:szCs w:val="18"/>
              </w:rPr>
            </w:pPr>
            <w:r w:rsidRPr="00DA7E4C">
              <w:rPr>
                <w:rFonts w:eastAsia="Times New Roman" w:cs="Times New Roman"/>
                <w:b/>
                <w:color w:val="000000"/>
                <w:sz w:val="18"/>
                <w:szCs w:val="18"/>
              </w:rPr>
              <w:t>0.063</w:t>
            </w:r>
          </w:p>
        </w:tc>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b/>
                <w:color w:val="000000"/>
                <w:sz w:val="18"/>
                <w:szCs w:val="18"/>
              </w:rPr>
            </w:pPr>
          </w:p>
        </w:tc>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b/>
                <w:color w:val="000000"/>
                <w:sz w:val="18"/>
                <w:szCs w:val="18"/>
              </w:rPr>
            </w:pPr>
            <w:r w:rsidRPr="00DA7E4C">
              <w:rPr>
                <w:rFonts w:eastAsia="Times New Roman" w:cs="Times New Roman"/>
                <w:b/>
                <w:color w:val="000000"/>
                <w:sz w:val="18"/>
                <w:szCs w:val="18"/>
              </w:rPr>
              <w:t>0.006</w:t>
            </w:r>
          </w:p>
        </w:tc>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b/>
                <w:color w:val="000000"/>
                <w:sz w:val="18"/>
                <w:szCs w:val="18"/>
              </w:rPr>
            </w:pPr>
          </w:p>
        </w:tc>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b/>
                <w:color w:val="000000"/>
                <w:sz w:val="18"/>
                <w:szCs w:val="18"/>
              </w:rPr>
            </w:pPr>
          </w:p>
        </w:tc>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b/>
                <w:color w:val="000000"/>
                <w:sz w:val="18"/>
                <w:szCs w:val="18"/>
              </w:rPr>
            </w:pPr>
            <w:r w:rsidRPr="00DA7E4C">
              <w:rPr>
                <w:rFonts w:eastAsia="Times New Roman" w:cs="Times New Roman"/>
                <w:b/>
                <w:color w:val="000000"/>
                <w:sz w:val="18"/>
                <w:szCs w:val="18"/>
              </w:rPr>
              <w:t>0.000</w:t>
            </w:r>
          </w:p>
        </w:tc>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b/>
                <w:color w:val="000000"/>
                <w:sz w:val="18"/>
                <w:szCs w:val="18"/>
              </w:rPr>
            </w:pPr>
            <w:r w:rsidRPr="00DA7E4C">
              <w:rPr>
                <w:rFonts w:eastAsia="Times New Roman" w:cs="Times New Roman"/>
                <w:b/>
                <w:color w:val="000000"/>
                <w:sz w:val="18"/>
                <w:szCs w:val="18"/>
              </w:rPr>
              <w:t>0.000</w:t>
            </w:r>
          </w:p>
        </w:tc>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b/>
                <w:color w:val="000000"/>
                <w:sz w:val="18"/>
                <w:szCs w:val="18"/>
              </w:rPr>
            </w:pPr>
          </w:p>
        </w:tc>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b/>
                <w:color w:val="000000"/>
                <w:sz w:val="18"/>
                <w:szCs w:val="18"/>
              </w:rPr>
            </w:pPr>
          </w:p>
        </w:tc>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b/>
                <w:color w:val="000000"/>
                <w:sz w:val="18"/>
                <w:szCs w:val="18"/>
              </w:rPr>
            </w:pPr>
          </w:p>
        </w:tc>
      </w:tr>
      <w:tr w:rsidR="000A22AE" w:rsidRPr="00DA7E4C" w:rsidTr="000A22AE">
        <w:trPr>
          <w:trHeight w:val="240"/>
        </w:trPr>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center"/>
              <w:rPr>
                <w:rFonts w:eastAsia="Times New Roman" w:cs="Times New Roman"/>
                <w:sz w:val="18"/>
                <w:szCs w:val="18"/>
              </w:rPr>
            </w:pPr>
            <w:r w:rsidRPr="00DA7E4C">
              <w:rPr>
                <w:rFonts w:eastAsia="Times New Roman" w:cs="Times New Roman"/>
                <w:sz w:val="18"/>
                <w:szCs w:val="18"/>
              </w:rPr>
              <w:t>4</w:t>
            </w:r>
          </w:p>
        </w:tc>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2.128</w:t>
            </w:r>
          </w:p>
        </w:tc>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color w:val="000000"/>
                <w:sz w:val="18"/>
                <w:szCs w:val="18"/>
              </w:rPr>
            </w:pPr>
          </w:p>
        </w:tc>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color w:val="000000"/>
                <w:sz w:val="18"/>
                <w:szCs w:val="18"/>
              </w:rPr>
            </w:pPr>
          </w:p>
        </w:tc>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0.004</w:t>
            </w:r>
          </w:p>
        </w:tc>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color w:val="000000"/>
                <w:sz w:val="18"/>
                <w:szCs w:val="18"/>
              </w:rPr>
            </w:pPr>
          </w:p>
        </w:tc>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0.514</w:t>
            </w:r>
          </w:p>
        </w:tc>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6.289</w:t>
            </w:r>
          </w:p>
        </w:tc>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0.270</w:t>
            </w:r>
          </w:p>
        </w:tc>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2.533</w:t>
            </w:r>
          </w:p>
        </w:tc>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5.154</w:t>
            </w:r>
          </w:p>
        </w:tc>
      </w:tr>
      <w:tr w:rsidR="000A22AE" w:rsidRPr="00DA7E4C" w:rsidTr="000A22AE">
        <w:trPr>
          <w:trHeight w:val="240"/>
        </w:trPr>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center"/>
              <w:rPr>
                <w:rFonts w:eastAsia="Times New Roman" w:cs="Times New Roman"/>
                <w:b/>
                <w:sz w:val="18"/>
                <w:szCs w:val="18"/>
              </w:rPr>
            </w:pPr>
          </w:p>
        </w:tc>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b/>
                <w:color w:val="000000"/>
                <w:sz w:val="18"/>
                <w:szCs w:val="18"/>
              </w:rPr>
            </w:pPr>
            <w:r w:rsidRPr="00DA7E4C">
              <w:rPr>
                <w:rFonts w:eastAsia="Times New Roman" w:cs="Times New Roman"/>
                <w:b/>
                <w:color w:val="000000"/>
                <w:sz w:val="18"/>
                <w:szCs w:val="18"/>
              </w:rPr>
              <w:t>0.051</w:t>
            </w:r>
          </w:p>
        </w:tc>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b/>
                <w:color w:val="000000"/>
                <w:sz w:val="18"/>
                <w:szCs w:val="18"/>
              </w:rPr>
            </w:pPr>
          </w:p>
        </w:tc>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b/>
                <w:color w:val="000000"/>
                <w:sz w:val="18"/>
                <w:szCs w:val="18"/>
              </w:rPr>
            </w:pPr>
          </w:p>
        </w:tc>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b/>
                <w:color w:val="000000"/>
                <w:sz w:val="18"/>
                <w:szCs w:val="18"/>
              </w:rPr>
            </w:pPr>
            <w:r w:rsidRPr="00DA7E4C">
              <w:rPr>
                <w:rFonts w:eastAsia="Times New Roman" w:cs="Times New Roman"/>
                <w:b/>
                <w:color w:val="000000"/>
                <w:sz w:val="18"/>
                <w:szCs w:val="18"/>
              </w:rPr>
              <w:t>0.811</w:t>
            </w:r>
          </w:p>
        </w:tc>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b/>
                <w:color w:val="000000"/>
                <w:sz w:val="18"/>
                <w:szCs w:val="18"/>
              </w:rPr>
            </w:pPr>
          </w:p>
        </w:tc>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b/>
                <w:color w:val="000000"/>
                <w:sz w:val="18"/>
                <w:szCs w:val="18"/>
              </w:rPr>
            </w:pPr>
            <w:r w:rsidRPr="00DA7E4C">
              <w:rPr>
                <w:rFonts w:eastAsia="Times New Roman" w:cs="Times New Roman"/>
                <w:b/>
                <w:color w:val="000000"/>
                <w:sz w:val="18"/>
                <w:szCs w:val="18"/>
              </w:rPr>
              <w:t>0.004</w:t>
            </w:r>
          </w:p>
        </w:tc>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b/>
                <w:color w:val="000000"/>
                <w:sz w:val="18"/>
                <w:szCs w:val="18"/>
              </w:rPr>
            </w:pPr>
            <w:r w:rsidRPr="00DA7E4C">
              <w:rPr>
                <w:rFonts w:eastAsia="Times New Roman" w:cs="Times New Roman"/>
                <w:b/>
                <w:color w:val="000000"/>
                <w:sz w:val="18"/>
                <w:szCs w:val="18"/>
              </w:rPr>
              <w:t>0.005</w:t>
            </w:r>
          </w:p>
        </w:tc>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b/>
                <w:color w:val="000000"/>
                <w:sz w:val="18"/>
                <w:szCs w:val="18"/>
              </w:rPr>
            </w:pPr>
          </w:p>
        </w:tc>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b/>
                <w:color w:val="000000"/>
                <w:sz w:val="18"/>
                <w:szCs w:val="18"/>
              </w:rPr>
            </w:pPr>
          </w:p>
        </w:tc>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b/>
                <w:color w:val="000000"/>
                <w:sz w:val="18"/>
                <w:szCs w:val="18"/>
              </w:rPr>
            </w:pPr>
          </w:p>
        </w:tc>
      </w:tr>
      <w:tr w:rsidR="000A22AE" w:rsidRPr="00DA7E4C" w:rsidTr="000A22AE">
        <w:trPr>
          <w:trHeight w:val="240"/>
        </w:trPr>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center"/>
              <w:rPr>
                <w:rFonts w:eastAsia="Times New Roman" w:cs="Times New Roman"/>
                <w:sz w:val="18"/>
                <w:szCs w:val="18"/>
              </w:rPr>
            </w:pPr>
            <w:r w:rsidRPr="00DA7E4C">
              <w:rPr>
                <w:rFonts w:eastAsia="Times New Roman" w:cs="Times New Roman"/>
                <w:sz w:val="18"/>
                <w:szCs w:val="18"/>
              </w:rPr>
              <w:t>5</w:t>
            </w:r>
          </w:p>
        </w:tc>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2.190</w:t>
            </w:r>
          </w:p>
        </w:tc>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color w:val="000000"/>
                <w:sz w:val="18"/>
                <w:szCs w:val="18"/>
              </w:rPr>
            </w:pPr>
          </w:p>
        </w:tc>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color w:val="000000"/>
                <w:sz w:val="18"/>
                <w:szCs w:val="18"/>
              </w:rPr>
            </w:pPr>
          </w:p>
        </w:tc>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color w:val="000000"/>
                <w:sz w:val="18"/>
                <w:szCs w:val="18"/>
              </w:rPr>
            </w:pPr>
          </w:p>
        </w:tc>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0.021</w:t>
            </w:r>
          </w:p>
        </w:tc>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0.575</w:t>
            </w:r>
          </w:p>
        </w:tc>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7.301</w:t>
            </w:r>
          </w:p>
        </w:tc>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0.307</w:t>
            </w:r>
          </w:p>
        </w:tc>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2.400</w:t>
            </w:r>
          </w:p>
        </w:tc>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color w:val="000000"/>
                <w:sz w:val="18"/>
                <w:szCs w:val="18"/>
              </w:rPr>
            </w:pPr>
            <w:r w:rsidRPr="00DA7E4C">
              <w:rPr>
                <w:rFonts w:eastAsia="Times New Roman" w:cs="Times New Roman"/>
                <w:color w:val="000000"/>
                <w:sz w:val="18"/>
                <w:szCs w:val="18"/>
              </w:rPr>
              <w:t>5.125</w:t>
            </w:r>
          </w:p>
        </w:tc>
      </w:tr>
      <w:tr w:rsidR="000A22AE" w:rsidRPr="00DA7E4C" w:rsidTr="000A22AE">
        <w:trPr>
          <w:trHeight w:val="240"/>
        </w:trPr>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center"/>
              <w:rPr>
                <w:rFonts w:eastAsia="Times New Roman" w:cs="Times New Roman"/>
                <w:b/>
                <w:sz w:val="18"/>
                <w:szCs w:val="18"/>
              </w:rPr>
            </w:pPr>
          </w:p>
        </w:tc>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b/>
                <w:color w:val="000000"/>
                <w:sz w:val="18"/>
                <w:szCs w:val="18"/>
              </w:rPr>
            </w:pPr>
            <w:r w:rsidRPr="00DA7E4C">
              <w:rPr>
                <w:rFonts w:eastAsia="Times New Roman" w:cs="Times New Roman"/>
                <w:b/>
                <w:color w:val="000000"/>
                <w:sz w:val="18"/>
                <w:szCs w:val="18"/>
              </w:rPr>
              <w:t>0.074</w:t>
            </w:r>
          </w:p>
        </w:tc>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b/>
                <w:color w:val="000000"/>
                <w:sz w:val="18"/>
                <w:szCs w:val="18"/>
              </w:rPr>
            </w:pPr>
          </w:p>
        </w:tc>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b/>
                <w:color w:val="000000"/>
                <w:sz w:val="18"/>
                <w:szCs w:val="18"/>
              </w:rPr>
            </w:pPr>
          </w:p>
        </w:tc>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left"/>
              <w:rPr>
                <w:rFonts w:eastAsia="Times New Roman" w:cs="Times New Roman"/>
                <w:b/>
                <w:color w:val="000000"/>
                <w:sz w:val="18"/>
                <w:szCs w:val="18"/>
              </w:rPr>
            </w:pPr>
          </w:p>
        </w:tc>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b/>
                <w:color w:val="000000"/>
                <w:sz w:val="18"/>
                <w:szCs w:val="18"/>
              </w:rPr>
            </w:pPr>
            <w:r w:rsidRPr="00DA7E4C">
              <w:rPr>
                <w:rFonts w:eastAsia="Times New Roman" w:cs="Times New Roman"/>
                <w:b/>
                <w:color w:val="000000"/>
                <w:sz w:val="18"/>
                <w:szCs w:val="18"/>
              </w:rPr>
              <w:t>0.158</w:t>
            </w:r>
          </w:p>
        </w:tc>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b/>
                <w:color w:val="000000"/>
                <w:sz w:val="18"/>
                <w:szCs w:val="18"/>
              </w:rPr>
            </w:pPr>
            <w:r w:rsidRPr="00DA7E4C">
              <w:rPr>
                <w:rFonts w:eastAsia="Times New Roman" w:cs="Times New Roman"/>
                <w:b/>
                <w:color w:val="000000"/>
                <w:sz w:val="18"/>
                <w:szCs w:val="18"/>
              </w:rPr>
              <w:t>0.000</w:t>
            </w:r>
          </w:p>
        </w:tc>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b/>
                <w:color w:val="000000"/>
                <w:sz w:val="18"/>
                <w:szCs w:val="18"/>
              </w:rPr>
            </w:pPr>
            <w:r w:rsidRPr="00DA7E4C">
              <w:rPr>
                <w:rFonts w:eastAsia="Times New Roman" w:cs="Times New Roman"/>
                <w:b/>
                <w:color w:val="000000"/>
                <w:sz w:val="18"/>
                <w:szCs w:val="18"/>
              </w:rPr>
              <w:t>0.002</w:t>
            </w:r>
          </w:p>
        </w:tc>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b/>
                <w:color w:val="000000"/>
                <w:sz w:val="18"/>
                <w:szCs w:val="18"/>
              </w:rPr>
            </w:pPr>
          </w:p>
        </w:tc>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b/>
                <w:color w:val="000000"/>
                <w:sz w:val="18"/>
                <w:szCs w:val="18"/>
              </w:rPr>
            </w:pPr>
          </w:p>
        </w:tc>
        <w:tc>
          <w:tcPr>
            <w:tcW w:w="960" w:type="dxa"/>
            <w:tcBorders>
              <w:top w:val="nil"/>
              <w:left w:val="nil"/>
              <w:bottom w:val="nil"/>
              <w:right w:val="nil"/>
            </w:tcBorders>
            <w:shd w:val="clear" w:color="auto" w:fill="auto"/>
            <w:noWrap/>
            <w:vAlign w:val="bottom"/>
            <w:hideMark/>
          </w:tcPr>
          <w:p w:rsidR="000A22AE" w:rsidRPr="00DA7E4C" w:rsidRDefault="000A22AE" w:rsidP="000A22AE">
            <w:pPr>
              <w:spacing w:before="0" w:after="0" w:line="240" w:lineRule="auto"/>
              <w:jc w:val="right"/>
              <w:rPr>
                <w:rFonts w:eastAsia="Times New Roman" w:cs="Times New Roman"/>
                <w:b/>
                <w:color w:val="000000"/>
                <w:sz w:val="18"/>
                <w:szCs w:val="18"/>
              </w:rPr>
            </w:pPr>
          </w:p>
        </w:tc>
      </w:tr>
    </w:tbl>
    <w:p w:rsidR="00C56FB9" w:rsidRPr="00762161" w:rsidRDefault="00C56FB9" w:rsidP="000A22AE">
      <w:pPr>
        <w:spacing w:before="0" w:after="0" w:line="240" w:lineRule="auto"/>
        <w:jc w:val="left"/>
        <w:sectPr w:rsidR="00C56FB9" w:rsidRPr="00762161" w:rsidSect="007F142F">
          <w:pgSz w:w="15840" w:h="12240" w:orient="landscape"/>
          <w:pgMar w:top="1467" w:right="1440" w:bottom="1440" w:left="1440" w:header="708" w:footer="708" w:gutter="0"/>
          <w:cols w:space="708"/>
          <w:titlePg/>
          <w:docGrid w:linePitch="360"/>
        </w:sectPr>
      </w:pPr>
    </w:p>
    <w:p w:rsidR="00C56FB9" w:rsidRPr="00762161" w:rsidRDefault="00C56FB9" w:rsidP="00C56FB9">
      <w:pPr>
        <w:spacing w:before="480"/>
      </w:pPr>
    </w:p>
    <w:sectPr w:rsidR="00C56FB9" w:rsidRPr="00762161" w:rsidSect="007F142F">
      <w:type w:val="continuous"/>
      <w:pgSz w:w="12240" w:h="15840"/>
      <w:pgMar w:top="1440" w:right="1467" w:bottom="1440" w:left="1440" w:header="708" w:footer="708"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D449F" w:rsidRDefault="001D449F" w:rsidP="005B2B5F">
      <w:pPr>
        <w:spacing w:line="240" w:lineRule="auto"/>
      </w:pPr>
      <w:r>
        <w:separator/>
      </w:r>
    </w:p>
  </w:endnote>
  <w:endnote w:type="continuationSeparator" w:id="0">
    <w:p w:rsidR="001D449F" w:rsidRDefault="001D449F" w:rsidP="005B2B5F">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A00002EF" w:usb1="4000004B" w:usb2="00000000" w:usb3="00000000" w:csb0="0000019F" w:csb1="00000000"/>
  </w:font>
  <w:font w:name="Tahoma">
    <w:panose1 w:val="00000000000000000000"/>
    <w:charset w:val="00"/>
    <w:family w:val="swiss"/>
    <w:notTrueType/>
    <w:pitch w:val="variable"/>
    <w:sig w:usb0="00000003" w:usb1="00000000" w:usb2="00000000" w:usb3="00000000" w:csb0="00000001" w:csb1="00000000"/>
  </w:font>
  <w:font w:name="Cambria Math">
    <w:panose1 w:val="02040503050406030204"/>
    <w:charset w:val="00"/>
    <w:family w:val="roman"/>
    <w:pitch w:val="variable"/>
    <w:sig w:usb0="A00002EF" w:usb1="420020EB" w:usb2="00000000" w:usb3="00000000" w:csb0="0000019F" w:csb1="00000000"/>
  </w:font>
  <w:font w:name="SimSun">
    <w:altName w:val="宋体"/>
    <w:panose1 w:val="02010600030101010101"/>
    <w:charset w:val="86"/>
    <w:family w:val="auto"/>
    <w:notTrueType/>
    <w:pitch w:val="variable"/>
    <w:sig w:usb0="00000001" w:usb1="080E0000" w:usb2="00000010" w:usb3="00000000" w:csb0="00040000" w:csb1="00000000"/>
  </w:font>
  <w:font w:name="PMingLiU">
    <w:altName w:val="新細明體"/>
    <w:panose1 w:val="02020500000000000000"/>
    <w:charset w:val="88"/>
    <w:family w:val="auto"/>
    <w:notTrueType/>
    <w:pitch w:val="variable"/>
    <w:sig w:usb0="00000001" w:usb1="08080000" w:usb2="00000010" w:usb3="00000000" w:csb0="001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5000" w:type="pct"/>
      <w:tblBorders>
        <w:insideV w:val="single" w:sz="18" w:space="0" w:color="4F81BD" w:themeColor="accent1"/>
      </w:tblBorders>
      <w:tblCellMar>
        <w:top w:w="58" w:type="dxa"/>
        <w:left w:w="115" w:type="dxa"/>
        <w:bottom w:w="58" w:type="dxa"/>
        <w:right w:w="115" w:type="dxa"/>
      </w:tblCellMar>
      <w:tblLook w:val="04A0"/>
    </w:tblPr>
    <w:tblGrid>
      <w:gridCol w:w="1434"/>
      <w:gridCol w:w="8129"/>
    </w:tblGrid>
    <w:tr w:rsidR="00DA7E4C">
      <w:tc>
        <w:tcPr>
          <w:tcW w:w="750" w:type="pct"/>
        </w:tcPr>
        <w:p w:rsidR="00DA7E4C" w:rsidRDefault="006F1E00">
          <w:pPr>
            <w:pStyle w:val="Footer"/>
            <w:jc w:val="right"/>
            <w:rPr>
              <w:color w:val="4F81BD" w:themeColor="accent1"/>
            </w:rPr>
          </w:pPr>
          <w:fldSimple w:instr=" PAGE   \* MERGEFORMAT ">
            <w:r w:rsidR="00DF2B6C" w:rsidRPr="00DF2B6C">
              <w:rPr>
                <w:noProof/>
                <w:color w:val="4F81BD" w:themeColor="accent1"/>
              </w:rPr>
              <w:t>94</w:t>
            </w:r>
          </w:fldSimple>
        </w:p>
      </w:tc>
      <w:tc>
        <w:tcPr>
          <w:tcW w:w="4250" w:type="pct"/>
        </w:tcPr>
        <w:p w:rsidR="00DA7E4C" w:rsidRDefault="00DA7E4C">
          <w:pPr>
            <w:pStyle w:val="Footer"/>
            <w:rPr>
              <w:color w:val="4F81BD" w:themeColor="accent1"/>
            </w:rPr>
          </w:pPr>
          <w:r>
            <w:rPr>
              <w:color w:val="4F81BD" w:themeColor="accent1"/>
            </w:rPr>
            <w:t>John Golding 0617664a</w:t>
          </w:r>
        </w:p>
      </w:tc>
    </w:tr>
  </w:tbl>
  <w:p w:rsidR="00DA7E4C" w:rsidRDefault="00DA7E4C">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5000" w:type="pct"/>
      <w:tblBorders>
        <w:insideV w:val="single" w:sz="18" w:space="0" w:color="4F81BD" w:themeColor="accent1"/>
      </w:tblBorders>
      <w:tblCellMar>
        <w:top w:w="58" w:type="dxa"/>
        <w:left w:w="115" w:type="dxa"/>
        <w:bottom w:w="58" w:type="dxa"/>
        <w:right w:w="115" w:type="dxa"/>
      </w:tblCellMar>
      <w:tblLook w:val="04A0"/>
    </w:tblPr>
    <w:tblGrid>
      <w:gridCol w:w="1434"/>
      <w:gridCol w:w="8129"/>
    </w:tblGrid>
    <w:tr w:rsidR="00DA7E4C">
      <w:tc>
        <w:tcPr>
          <w:tcW w:w="750" w:type="pct"/>
        </w:tcPr>
        <w:p w:rsidR="00DA7E4C" w:rsidRDefault="006F1E00">
          <w:pPr>
            <w:pStyle w:val="Footer"/>
            <w:jc w:val="right"/>
            <w:rPr>
              <w:color w:val="4F81BD" w:themeColor="accent1"/>
            </w:rPr>
          </w:pPr>
          <w:fldSimple w:instr=" PAGE   \* MERGEFORMAT ">
            <w:r w:rsidR="00DF2B6C" w:rsidRPr="00DF2B6C">
              <w:rPr>
                <w:noProof/>
                <w:color w:val="4F81BD" w:themeColor="accent1"/>
              </w:rPr>
              <w:t>93</w:t>
            </w:r>
          </w:fldSimple>
        </w:p>
      </w:tc>
      <w:tc>
        <w:tcPr>
          <w:tcW w:w="4250" w:type="pct"/>
        </w:tcPr>
        <w:p w:rsidR="00DA7E4C" w:rsidRDefault="00DA7E4C">
          <w:pPr>
            <w:pStyle w:val="Footer"/>
            <w:rPr>
              <w:color w:val="4F81BD" w:themeColor="accent1"/>
            </w:rPr>
          </w:pPr>
          <w:r>
            <w:rPr>
              <w:color w:val="4F81BD" w:themeColor="accent1"/>
            </w:rPr>
            <w:t>John Golding 0617664a</w:t>
          </w:r>
        </w:p>
      </w:tc>
    </w:tr>
  </w:tbl>
  <w:p w:rsidR="00DA7E4C" w:rsidRDefault="00DA7E4C">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5000" w:type="pct"/>
      <w:tblBorders>
        <w:insideV w:val="single" w:sz="18" w:space="0" w:color="4F81BD" w:themeColor="accent1"/>
      </w:tblBorders>
      <w:tblCellMar>
        <w:top w:w="58" w:type="dxa"/>
        <w:left w:w="115" w:type="dxa"/>
        <w:bottom w:w="58" w:type="dxa"/>
        <w:right w:w="115" w:type="dxa"/>
      </w:tblCellMar>
      <w:tblLook w:val="04A0"/>
    </w:tblPr>
    <w:tblGrid>
      <w:gridCol w:w="1434"/>
      <w:gridCol w:w="8129"/>
    </w:tblGrid>
    <w:tr w:rsidR="00DA7E4C">
      <w:tc>
        <w:tcPr>
          <w:tcW w:w="750" w:type="pct"/>
        </w:tcPr>
        <w:p w:rsidR="00DA7E4C" w:rsidRDefault="006F1E00">
          <w:pPr>
            <w:pStyle w:val="Footer"/>
            <w:jc w:val="right"/>
            <w:rPr>
              <w:color w:val="4F81BD" w:themeColor="accent1"/>
            </w:rPr>
          </w:pPr>
          <w:fldSimple w:instr=" PAGE   \* MERGEFORMAT ">
            <w:r w:rsidR="009F1D1D" w:rsidRPr="009F1D1D">
              <w:rPr>
                <w:noProof/>
                <w:color w:val="4F81BD" w:themeColor="accent1"/>
              </w:rPr>
              <w:t>99</w:t>
            </w:r>
          </w:fldSimple>
        </w:p>
      </w:tc>
      <w:tc>
        <w:tcPr>
          <w:tcW w:w="4250" w:type="pct"/>
        </w:tcPr>
        <w:p w:rsidR="00DA7E4C" w:rsidRPr="00FE4BD4" w:rsidRDefault="00DA7E4C" w:rsidP="00FE4BD4">
          <w:pPr>
            <w:pStyle w:val="Header"/>
            <w:jc w:val="right"/>
            <w:rPr>
              <w:color w:val="4F81BD" w:themeColor="accent1"/>
              <w:sz w:val="20"/>
            </w:rPr>
          </w:pPr>
          <w:smartTag w:uri="urn:schemas:contacts" w:element="GivenName">
            <w:r w:rsidRPr="004C02E0">
              <w:rPr>
                <w:color w:val="4F81BD" w:themeColor="accent1"/>
                <w:sz w:val="20"/>
              </w:rPr>
              <w:t>John</w:t>
            </w:r>
          </w:smartTag>
          <w:r w:rsidRPr="004C02E0">
            <w:rPr>
              <w:color w:val="4F81BD" w:themeColor="accent1"/>
              <w:sz w:val="20"/>
            </w:rPr>
            <w:t xml:space="preserve"> </w:t>
          </w:r>
          <w:smartTag w:uri="urn:schemas:contacts" w:element="Sn">
            <w:r w:rsidRPr="004C02E0">
              <w:rPr>
                <w:color w:val="4F81BD" w:themeColor="accent1"/>
                <w:sz w:val="20"/>
              </w:rPr>
              <w:t>Golding</w:t>
            </w:r>
          </w:smartTag>
          <w:r w:rsidRPr="004C02E0">
            <w:rPr>
              <w:color w:val="4F81BD" w:themeColor="accent1"/>
              <w:sz w:val="20"/>
            </w:rPr>
            <w:t xml:space="preserve"> – 0617664a</w:t>
          </w:r>
        </w:p>
      </w:tc>
    </w:tr>
  </w:tbl>
  <w:p w:rsidR="00DA7E4C" w:rsidRDefault="00DA7E4C">
    <w:pPr>
      <w:pStyle w:val="Foote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5000" w:type="pct"/>
      <w:tblBorders>
        <w:insideV w:val="single" w:sz="18" w:space="0" w:color="4F81BD" w:themeColor="accent1"/>
      </w:tblBorders>
      <w:tblCellMar>
        <w:top w:w="58" w:type="dxa"/>
        <w:left w:w="115" w:type="dxa"/>
        <w:bottom w:w="58" w:type="dxa"/>
        <w:right w:w="115" w:type="dxa"/>
      </w:tblCellMar>
      <w:tblLook w:val="04A0"/>
    </w:tblPr>
    <w:tblGrid>
      <w:gridCol w:w="1434"/>
      <w:gridCol w:w="8129"/>
    </w:tblGrid>
    <w:tr w:rsidR="00DA7E4C">
      <w:tc>
        <w:tcPr>
          <w:tcW w:w="750" w:type="pct"/>
        </w:tcPr>
        <w:p w:rsidR="00DA7E4C" w:rsidRDefault="006F1E00">
          <w:pPr>
            <w:pStyle w:val="Footer"/>
            <w:jc w:val="right"/>
            <w:rPr>
              <w:color w:val="4F81BD" w:themeColor="accent1"/>
            </w:rPr>
          </w:pPr>
          <w:fldSimple w:instr=" PAGE   \* MERGEFORMAT ">
            <w:r w:rsidR="009F1D1D" w:rsidRPr="009F1D1D">
              <w:rPr>
                <w:noProof/>
                <w:color w:val="4F81BD" w:themeColor="accent1"/>
              </w:rPr>
              <w:t>143</w:t>
            </w:r>
          </w:fldSimple>
        </w:p>
      </w:tc>
      <w:tc>
        <w:tcPr>
          <w:tcW w:w="4250" w:type="pct"/>
        </w:tcPr>
        <w:p w:rsidR="00DA7E4C" w:rsidRPr="00FE4BD4" w:rsidRDefault="00DA7E4C" w:rsidP="00FE4BD4">
          <w:pPr>
            <w:pStyle w:val="Header"/>
            <w:jc w:val="right"/>
            <w:rPr>
              <w:color w:val="4F81BD" w:themeColor="accent1"/>
              <w:sz w:val="20"/>
            </w:rPr>
          </w:pPr>
          <w:smartTag w:uri="urn:schemas:contacts" w:element="GivenName">
            <w:r w:rsidRPr="004C02E0">
              <w:rPr>
                <w:color w:val="4F81BD" w:themeColor="accent1"/>
                <w:sz w:val="20"/>
              </w:rPr>
              <w:t>John</w:t>
            </w:r>
          </w:smartTag>
          <w:r w:rsidRPr="004C02E0">
            <w:rPr>
              <w:color w:val="4F81BD" w:themeColor="accent1"/>
              <w:sz w:val="20"/>
            </w:rPr>
            <w:t xml:space="preserve"> </w:t>
          </w:r>
          <w:smartTag w:uri="urn:schemas:contacts" w:element="Sn">
            <w:r w:rsidRPr="004C02E0">
              <w:rPr>
                <w:color w:val="4F81BD" w:themeColor="accent1"/>
                <w:sz w:val="20"/>
              </w:rPr>
              <w:t>Golding</w:t>
            </w:r>
          </w:smartTag>
          <w:r w:rsidRPr="004C02E0">
            <w:rPr>
              <w:color w:val="4F81BD" w:themeColor="accent1"/>
              <w:sz w:val="20"/>
            </w:rPr>
            <w:t xml:space="preserve"> – 0617664a</w:t>
          </w:r>
        </w:p>
      </w:tc>
    </w:tr>
  </w:tbl>
  <w:p w:rsidR="00DA7E4C" w:rsidRDefault="00DA7E4C">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D449F" w:rsidRDefault="001D449F" w:rsidP="005B2B5F">
      <w:pPr>
        <w:spacing w:line="240" w:lineRule="auto"/>
      </w:pPr>
      <w:r>
        <w:separator/>
      </w:r>
    </w:p>
  </w:footnote>
  <w:footnote w:type="continuationSeparator" w:id="0">
    <w:p w:rsidR="001D449F" w:rsidRDefault="001D449F" w:rsidP="005B2B5F">
      <w:pPr>
        <w:spacing w:line="240" w:lineRule="auto"/>
      </w:pPr>
      <w:r>
        <w:continuationSeparator/>
      </w:r>
    </w:p>
  </w:footnote>
  <w:footnote w:id="1">
    <w:p w:rsidR="00DA7E4C" w:rsidRPr="005C4855" w:rsidRDefault="00DA7E4C" w:rsidP="009D61A9">
      <w:pPr>
        <w:pStyle w:val="FootnoteText"/>
      </w:pPr>
      <w:r>
        <w:rPr>
          <w:rStyle w:val="FootnoteReference"/>
        </w:rPr>
        <w:footnoteRef/>
      </w:r>
      <w:r>
        <w:t xml:space="preserve"> </w:t>
      </w:r>
      <w:r w:rsidRPr="005C4855">
        <w:t>http://www.jse.co.za/Products/FTSE-JSE/FAQs.aspx</w:t>
      </w:r>
    </w:p>
  </w:footnote>
  <w:footnote w:id="2">
    <w:p w:rsidR="00DA7E4C" w:rsidRDefault="00DA7E4C" w:rsidP="009D61A9">
      <w:pPr>
        <w:pStyle w:val="FootnoteText"/>
      </w:pPr>
      <w:r>
        <w:rPr>
          <w:rStyle w:val="FootnoteReference"/>
        </w:rPr>
        <w:footnoteRef/>
      </w:r>
      <w:r>
        <w:t xml:space="preserve"> Department of research and Information 4</w:t>
      </w:r>
      <w:r w:rsidRPr="001A5C25">
        <w:rPr>
          <w:vertAlign w:val="superscript"/>
        </w:rPr>
        <w:t>th</w:t>
      </w:r>
      <w:r>
        <w:t xml:space="preserve"> Quarter 2010</w:t>
      </w:r>
    </w:p>
  </w:footnote>
  <w:footnote w:id="3">
    <w:p w:rsidR="00DA7E4C" w:rsidRDefault="00DA7E4C">
      <w:pPr>
        <w:pStyle w:val="FootnoteText"/>
      </w:pPr>
      <w:r>
        <w:rPr>
          <w:rStyle w:val="FootnoteReference"/>
        </w:rPr>
        <w:footnoteRef/>
      </w:r>
      <w:r>
        <w:t xml:space="preserve"> The Beveridge &amp; Nelson (1980) filter was considered to be beyond the scope of this study.</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5000" w:type="pct"/>
      <w:tblCellMar>
        <w:top w:w="58" w:type="dxa"/>
        <w:left w:w="115" w:type="dxa"/>
        <w:bottom w:w="58" w:type="dxa"/>
        <w:right w:w="115" w:type="dxa"/>
      </w:tblCellMar>
      <w:tblLook w:val="04A0"/>
    </w:tblPr>
    <w:tblGrid>
      <w:gridCol w:w="1434"/>
      <w:gridCol w:w="8129"/>
    </w:tblGrid>
    <w:tr w:rsidR="00DA7E4C">
      <w:tc>
        <w:tcPr>
          <w:tcW w:w="750" w:type="pct"/>
          <w:tcBorders>
            <w:right w:val="single" w:sz="18" w:space="0" w:color="4F81BD" w:themeColor="accent1"/>
          </w:tcBorders>
        </w:tcPr>
        <w:p w:rsidR="00DA7E4C" w:rsidRDefault="00DA7E4C">
          <w:pPr>
            <w:pStyle w:val="Header"/>
          </w:pPr>
        </w:p>
      </w:tc>
      <w:sdt>
        <w:sdtPr>
          <w:rPr>
            <w:rFonts w:asciiTheme="majorHAnsi" w:eastAsiaTheme="majorEastAsia" w:hAnsiTheme="majorHAnsi" w:cstheme="majorBidi"/>
            <w:color w:val="4F81BD" w:themeColor="accent1"/>
            <w:szCs w:val="24"/>
          </w:rPr>
          <w:alias w:val="Title"/>
          <w:id w:val="394567"/>
          <w:dataBinding w:prefixMappings="xmlns:ns0='http://schemas.openxmlformats.org/package/2006/metadata/core-properties' xmlns:ns1='http://purl.org/dc/elements/1.1/'" w:xpath="/ns0:coreProperties[1]/ns1:title[1]" w:storeItemID="{6C3C8BC8-F283-45AE-878A-BAB7291924A1}"/>
          <w:text/>
        </w:sdtPr>
        <w:sdtContent>
          <w:tc>
            <w:tcPr>
              <w:tcW w:w="4250" w:type="pct"/>
              <w:tcBorders>
                <w:left w:val="single" w:sz="18" w:space="0" w:color="4F81BD" w:themeColor="accent1"/>
              </w:tcBorders>
            </w:tcPr>
            <w:p w:rsidR="00DA7E4C" w:rsidRDefault="00DA7E4C">
              <w:pPr>
                <w:pStyle w:val="Header"/>
                <w:rPr>
                  <w:rFonts w:asciiTheme="majorHAnsi" w:eastAsiaTheme="majorEastAsia" w:hAnsiTheme="majorHAnsi" w:cstheme="majorBidi"/>
                  <w:color w:val="4F81BD" w:themeColor="accent1"/>
                  <w:szCs w:val="24"/>
                </w:rPr>
              </w:pPr>
              <w:r>
                <w:rPr>
                  <w:rFonts w:asciiTheme="majorHAnsi" w:eastAsiaTheme="majorEastAsia" w:hAnsiTheme="majorHAnsi" w:cstheme="majorBidi"/>
                  <w:color w:val="4F81BD" w:themeColor="accent1"/>
                  <w:szCs w:val="24"/>
                  <w:lang w:val="en-ZA"/>
                </w:rPr>
                <w:t>Stock Prices as a Leading Indicator of Economic activity</w:t>
              </w:r>
            </w:p>
          </w:tc>
        </w:sdtContent>
      </w:sdt>
    </w:tr>
  </w:tbl>
  <w:p w:rsidR="00DA7E4C" w:rsidRDefault="00DA7E4C" w:rsidP="00B551A2">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5000" w:type="pct"/>
      <w:tblCellMar>
        <w:top w:w="58" w:type="dxa"/>
        <w:left w:w="115" w:type="dxa"/>
        <w:bottom w:w="58" w:type="dxa"/>
        <w:right w:w="115" w:type="dxa"/>
      </w:tblCellMar>
      <w:tblLook w:val="04A0"/>
    </w:tblPr>
    <w:tblGrid>
      <w:gridCol w:w="1434"/>
      <w:gridCol w:w="8129"/>
    </w:tblGrid>
    <w:tr w:rsidR="00DA7E4C">
      <w:tc>
        <w:tcPr>
          <w:tcW w:w="750" w:type="pct"/>
          <w:tcBorders>
            <w:right w:val="single" w:sz="18" w:space="0" w:color="4F81BD" w:themeColor="accent1"/>
          </w:tcBorders>
        </w:tcPr>
        <w:p w:rsidR="00DA7E4C" w:rsidRDefault="00DA7E4C">
          <w:pPr>
            <w:pStyle w:val="Header"/>
          </w:pPr>
        </w:p>
      </w:tc>
      <w:sdt>
        <w:sdtPr>
          <w:rPr>
            <w:rFonts w:asciiTheme="majorHAnsi" w:eastAsiaTheme="majorEastAsia" w:hAnsiTheme="majorHAnsi" w:cstheme="majorBidi"/>
            <w:color w:val="4F81BD" w:themeColor="accent1"/>
            <w:szCs w:val="24"/>
          </w:rPr>
          <w:alias w:val="Title"/>
          <w:id w:val="77580493"/>
          <w:dataBinding w:prefixMappings="xmlns:ns0='http://schemas.openxmlformats.org/package/2006/metadata/core-properties' xmlns:ns1='http://purl.org/dc/elements/1.1/'" w:xpath="/ns0:coreProperties[1]/ns1:title[1]" w:storeItemID="{6C3C8BC8-F283-45AE-878A-BAB7291924A1}"/>
          <w:text/>
        </w:sdtPr>
        <w:sdtContent>
          <w:tc>
            <w:tcPr>
              <w:tcW w:w="4250" w:type="pct"/>
              <w:tcBorders>
                <w:left w:val="single" w:sz="18" w:space="0" w:color="4F81BD" w:themeColor="accent1"/>
              </w:tcBorders>
            </w:tcPr>
            <w:p w:rsidR="00DA7E4C" w:rsidRDefault="00DA7E4C">
              <w:pPr>
                <w:pStyle w:val="Header"/>
                <w:rPr>
                  <w:rFonts w:asciiTheme="majorHAnsi" w:eastAsiaTheme="majorEastAsia" w:hAnsiTheme="majorHAnsi" w:cstheme="majorBidi"/>
                  <w:color w:val="4F81BD" w:themeColor="accent1"/>
                  <w:szCs w:val="24"/>
                </w:rPr>
              </w:pPr>
              <w:r>
                <w:rPr>
                  <w:rFonts w:asciiTheme="majorHAnsi" w:eastAsiaTheme="majorEastAsia" w:hAnsiTheme="majorHAnsi" w:cstheme="majorBidi"/>
                  <w:color w:val="4F81BD" w:themeColor="accent1"/>
                  <w:szCs w:val="24"/>
                  <w:lang w:val="en-ZA"/>
                </w:rPr>
                <w:t>Stock Prices as a Leading Indicator of Economic activity</w:t>
              </w:r>
            </w:p>
          </w:tc>
        </w:sdtContent>
      </w:sdt>
    </w:tr>
  </w:tbl>
  <w:p w:rsidR="00DA7E4C" w:rsidRPr="004C02E0" w:rsidRDefault="00DA7E4C" w:rsidP="00FE4BD4">
    <w:pPr>
      <w:pStyle w:val="Header"/>
      <w:jc w:val="center"/>
      <w:rPr>
        <w:color w:val="4F81BD" w:themeColor="accent1"/>
        <w:sz w:val="20"/>
      </w:rP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5000" w:type="pct"/>
      <w:tblCellMar>
        <w:top w:w="58" w:type="dxa"/>
        <w:left w:w="115" w:type="dxa"/>
        <w:bottom w:w="58" w:type="dxa"/>
        <w:right w:w="115" w:type="dxa"/>
      </w:tblCellMar>
      <w:tblLook w:val="04A0"/>
    </w:tblPr>
    <w:tblGrid>
      <w:gridCol w:w="1434"/>
      <w:gridCol w:w="8129"/>
    </w:tblGrid>
    <w:tr w:rsidR="00DA7E4C">
      <w:tc>
        <w:tcPr>
          <w:tcW w:w="750" w:type="pct"/>
          <w:tcBorders>
            <w:right w:val="single" w:sz="18" w:space="0" w:color="4F81BD" w:themeColor="accent1"/>
          </w:tcBorders>
        </w:tcPr>
        <w:p w:rsidR="00DA7E4C" w:rsidRDefault="00DA7E4C">
          <w:pPr>
            <w:pStyle w:val="Header"/>
          </w:pPr>
        </w:p>
      </w:tc>
      <w:sdt>
        <w:sdtPr>
          <w:rPr>
            <w:rFonts w:asciiTheme="majorHAnsi" w:eastAsiaTheme="majorEastAsia" w:hAnsiTheme="majorHAnsi" w:cstheme="majorBidi"/>
            <w:color w:val="4F81BD" w:themeColor="accent1"/>
            <w:szCs w:val="24"/>
          </w:rPr>
          <w:alias w:val="Title"/>
          <w:id w:val="3211921"/>
          <w:dataBinding w:prefixMappings="xmlns:ns0='http://schemas.openxmlformats.org/package/2006/metadata/core-properties' xmlns:ns1='http://purl.org/dc/elements/1.1/'" w:xpath="/ns0:coreProperties[1]/ns1:title[1]" w:storeItemID="{6C3C8BC8-F283-45AE-878A-BAB7291924A1}"/>
          <w:text/>
        </w:sdtPr>
        <w:sdtContent>
          <w:tc>
            <w:tcPr>
              <w:tcW w:w="4250" w:type="pct"/>
              <w:tcBorders>
                <w:left w:val="single" w:sz="18" w:space="0" w:color="4F81BD" w:themeColor="accent1"/>
              </w:tcBorders>
            </w:tcPr>
            <w:p w:rsidR="00DA7E4C" w:rsidRDefault="00DA7E4C">
              <w:pPr>
                <w:pStyle w:val="Header"/>
                <w:rPr>
                  <w:rFonts w:asciiTheme="majorHAnsi" w:eastAsiaTheme="majorEastAsia" w:hAnsiTheme="majorHAnsi" w:cstheme="majorBidi"/>
                  <w:color w:val="4F81BD" w:themeColor="accent1"/>
                  <w:szCs w:val="24"/>
                </w:rPr>
              </w:pPr>
              <w:r>
                <w:rPr>
                  <w:rFonts w:asciiTheme="majorHAnsi" w:eastAsiaTheme="majorEastAsia" w:hAnsiTheme="majorHAnsi" w:cstheme="majorBidi"/>
                  <w:color w:val="4F81BD" w:themeColor="accent1"/>
                  <w:szCs w:val="24"/>
                  <w:lang w:val="en-US"/>
                </w:rPr>
                <w:t>Stock Prices as a Leading Indicator of Economic activity</w:t>
              </w:r>
            </w:p>
          </w:tc>
        </w:sdtContent>
      </w:sdt>
    </w:tr>
  </w:tbl>
  <w:p w:rsidR="00DA7E4C" w:rsidRPr="004C02E0" w:rsidRDefault="00DA7E4C" w:rsidP="00FE4BD4">
    <w:pPr>
      <w:pStyle w:val="Header"/>
      <w:jc w:val="center"/>
      <w:rPr>
        <w:color w:val="4F81BD" w:themeColor="accent1"/>
        <w:sz w:val="20"/>
      </w:rP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5000" w:type="pct"/>
      <w:tblCellMar>
        <w:top w:w="58" w:type="dxa"/>
        <w:left w:w="115" w:type="dxa"/>
        <w:bottom w:w="58" w:type="dxa"/>
        <w:right w:w="115" w:type="dxa"/>
      </w:tblCellMar>
      <w:tblLook w:val="04A0"/>
    </w:tblPr>
    <w:tblGrid>
      <w:gridCol w:w="1434"/>
      <w:gridCol w:w="8129"/>
    </w:tblGrid>
    <w:tr w:rsidR="00DA7E4C">
      <w:tc>
        <w:tcPr>
          <w:tcW w:w="750" w:type="pct"/>
          <w:tcBorders>
            <w:right w:val="single" w:sz="18" w:space="0" w:color="4F81BD" w:themeColor="accent1"/>
          </w:tcBorders>
        </w:tcPr>
        <w:p w:rsidR="00DA7E4C" w:rsidRDefault="00DA7E4C">
          <w:pPr>
            <w:pStyle w:val="Header"/>
          </w:pPr>
        </w:p>
      </w:tc>
      <w:sdt>
        <w:sdtPr>
          <w:rPr>
            <w:rFonts w:asciiTheme="majorHAnsi" w:eastAsiaTheme="majorEastAsia" w:hAnsiTheme="majorHAnsi" w:cstheme="majorBidi"/>
            <w:color w:val="4F81BD" w:themeColor="accent1"/>
            <w:szCs w:val="24"/>
          </w:rPr>
          <w:alias w:val="Title"/>
          <w:id w:val="5211965"/>
          <w:dataBinding w:prefixMappings="xmlns:ns0='http://schemas.openxmlformats.org/package/2006/metadata/core-properties' xmlns:ns1='http://purl.org/dc/elements/1.1/'" w:xpath="/ns0:coreProperties[1]/ns1:title[1]" w:storeItemID="{6C3C8BC8-F283-45AE-878A-BAB7291924A1}"/>
          <w:text/>
        </w:sdtPr>
        <w:sdtContent>
          <w:tc>
            <w:tcPr>
              <w:tcW w:w="4250" w:type="pct"/>
              <w:tcBorders>
                <w:left w:val="single" w:sz="18" w:space="0" w:color="4F81BD" w:themeColor="accent1"/>
              </w:tcBorders>
            </w:tcPr>
            <w:p w:rsidR="00DA7E4C" w:rsidRDefault="00DA7E4C">
              <w:pPr>
                <w:pStyle w:val="Header"/>
                <w:rPr>
                  <w:rFonts w:asciiTheme="majorHAnsi" w:eastAsiaTheme="majorEastAsia" w:hAnsiTheme="majorHAnsi" w:cstheme="majorBidi"/>
                  <w:color w:val="4F81BD" w:themeColor="accent1"/>
                  <w:szCs w:val="24"/>
                </w:rPr>
              </w:pPr>
              <w:r>
                <w:rPr>
                  <w:rFonts w:asciiTheme="majorHAnsi" w:eastAsiaTheme="majorEastAsia" w:hAnsiTheme="majorHAnsi" w:cstheme="majorBidi"/>
                  <w:color w:val="4F81BD" w:themeColor="accent1"/>
                  <w:szCs w:val="24"/>
                  <w:lang w:val="en-US"/>
                </w:rPr>
                <w:t>Stock Prices as a Leading Indicator of Economic activity</w:t>
              </w:r>
            </w:p>
          </w:tc>
        </w:sdtContent>
      </w:sdt>
    </w:tr>
  </w:tbl>
  <w:p w:rsidR="00DA7E4C" w:rsidRPr="004C02E0" w:rsidRDefault="00DA7E4C" w:rsidP="00FE4BD4">
    <w:pPr>
      <w:pStyle w:val="Header"/>
      <w:jc w:val="center"/>
      <w:rPr>
        <w:color w:val="4F81BD" w:themeColor="accent1"/>
        <w:sz w:val="20"/>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57135D"/>
    <w:multiLevelType w:val="hybridMultilevel"/>
    <w:tmpl w:val="07E077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1583B51"/>
    <w:multiLevelType w:val="hybridMultilevel"/>
    <w:tmpl w:val="E55C8ED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3087272"/>
    <w:multiLevelType w:val="hybridMultilevel"/>
    <w:tmpl w:val="60B227FA"/>
    <w:lvl w:ilvl="0" w:tplc="04090001">
      <w:start w:val="1"/>
      <w:numFmt w:val="bullet"/>
      <w:lvlText w:val=""/>
      <w:lvlJc w:val="left"/>
      <w:pPr>
        <w:ind w:left="720" w:hanging="360"/>
      </w:pPr>
      <w:rPr>
        <w:rFonts w:ascii="Symbol" w:hAnsi="Symbol" w:hint="default"/>
      </w:rPr>
    </w:lvl>
    <w:lvl w:ilvl="1" w:tplc="0409000F">
      <w:start w:val="1"/>
      <w:numFmt w:val="decimal"/>
      <w:lvlText w:val="%2."/>
      <w:lvlJc w:val="left"/>
      <w:pPr>
        <w:ind w:left="1440" w:hanging="360"/>
      </w:pPr>
      <w:rPr>
        <w:rFonts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6AD468D"/>
    <w:multiLevelType w:val="hybridMultilevel"/>
    <w:tmpl w:val="A7086792"/>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0B1A1875"/>
    <w:multiLevelType w:val="hybridMultilevel"/>
    <w:tmpl w:val="03CE5DF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0B88229A"/>
    <w:multiLevelType w:val="hybridMultilevel"/>
    <w:tmpl w:val="2988D38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F770484"/>
    <w:multiLevelType w:val="hybridMultilevel"/>
    <w:tmpl w:val="D562C03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1232DAB"/>
    <w:multiLevelType w:val="hybridMultilevel"/>
    <w:tmpl w:val="52200DB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112A1CF2"/>
    <w:multiLevelType w:val="hybridMultilevel"/>
    <w:tmpl w:val="56D6D25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12A161FD"/>
    <w:multiLevelType w:val="hybridMultilevel"/>
    <w:tmpl w:val="C83657B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149F3B3B"/>
    <w:multiLevelType w:val="hybridMultilevel"/>
    <w:tmpl w:val="EBC804A6"/>
    <w:lvl w:ilvl="0" w:tplc="ABAC58C0">
      <w:start w:val="9"/>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16875D90"/>
    <w:multiLevelType w:val="hybridMultilevel"/>
    <w:tmpl w:val="91667CDE"/>
    <w:lvl w:ilvl="0" w:tplc="DA687C46">
      <w:numFmt w:val="bullet"/>
      <w:lvlText w:val="-"/>
      <w:lvlJc w:val="left"/>
      <w:pPr>
        <w:tabs>
          <w:tab w:val="num" w:pos="720"/>
        </w:tabs>
        <w:ind w:left="720" w:hanging="360"/>
      </w:pPr>
      <w:rPr>
        <w:rFonts w:ascii="Arial" w:eastAsia="Times New Roman" w:hAnsi="Arial" w:cs="Arial" w:hint="default"/>
      </w:rPr>
    </w:lvl>
    <w:lvl w:ilvl="1" w:tplc="0409000F">
      <w:start w:val="1"/>
      <w:numFmt w:val="decimal"/>
      <w:lvlText w:val="%2."/>
      <w:lvlJc w:val="left"/>
      <w:pPr>
        <w:tabs>
          <w:tab w:val="num" w:pos="1440"/>
        </w:tabs>
        <w:ind w:left="1440" w:hanging="360"/>
      </w:pPr>
      <w:rPr>
        <w:rFonts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nsid w:val="1B2214B1"/>
    <w:multiLevelType w:val="hybridMultilevel"/>
    <w:tmpl w:val="1712764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1B3B5E6A"/>
    <w:multiLevelType w:val="hybridMultilevel"/>
    <w:tmpl w:val="9B32765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1BB369B3"/>
    <w:multiLevelType w:val="hybridMultilevel"/>
    <w:tmpl w:val="68F01720"/>
    <w:lvl w:ilvl="0" w:tplc="0409000F">
      <w:start w:val="1"/>
      <w:numFmt w:val="decimal"/>
      <w:lvlText w:val="%1."/>
      <w:lvlJc w:val="left"/>
      <w:pPr>
        <w:ind w:left="1080" w:hanging="360"/>
      </w:p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nsid w:val="1D6860AF"/>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nsid w:val="22AE32D2"/>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nsid w:val="231E73B2"/>
    <w:multiLevelType w:val="hybridMultilevel"/>
    <w:tmpl w:val="1138DC8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23C276BB"/>
    <w:multiLevelType w:val="hybridMultilevel"/>
    <w:tmpl w:val="A9C0BFFE"/>
    <w:lvl w:ilvl="0" w:tplc="04090015">
      <w:start w:val="1"/>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
    <w:nsid w:val="26CA53C7"/>
    <w:multiLevelType w:val="hybridMultilevel"/>
    <w:tmpl w:val="A0BE1D8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27424290"/>
    <w:multiLevelType w:val="hybridMultilevel"/>
    <w:tmpl w:val="8566395C"/>
    <w:lvl w:ilvl="0" w:tplc="04090019">
      <w:start w:val="1"/>
      <w:numFmt w:val="lowerLetter"/>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1">
    <w:nsid w:val="2CDF3192"/>
    <w:multiLevelType w:val="hybridMultilevel"/>
    <w:tmpl w:val="C40211E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33505197"/>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nsid w:val="34601358"/>
    <w:multiLevelType w:val="hybridMultilevel"/>
    <w:tmpl w:val="4A680C8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37282A30"/>
    <w:multiLevelType w:val="hybridMultilevel"/>
    <w:tmpl w:val="86583E3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3AFA39BE"/>
    <w:multiLevelType w:val="hybridMultilevel"/>
    <w:tmpl w:val="D5B8897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3FEF79BC"/>
    <w:multiLevelType w:val="hybridMultilevel"/>
    <w:tmpl w:val="F9F2523C"/>
    <w:lvl w:ilvl="0" w:tplc="0409000F">
      <w:start w:val="1"/>
      <w:numFmt w:val="decimal"/>
      <w:lvlText w:val="%1."/>
      <w:lvlJc w:val="left"/>
      <w:pPr>
        <w:ind w:left="720" w:hanging="360"/>
      </w:p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7">
    <w:nsid w:val="43DE705E"/>
    <w:multiLevelType w:val="hybridMultilevel"/>
    <w:tmpl w:val="3C88933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44A247F5"/>
    <w:multiLevelType w:val="hybridMultilevel"/>
    <w:tmpl w:val="7B1C6D5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45C26745"/>
    <w:multiLevelType w:val="hybridMultilevel"/>
    <w:tmpl w:val="162605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470A1ACE"/>
    <w:multiLevelType w:val="hybridMultilevel"/>
    <w:tmpl w:val="F52653A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47B24BC9"/>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2">
    <w:nsid w:val="53413195"/>
    <w:multiLevelType w:val="hybridMultilevel"/>
    <w:tmpl w:val="B740918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C323DA8"/>
    <w:multiLevelType w:val="hybridMultilevel"/>
    <w:tmpl w:val="75D6101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645A0ED9"/>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5">
    <w:nsid w:val="695B07C8"/>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6">
    <w:nsid w:val="6FFD12BF"/>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7">
    <w:nsid w:val="71146A5C"/>
    <w:multiLevelType w:val="hybridMultilevel"/>
    <w:tmpl w:val="123E2AFE"/>
    <w:lvl w:ilvl="0" w:tplc="04090001">
      <w:start w:val="1"/>
      <w:numFmt w:val="bullet"/>
      <w:lvlText w:val=""/>
      <w:lvlJc w:val="left"/>
      <w:pPr>
        <w:ind w:left="720" w:hanging="360"/>
      </w:pPr>
      <w:rPr>
        <w:rFonts w:ascii="Symbol" w:hAnsi="Symbol" w:hint="default"/>
      </w:rPr>
    </w:lvl>
    <w:lvl w:ilvl="1" w:tplc="0409000F">
      <w:start w:val="1"/>
      <w:numFmt w:val="decimal"/>
      <w:lvlText w:val="%2."/>
      <w:lvlJc w:val="left"/>
      <w:pPr>
        <w:ind w:left="1440" w:hanging="360"/>
      </w:pPr>
      <w:rPr>
        <w:rFonts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760B465E"/>
    <w:multiLevelType w:val="hybridMultilevel"/>
    <w:tmpl w:val="AE7C5EF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nsid w:val="768B15C3"/>
    <w:multiLevelType w:val="hybridMultilevel"/>
    <w:tmpl w:val="CBECCD9C"/>
    <w:lvl w:ilvl="0" w:tplc="B20E6A92">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nsid w:val="76FF54F3"/>
    <w:multiLevelType w:val="hybridMultilevel"/>
    <w:tmpl w:val="58A63FD0"/>
    <w:lvl w:ilvl="0" w:tplc="5C66123E">
      <w:start w:val="1"/>
      <w:numFmt w:val="bullet"/>
      <w:lvlText w:val=""/>
      <w:lvlJc w:val="left"/>
      <w:pPr>
        <w:tabs>
          <w:tab w:val="num" w:pos="720"/>
        </w:tabs>
        <w:ind w:left="720" w:hanging="360"/>
      </w:pPr>
      <w:rPr>
        <w:rFonts w:ascii="Wingdings 2" w:hAnsi="Wingdings 2" w:hint="default"/>
      </w:rPr>
    </w:lvl>
    <w:lvl w:ilvl="1" w:tplc="506A8986">
      <w:start w:val="1639"/>
      <w:numFmt w:val="bullet"/>
      <w:lvlText w:val=""/>
      <w:lvlJc w:val="left"/>
      <w:pPr>
        <w:tabs>
          <w:tab w:val="num" w:pos="1440"/>
        </w:tabs>
        <w:ind w:left="1440" w:hanging="360"/>
      </w:pPr>
      <w:rPr>
        <w:rFonts w:ascii="Wingdings" w:hAnsi="Wingdings" w:hint="default"/>
      </w:rPr>
    </w:lvl>
    <w:lvl w:ilvl="2" w:tplc="3F144E38">
      <w:start w:val="1639"/>
      <w:numFmt w:val="bullet"/>
      <w:lvlText w:val="▪"/>
      <w:lvlJc w:val="left"/>
      <w:pPr>
        <w:tabs>
          <w:tab w:val="num" w:pos="2160"/>
        </w:tabs>
        <w:ind w:left="2160" w:hanging="360"/>
      </w:pPr>
      <w:rPr>
        <w:rFonts w:ascii="Arial" w:hAnsi="Arial" w:hint="default"/>
      </w:rPr>
    </w:lvl>
    <w:lvl w:ilvl="3" w:tplc="14F2DB3E" w:tentative="1">
      <w:start w:val="1"/>
      <w:numFmt w:val="bullet"/>
      <w:lvlText w:val=""/>
      <w:lvlJc w:val="left"/>
      <w:pPr>
        <w:tabs>
          <w:tab w:val="num" w:pos="2880"/>
        </w:tabs>
        <w:ind w:left="2880" w:hanging="360"/>
      </w:pPr>
      <w:rPr>
        <w:rFonts w:ascii="Wingdings 2" w:hAnsi="Wingdings 2" w:hint="default"/>
      </w:rPr>
    </w:lvl>
    <w:lvl w:ilvl="4" w:tplc="646889E8" w:tentative="1">
      <w:start w:val="1"/>
      <w:numFmt w:val="bullet"/>
      <w:lvlText w:val=""/>
      <w:lvlJc w:val="left"/>
      <w:pPr>
        <w:tabs>
          <w:tab w:val="num" w:pos="3600"/>
        </w:tabs>
        <w:ind w:left="3600" w:hanging="360"/>
      </w:pPr>
      <w:rPr>
        <w:rFonts w:ascii="Wingdings 2" w:hAnsi="Wingdings 2" w:hint="default"/>
      </w:rPr>
    </w:lvl>
    <w:lvl w:ilvl="5" w:tplc="30AEF91C" w:tentative="1">
      <w:start w:val="1"/>
      <w:numFmt w:val="bullet"/>
      <w:lvlText w:val=""/>
      <w:lvlJc w:val="left"/>
      <w:pPr>
        <w:tabs>
          <w:tab w:val="num" w:pos="4320"/>
        </w:tabs>
        <w:ind w:left="4320" w:hanging="360"/>
      </w:pPr>
      <w:rPr>
        <w:rFonts w:ascii="Wingdings 2" w:hAnsi="Wingdings 2" w:hint="default"/>
      </w:rPr>
    </w:lvl>
    <w:lvl w:ilvl="6" w:tplc="5D46DCDA" w:tentative="1">
      <w:start w:val="1"/>
      <w:numFmt w:val="bullet"/>
      <w:lvlText w:val=""/>
      <w:lvlJc w:val="left"/>
      <w:pPr>
        <w:tabs>
          <w:tab w:val="num" w:pos="5040"/>
        </w:tabs>
        <w:ind w:left="5040" w:hanging="360"/>
      </w:pPr>
      <w:rPr>
        <w:rFonts w:ascii="Wingdings 2" w:hAnsi="Wingdings 2" w:hint="default"/>
      </w:rPr>
    </w:lvl>
    <w:lvl w:ilvl="7" w:tplc="35F69E46" w:tentative="1">
      <w:start w:val="1"/>
      <w:numFmt w:val="bullet"/>
      <w:lvlText w:val=""/>
      <w:lvlJc w:val="left"/>
      <w:pPr>
        <w:tabs>
          <w:tab w:val="num" w:pos="5760"/>
        </w:tabs>
        <w:ind w:left="5760" w:hanging="360"/>
      </w:pPr>
      <w:rPr>
        <w:rFonts w:ascii="Wingdings 2" w:hAnsi="Wingdings 2" w:hint="default"/>
      </w:rPr>
    </w:lvl>
    <w:lvl w:ilvl="8" w:tplc="6006266C" w:tentative="1">
      <w:start w:val="1"/>
      <w:numFmt w:val="bullet"/>
      <w:lvlText w:val=""/>
      <w:lvlJc w:val="left"/>
      <w:pPr>
        <w:tabs>
          <w:tab w:val="num" w:pos="6480"/>
        </w:tabs>
        <w:ind w:left="6480" w:hanging="360"/>
      </w:pPr>
      <w:rPr>
        <w:rFonts w:ascii="Wingdings 2" w:hAnsi="Wingdings 2" w:hint="default"/>
      </w:rPr>
    </w:lvl>
  </w:abstractNum>
  <w:abstractNum w:abstractNumId="41">
    <w:nsid w:val="77276759"/>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38"/>
  </w:num>
  <w:num w:numId="2">
    <w:abstractNumId w:val="14"/>
  </w:num>
  <w:num w:numId="3">
    <w:abstractNumId w:val="31"/>
  </w:num>
  <w:num w:numId="4">
    <w:abstractNumId w:val="0"/>
  </w:num>
  <w:num w:numId="5">
    <w:abstractNumId w:val="26"/>
  </w:num>
  <w:num w:numId="6">
    <w:abstractNumId w:val="29"/>
  </w:num>
  <w:num w:numId="7">
    <w:abstractNumId w:val="39"/>
  </w:num>
  <w:num w:numId="8">
    <w:abstractNumId w:val="16"/>
  </w:num>
  <w:num w:numId="9">
    <w:abstractNumId w:val="22"/>
  </w:num>
  <w:num w:numId="10">
    <w:abstractNumId w:val="35"/>
  </w:num>
  <w:num w:numId="11">
    <w:abstractNumId w:val="5"/>
  </w:num>
  <w:num w:numId="12">
    <w:abstractNumId w:val="10"/>
  </w:num>
  <w:num w:numId="13">
    <w:abstractNumId w:val="20"/>
  </w:num>
  <w:num w:numId="14">
    <w:abstractNumId w:val="18"/>
  </w:num>
  <w:num w:numId="15">
    <w:abstractNumId w:val="17"/>
  </w:num>
  <w:num w:numId="16">
    <w:abstractNumId w:val="9"/>
  </w:num>
  <w:num w:numId="17">
    <w:abstractNumId w:val="41"/>
  </w:num>
  <w:num w:numId="18">
    <w:abstractNumId w:val="13"/>
  </w:num>
  <w:num w:numId="19">
    <w:abstractNumId w:val="24"/>
  </w:num>
  <w:num w:numId="20">
    <w:abstractNumId w:val="27"/>
  </w:num>
  <w:num w:numId="21">
    <w:abstractNumId w:val="33"/>
  </w:num>
  <w:num w:numId="22">
    <w:abstractNumId w:val="30"/>
  </w:num>
  <w:num w:numId="23">
    <w:abstractNumId w:val="1"/>
  </w:num>
  <w:num w:numId="24">
    <w:abstractNumId w:val="32"/>
  </w:num>
  <w:num w:numId="25">
    <w:abstractNumId w:val="37"/>
  </w:num>
  <w:num w:numId="26">
    <w:abstractNumId w:val="28"/>
  </w:num>
  <w:num w:numId="27">
    <w:abstractNumId w:val="23"/>
  </w:num>
  <w:num w:numId="28">
    <w:abstractNumId w:val="2"/>
  </w:num>
  <w:num w:numId="29">
    <w:abstractNumId w:val="6"/>
  </w:num>
  <w:num w:numId="30">
    <w:abstractNumId w:val="11"/>
  </w:num>
  <w:num w:numId="31">
    <w:abstractNumId w:val="12"/>
  </w:num>
  <w:num w:numId="32">
    <w:abstractNumId w:val="15"/>
  </w:num>
  <w:num w:numId="33">
    <w:abstractNumId w:val="3"/>
  </w:num>
  <w:num w:numId="34">
    <w:abstractNumId w:val="4"/>
  </w:num>
  <w:num w:numId="35">
    <w:abstractNumId w:val="34"/>
  </w:num>
  <w:num w:numId="36">
    <w:abstractNumId w:val="40"/>
  </w:num>
  <w:num w:numId="37">
    <w:abstractNumId w:val="21"/>
  </w:num>
  <w:num w:numId="38">
    <w:abstractNumId w:val="36"/>
  </w:num>
  <w:num w:numId="39">
    <w:abstractNumId w:val="19"/>
  </w:num>
  <w:num w:numId="40">
    <w:abstractNumId w:val="8"/>
  </w:num>
  <w:num w:numId="41">
    <w:abstractNumId w:val="25"/>
  </w:num>
  <w:num w:numId="42">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efaultTabStop w:val="720"/>
  <w:evenAndOddHeaders/>
  <w:drawingGridHorizontalSpacing w:val="120"/>
  <w:displayHorizontalDrawingGridEvery w:val="2"/>
  <w:characterSpacingControl w:val="doNotCompress"/>
  <w:footnotePr>
    <w:footnote w:id="-1"/>
    <w:footnote w:id="0"/>
  </w:footnotePr>
  <w:endnotePr>
    <w:endnote w:id="-1"/>
    <w:endnote w:id="0"/>
  </w:endnotePr>
  <w:compat/>
  <w:rsids>
    <w:rsidRoot w:val="009975A7"/>
    <w:rsid w:val="00000D90"/>
    <w:rsid w:val="0000519A"/>
    <w:rsid w:val="00006511"/>
    <w:rsid w:val="00011977"/>
    <w:rsid w:val="00013DB2"/>
    <w:rsid w:val="0001456A"/>
    <w:rsid w:val="0001617D"/>
    <w:rsid w:val="00016E46"/>
    <w:rsid w:val="00016EE8"/>
    <w:rsid w:val="0002055B"/>
    <w:rsid w:val="00020664"/>
    <w:rsid w:val="000207DE"/>
    <w:rsid w:val="00020EFC"/>
    <w:rsid w:val="000212FB"/>
    <w:rsid w:val="00022E02"/>
    <w:rsid w:val="00033BDC"/>
    <w:rsid w:val="0003414A"/>
    <w:rsid w:val="00037A68"/>
    <w:rsid w:val="0004267B"/>
    <w:rsid w:val="00044C75"/>
    <w:rsid w:val="00050918"/>
    <w:rsid w:val="00052306"/>
    <w:rsid w:val="00056B05"/>
    <w:rsid w:val="00061BB4"/>
    <w:rsid w:val="00063563"/>
    <w:rsid w:val="0006579A"/>
    <w:rsid w:val="000660AE"/>
    <w:rsid w:val="00066E9B"/>
    <w:rsid w:val="00070D34"/>
    <w:rsid w:val="00071C5D"/>
    <w:rsid w:val="00071F62"/>
    <w:rsid w:val="00073DEC"/>
    <w:rsid w:val="00075669"/>
    <w:rsid w:val="00076E37"/>
    <w:rsid w:val="000772BD"/>
    <w:rsid w:val="00082204"/>
    <w:rsid w:val="00084759"/>
    <w:rsid w:val="00086CA9"/>
    <w:rsid w:val="0008791A"/>
    <w:rsid w:val="00087942"/>
    <w:rsid w:val="000909A8"/>
    <w:rsid w:val="00093D9B"/>
    <w:rsid w:val="000944C3"/>
    <w:rsid w:val="00097FFE"/>
    <w:rsid w:val="000A22AE"/>
    <w:rsid w:val="000A403A"/>
    <w:rsid w:val="000A40A2"/>
    <w:rsid w:val="000A563E"/>
    <w:rsid w:val="000A6385"/>
    <w:rsid w:val="000B0550"/>
    <w:rsid w:val="000B067B"/>
    <w:rsid w:val="000B112C"/>
    <w:rsid w:val="000B1CE3"/>
    <w:rsid w:val="000B6209"/>
    <w:rsid w:val="000B7303"/>
    <w:rsid w:val="000B7335"/>
    <w:rsid w:val="000C0794"/>
    <w:rsid w:val="000D1AA7"/>
    <w:rsid w:val="000E2463"/>
    <w:rsid w:val="000E42CB"/>
    <w:rsid w:val="000E70AD"/>
    <w:rsid w:val="000F3BFE"/>
    <w:rsid w:val="000F5348"/>
    <w:rsid w:val="000F5E6F"/>
    <w:rsid w:val="000F620E"/>
    <w:rsid w:val="000F71C8"/>
    <w:rsid w:val="00101434"/>
    <w:rsid w:val="001014E7"/>
    <w:rsid w:val="00101A1E"/>
    <w:rsid w:val="0010327C"/>
    <w:rsid w:val="00103DA5"/>
    <w:rsid w:val="00112C13"/>
    <w:rsid w:val="00121287"/>
    <w:rsid w:val="001230A9"/>
    <w:rsid w:val="0013165F"/>
    <w:rsid w:val="0013546C"/>
    <w:rsid w:val="0014091E"/>
    <w:rsid w:val="001412F8"/>
    <w:rsid w:val="00142A68"/>
    <w:rsid w:val="00142C80"/>
    <w:rsid w:val="001439B9"/>
    <w:rsid w:val="001463C5"/>
    <w:rsid w:val="00151CFB"/>
    <w:rsid w:val="00152613"/>
    <w:rsid w:val="00153F6D"/>
    <w:rsid w:val="00154D60"/>
    <w:rsid w:val="00155B91"/>
    <w:rsid w:val="00156C6C"/>
    <w:rsid w:val="001577AD"/>
    <w:rsid w:val="001621AA"/>
    <w:rsid w:val="0016529B"/>
    <w:rsid w:val="00165EFC"/>
    <w:rsid w:val="001668A0"/>
    <w:rsid w:val="00175399"/>
    <w:rsid w:val="00175DA3"/>
    <w:rsid w:val="001774BF"/>
    <w:rsid w:val="00180142"/>
    <w:rsid w:val="00180C2E"/>
    <w:rsid w:val="00182C61"/>
    <w:rsid w:val="0018431C"/>
    <w:rsid w:val="00185A6C"/>
    <w:rsid w:val="00187EA8"/>
    <w:rsid w:val="001901A6"/>
    <w:rsid w:val="001914FB"/>
    <w:rsid w:val="001920C4"/>
    <w:rsid w:val="001A036D"/>
    <w:rsid w:val="001A2447"/>
    <w:rsid w:val="001A2E55"/>
    <w:rsid w:val="001B1886"/>
    <w:rsid w:val="001B1C56"/>
    <w:rsid w:val="001B1EAD"/>
    <w:rsid w:val="001B643F"/>
    <w:rsid w:val="001B65C6"/>
    <w:rsid w:val="001B670D"/>
    <w:rsid w:val="001C11BE"/>
    <w:rsid w:val="001C1422"/>
    <w:rsid w:val="001C507E"/>
    <w:rsid w:val="001C593D"/>
    <w:rsid w:val="001C690E"/>
    <w:rsid w:val="001C69CB"/>
    <w:rsid w:val="001C78CD"/>
    <w:rsid w:val="001D3D67"/>
    <w:rsid w:val="001D449F"/>
    <w:rsid w:val="001D7A45"/>
    <w:rsid w:val="001E11A5"/>
    <w:rsid w:val="001E30E2"/>
    <w:rsid w:val="001E32E0"/>
    <w:rsid w:val="001E5326"/>
    <w:rsid w:val="001E5CEE"/>
    <w:rsid w:val="001F0DC1"/>
    <w:rsid w:val="001F1A86"/>
    <w:rsid w:val="001F3846"/>
    <w:rsid w:val="001F761D"/>
    <w:rsid w:val="001F7826"/>
    <w:rsid w:val="001F7DD5"/>
    <w:rsid w:val="00200422"/>
    <w:rsid w:val="00201B85"/>
    <w:rsid w:val="002030D8"/>
    <w:rsid w:val="00206D10"/>
    <w:rsid w:val="00210594"/>
    <w:rsid w:val="00211388"/>
    <w:rsid w:val="00212889"/>
    <w:rsid w:val="002206BE"/>
    <w:rsid w:val="00222922"/>
    <w:rsid w:val="00223D91"/>
    <w:rsid w:val="00224BDA"/>
    <w:rsid w:val="002276DE"/>
    <w:rsid w:val="002313F2"/>
    <w:rsid w:val="00233073"/>
    <w:rsid w:val="00235805"/>
    <w:rsid w:val="00236FCC"/>
    <w:rsid w:val="00237060"/>
    <w:rsid w:val="00237981"/>
    <w:rsid w:val="00241207"/>
    <w:rsid w:val="00241269"/>
    <w:rsid w:val="002412F2"/>
    <w:rsid w:val="00242128"/>
    <w:rsid w:val="002457EB"/>
    <w:rsid w:val="00246077"/>
    <w:rsid w:val="0024785D"/>
    <w:rsid w:val="002509B4"/>
    <w:rsid w:val="002516B5"/>
    <w:rsid w:val="002518D6"/>
    <w:rsid w:val="00253CDF"/>
    <w:rsid w:val="002541B1"/>
    <w:rsid w:val="0025689C"/>
    <w:rsid w:val="00261022"/>
    <w:rsid w:val="00261F40"/>
    <w:rsid w:val="00262860"/>
    <w:rsid w:val="00262D9E"/>
    <w:rsid w:val="002667CB"/>
    <w:rsid w:val="002700C2"/>
    <w:rsid w:val="0027123D"/>
    <w:rsid w:val="00273A93"/>
    <w:rsid w:val="00274AF3"/>
    <w:rsid w:val="0028471C"/>
    <w:rsid w:val="00284D70"/>
    <w:rsid w:val="00287B35"/>
    <w:rsid w:val="00291A3D"/>
    <w:rsid w:val="002947DE"/>
    <w:rsid w:val="00295674"/>
    <w:rsid w:val="00297C06"/>
    <w:rsid w:val="002A0AA0"/>
    <w:rsid w:val="002A113E"/>
    <w:rsid w:val="002A2B19"/>
    <w:rsid w:val="002A2B4F"/>
    <w:rsid w:val="002A461F"/>
    <w:rsid w:val="002B19E1"/>
    <w:rsid w:val="002B1D02"/>
    <w:rsid w:val="002B592C"/>
    <w:rsid w:val="002B7FD8"/>
    <w:rsid w:val="002C12B1"/>
    <w:rsid w:val="002C2B15"/>
    <w:rsid w:val="002C3159"/>
    <w:rsid w:val="002C373A"/>
    <w:rsid w:val="002C728E"/>
    <w:rsid w:val="002C7D42"/>
    <w:rsid w:val="002D03D9"/>
    <w:rsid w:val="002D2867"/>
    <w:rsid w:val="002D30CF"/>
    <w:rsid w:val="002D4DE1"/>
    <w:rsid w:val="002D79ED"/>
    <w:rsid w:val="002D7D49"/>
    <w:rsid w:val="002E1648"/>
    <w:rsid w:val="002E2373"/>
    <w:rsid w:val="002E427F"/>
    <w:rsid w:val="002E73DC"/>
    <w:rsid w:val="002F0008"/>
    <w:rsid w:val="002F0EFA"/>
    <w:rsid w:val="002F2CBC"/>
    <w:rsid w:val="002F3411"/>
    <w:rsid w:val="002F5523"/>
    <w:rsid w:val="00302EA5"/>
    <w:rsid w:val="00306C2D"/>
    <w:rsid w:val="00310F8E"/>
    <w:rsid w:val="0031204B"/>
    <w:rsid w:val="00313B36"/>
    <w:rsid w:val="00314628"/>
    <w:rsid w:val="00323588"/>
    <w:rsid w:val="00323C6A"/>
    <w:rsid w:val="003265D3"/>
    <w:rsid w:val="0033134C"/>
    <w:rsid w:val="00334A86"/>
    <w:rsid w:val="003424BC"/>
    <w:rsid w:val="00342F2D"/>
    <w:rsid w:val="003435AE"/>
    <w:rsid w:val="00345030"/>
    <w:rsid w:val="00345D0E"/>
    <w:rsid w:val="00346C12"/>
    <w:rsid w:val="00347C89"/>
    <w:rsid w:val="00354850"/>
    <w:rsid w:val="003609B4"/>
    <w:rsid w:val="0036211A"/>
    <w:rsid w:val="00364B3A"/>
    <w:rsid w:val="00365F76"/>
    <w:rsid w:val="00367550"/>
    <w:rsid w:val="00367E23"/>
    <w:rsid w:val="00375AB5"/>
    <w:rsid w:val="00375E82"/>
    <w:rsid w:val="003765BE"/>
    <w:rsid w:val="003804FD"/>
    <w:rsid w:val="00381D25"/>
    <w:rsid w:val="00383391"/>
    <w:rsid w:val="003863CB"/>
    <w:rsid w:val="00391169"/>
    <w:rsid w:val="00392AEB"/>
    <w:rsid w:val="003A6A79"/>
    <w:rsid w:val="003A6E07"/>
    <w:rsid w:val="003B07BF"/>
    <w:rsid w:val="003B28A6"/>
    <w:rsid w:val="003B2D25"/>
    <w:rsid w:val="003B6FFD"/>
    <w:rsid w:val="003C29BB"/>
    <w:rsid w:val="003C2CCA"/>
    <w:rsid w:val="003C4133"/>
    <w:rsid w:val="003C5B64"/>
    <w:rsid w:val="003C6DD3"/>
    <w:rsid w:val="003C712B"/>
    <w:rsid w:val="003C7698"/>
    <w:rsid w:val="003D05E0"/>
    <w:rsid w:val="003D0C8D"/>
    <w:rsid w:val="003D1BAB"/>
    <w:rsid w:val="003D220E"/>
    <w:rsid w:val="003D48B3"/>
    <w:rsid w:val="003D5156"/>
    <w:rsid w:val="003D6B4E"/>
    <w:rsid w:val="003D73D2"/>
    <w:rsid w:val="003E0B31"/>
    <w:rsid w:val="003E1182"/>
    <w:rsid w:val="003E16AC"/>
    <w:rsid w:val="003E1C1A"/>
    <w:rsid w:val="003E3F78"/>
    <w:rsid w:val="003E4039"/>
    <w:rsid w:val="003F0E8A"/>
    <w:rsid w:val="003F1C81"/>
    <w:rsid w:val="003F2177"/>
    <w:rsid w:val="003F4882"/>
    <w:rsid w:val="003F5E0F"/>
    <w:rsid w:val="003F61A1"/>
    <w:rsid w:val="003F6DA2"/>
    <w:rsid w:val="0040093B"/>
    <w:rsid w:val="00411039"/>
    <w:rsid w:val="004163F4"/>
    <w:rsid w:val="0042379F"/>
    <w:rsid w:val="00426EEF"/>
    <w:rsid w:val="00427F91"/>
    <w:rsid w:val="004310D9"/>
    <w:rsid w:val="00433404"/>
    <w:rsid w:val="00433A63"/>
    <w:rsid w:val="004344BC"/>
    <w:rsid w:val="00434FEC"/>
    <w:rsid w:val="0043685C"/>
    <w:rsid w:val="00442523"/>
    <w:rsid w:val="004475DA"/>
    <w:rsid w:val="0045017B"/>
    <w:rsid w:val="0045399E"/>
    <w:rsid w:val="00454973"/>
    <w:rsid w:val="00457FC5"/>
    <w:rsid w:val="00463069"/>
    <w:rsid w:val="00464647"/>
    <w:rsid w:val="00466F32"/>
    <w:rsid w:val="00467609"/>
    <w:rsid w:val="0047443E"/>
    <w:rsid w:val="00474E2A"/>
    <w:rsid w:val="00475C40"/>
    <w:rsid w:val="004837D9"/>
    <w:rsid w:val="00484720"/>
    <w:rsid w:val="00487B09"/>
    <w:rsid w:val="00492F53"/>
    <w:rsid w:val="0049604A"/>
    <w:rsid w:val="00497BB1"/>
    <w:rsid w:val="004A11FE"/>
    <w:rsid w:val="004A1B35"/>
    <w:rsid w:val="004A34DC"/>
    <w:rsid w:val="004A64A5"/>
    <w:rsid w:val="004A6550"/>
    <w:rsid w:val="004B008F"/>
    <w:rsid w:val="004B07A7"/>
    <w:rsid w:val="004B2033"/>
    <w:rsid w:val="004B5E67"/>
    <w:rsid w:val="004C02E0"/>
    <w:rsid w:val="004C040B"/>
    <w:rsid w:val="004C1ADD"/>
    <w:rsid w:val="004C29A2"/>
    <w:rsid w:val="004C4469"/>
    <w:rsid w:val="004C4E1A"/>
    <w:rsid w:val="004C5311"/>
    <w:rsid w:val="004C65BE"/>
    <w:rsid w:val="004D1050"/>
    <w:rsid w:val="004D57CE"/>
    <w:rsid w:val="004D7337"/>
    <w:rsid w:val="004D7827"/>
    <w:rsid w:val="004E04A5"/>
    <w:rsid w:val="004E0A29"/>
    <w:rsid w:val="004E0ED6"/>
    <w:rsid w:val="004E2181"/>
    <w:rsid w:val="004E39A8"/>
    <w:rsid w:val="004E63AF"/>
    <w:rsid w:val="004E7F53"/>
    <w:rsid w:val="004F01AD"/>
    <w:rsid w:val="004F1333"/>
    <w:rsid w:val="004F61E8"/>
    <w:rsid w:val="004F62DC"/>
    <w:rsid w:val="00500523"/>
    <w:rsid w:val="00502595"/>
    <w:rsid w:val="00511EA3"/>
    <w:rsid w:val="005127B7"/>
    <w:rsid w:val="0051762B"/>
    <w:rsid w:val="00523D1B"/>
    <w:rsid w:val="00524582"/>
    <w:rsid w:val="00524E85"/>
    <w:rsid w:val="005267AC"/>
    <w:rsid w:val="0052687B"/>
    <w:rsid w:val="0052726F"/>
    <w:rsid w:val="00530038"/>
    <w:rsid w:val="0054190E"/>
    <w:rsid w:val="0054382F"/>
    <w:rsid w:val="00543BB6"/>
    <w:rsid w:val="00551216"/>
    <w:rsid w:val="00553DB8"/>
    <w:rsid w:val="005563B2"/>
    <w:rsid w:val="00557027"/>
    <w:rsid w:val="0056054A"/>
    <w:rsid w:val="005636FC"/>
    <w:rsid w:val="00566AD8"/>
    <w:rsid w:val="00570F00"/>
    <w:rsid w:val="00571B6B"/>
    <w:rsid w:val="00573EFA"/>
    <w:rsid w:val="00575AE0"/>
    <w:rsid w:val="005769E7"/>
    <w:rsid w:val="00581DC2"/>
    <w:rsid w:val="0058380D"/>
    <w:rsid w:val="00585CFF"/>
    <w:rsid w:val="00586872"/>
    <w:rsid w:val="00591FC7"/>
    <w:rsid w:val="0059282B"/>
    <w:rsid w:val="00592D8F"/>
    <w:rsid w:val="005941C0"/>
    <w:rsid w:val="005975CB"/>
    <w:rsid w:val="00597DC3"/>
    <w:rsid w:val="005A022D"/>
    <w:rsid w:val="005A0646"/>
    <w:rsid w:val="005A261E"/>
    <w:rsid w:val="005A4EDE"/>
    <w:rsid w:val="005A50A9"/>
    <w:rsid w:val="005A61C3"/>
    <w:rsid w:val="005A7EAD"/>
    <w:rsid w:val="005B0F8C"/>
    <w:rsid w:val="005B1057"/>
    <w:rsid w:val="005B2B00"/>
    <w:rsid w:val="005B2B5F"/>
    <w:rsid w:val="005B57A4"/>
    <w:rsid w:val="005C07DE"/>
    <w:rsid w:val="005C24B6"/>
    <w:rsid w:val="005C2D09"/>
    <w:rsid w:val="005C3A36"/>
    <w:rsid w:val="005C63F0"/>
    <w:rsid w:val="005C7F82"/>
    <w:rsid w:val="005D0A83"/>
    <w:rsid w:val="005D0C88"/>
    <w:rsid w:val="005D22C6"/>
    <w:rsid w:val="005D3C74"/>
    <w:rsid w:val="005E1225"/>
    <w:rsid w:val="005E26DF"/>
    <w:rsid w:val="005E41DD"/>
    <w:rsid w:val="005F050A"/>
    <w:rsid w:val="005F0708"/>
    <w:rsid w:val="005F1114"/>
    <w:rsid w:val="005F1284"/>
    <w:rsid w:val="005F5868"/>
    <w:rsid w:val="006004A7"/>
    <w:rsid w:val="00602F5A"/>
    <w:rsid w:val="00606490"/>
    <w:rsid w:val="00610355"/>
    <w:rsid w:val="00611C87"/>
    <w:rsid w:val="00611EBC"/>
    <w:rsid w:val="00612528"/>
    <w:rsid w:val="00616A71"/>
    <w:rsid w:val="00620073"/>
    <w:rsid w:val="0062249E"/>
    <w:rsid w:val="00623047"/>
    <w:rsid w:val="00623C4D"/>
    <w:rsid w:val="00627488"/>
    <w:rsid w:val="00630259"/>
    <w:rsid w:val="006315F9"/>
    <w:rsid w:val="006322D8"/>
    <w:rsid w:val="0063359F"/>
    <w:rsid w:val="00634027"/>
    <w:rsid w:val="006363A0"/>
    <w:rsid w:val="00636412"/>
    <w:rsid w:val="006371EB"/>
    <w:rsid w:val="00637712"/>
    <w:rsid w:val="00643A1A"/>
    <w:rsid w:val="00643C1E"/>
    <w:rsid w:val="006468B3"/>
    <w:rsid w:val="00650E5E"/>
    <w:rsid w:val="00652CC0"/>
    <w:rsid w:val="00652E3B"/>
    <w:rsid w:val="00653555"/>
    <w:rsid w:val="00654165"/>
    <w:rsid w:val="0065441A"/>
    <w:rsid w:val="006547FA"/>
    <w:rsid w:val="00660D21"/>
    <w:rsid w:val="006628B1"/>
    <w:rsid w:val="00666653"/>
    <w:rsid w:val="006701E9"/>
    <w:rsid w:val="006803CB"/>
    <w:rsid w:val="00681F4D"/>
    <w:rsid w:val="00682B23"/>
    <w:rsid w:val="00685755"/>
    <w:rsid w:val="00686000"/>
    <w:rsid w:val="0069044C"/>
    <w:rsid w:val="006920FD"/>
    <w:rsid w:val="00695561"/>
    <w:rsid w:val="006A1F90"/>
    <w:rsid w:val="006A27C3"/>
    <w:rsid w:val="006B0F19"/>
    <w:rsid w:val="006B2D13"/>
    <w:rsid w:val="006B5FEB"/>
    <w:rsid w:val="006D037C"/>
    <w:rsid w:val="006E0811"/>
    <w:rsid w:val="006E13F7"/>
    <w:rsid w:val="006E1702"/>
    <w:rsid w:val="006E2C0E"/>
    <w:rsid w:val="006E328A"/>
    <w:rsid w:val="006E3C82"/>
    <w:rsid w:val="006E59C8"/>
    <w:rsid w:val="006E7F82"/>
    <w:rsid w:val="006F0A88"/>
    <w:rsid w:val="006F0DD8"/>
    <w:rsid w:val="006F1E00"/>
    <w:rsid w:val="006F6400"/>
    <w:rsid w:val="006F70C8"/>
    <w:rsid w:val="00700C23"/>
    <w:rsid w:val="0070147D"/>
    <w:rsid w:val="0070151C"/>
    <w:rsid w:val="00701B88"/>
    <w:rsid w:val="00703E83"/>
    <w:rsid w:val="00710355"/>
    <w:rsid w:val="00711180"/>
    <w:rsid w:val="00712C99"/>
    <w:rsid w:val="007135C6"/>
    <w:rsid w:val="0071484C"/>
    <w:rsid w:val="007212C2"/>
    <w:rsid w:val="00721D97"/>
    <w:rsid w:val="00726BEF"/>
    <w:rsid w:val="00730255"/>
    <w:rsid w:val="00731C79"/>
    <w:rsid w:val="00735A62"/>
    <w:rsid w:val="007364F6"/>
    <w:rsid w:val="00737DCE"/>
    <w:rsid w:val="00741B02"/>
    <w:rsid w:val="0074270B"/>
    <w:rsid w:val="0074278D"/>
    <w:rsid w:val="007476C8"/>
    <w:rsid w:val="00747EC4"/>
    <w:rsid w:val="00750EFE"/>
    <w:rsid w:val="007539C0"/>
    <w:rsid w:val="00753B25"/>
    <w:rsid w:val="00753C91"/>
    <w:rsid w:val="00754DFB"/>
    <w:rsid w:val="00755A49"/>
    <w:rsid w:val="00756050"/>
    <w:rsid w:val="007601FF"/>
    <w:rsid w:val="00761413"/>
    <w:rsid w:val="00761C57"/>
    <w:rsid w:val="00762161"/>
    <w:rsid w:val="00765D39"/>
    <w:rsid w:val="00766E5B"/>
    <w:rsid w:val="00770E52"/>
    <w:rsid w:val="007719D9"/>
    <w:rsid w:val="007739F3"/>
    <w:rsid w:val="00773BB5"/>
    <w:rsid w:val="00775515"/>
    <w:rsid w:val="00781415"/>
    <w:rsid w:val="00781679"/>
    <w:rsid w:val="0078219D"/>
    <w:rsid w:val="00783F37"/>
    <w:rsid w:val="007877BF"/>
    <w:rsid w:val="00790257"/>
    <w:rsid w:val="00793120"/>
    <w:rsid w:val="00793F21"/>
    <w:rsid w:val="007944E8"/>
    <w:rsid w:val="00794571"/>
    <w:rsid w:val="00794BC8"/>
    <w:rsid w:val="007A41AD"/>
    <w:rsid w:val="007A47F2"/>
    <w:rsid w:val="007A6441"/>
    <w:rsid w:val="007A6B4B"/>
    <w:rsid w:val="007B0382"/>
    <w:rsid w:val="007B0C72"/>
    <w:rsid w:val="007B3682"/>
    <w:rsid w:val="007B379D"/>
    <w:rsid w:val="007B5140"/>
    <w:rsid w:val="007C060F"/>
    <w:rsid w:val="007C2AE4"/>
    <w:rsid w:val="007C5C4D"/>
    <w:rsid w:val="007C6074"/>
    <w:rsid w:val="007D03CD"/>
    <w:rsid w:val="007D1CE9"/>
    <w:rsid w:val="007D1DE2"/>
    <w:rsid w:val="007D2C8C"/>
    <w:rsid w:val="007D36CE"/>
    <w:rsid w:val="007D3BB3"/>
    <w:rsid w:val="007D73B0"/>
    <w:rsid w:val="007E2CB8"/>
    <w:rsid w:val="007E34AD"/>
    <w:rsid w:val="007E50E4"/>
    <w:rsid w:val="007F142F"/>
    <w:rsid w:val="007F2582"/>
    <w:rsid w:val="007F5572"/>
    <w:rsid w:val="007F60AF"/>
    <w:rsid w:val="007F6B11"/>
    <w:rsid w:val="007F703F"/>
    <w:rsid w:val="008012DA"/>
    <w:rsid w:val="00801342"/>
    <w:rsid w:val="00802ADD"/>
    <w:rsid w:val="008036B8"/>
    <w:rsid w:val="00804574"/>
    <w:rsid w:val="0081051F"/>
    <w:rsid w:val="00813E07"/>
    <w:rsid w:val="00816527"/>
    <w:rsid w:val="00817C6E"/>
    <w:rsid w:val="0082247B"/>
    <w:rsid w:val="00824565"/>
    <w:rsid w:val="00824BDC"/>
    <w:rsid w:val="00824FCC"/>
    <w:rsid w:val="008306F4"/>
    <w:rsid w:val="0083105F"/>
    <w:rsid w:val="00832C34"/>
    <w:rsid w:val="00832D0F"/>
    <w:rsid w:val="00833874"/>
    <w:rsid w:val="008372DD"/>
    <w:rsid w:val="008448CA"/>
    <w:rsid w:val="00846ED9"/>
    <w:rsid w:val="0084763C"/>
    <w:rsid w:val="0085362E"/>
    <w:rsid w:val="0085540B"/>
    <w:rsid w:val="00856EB5"/>
    <w:rsid w:val="008621CC"/>
    <w:rsid w:val="008644D1"/>
    <w:rsid w:val="00865825"/>
    <w:rsid w:val="00866007"/>
    <w:rsid w:val="00870434"/>
    <w:rsid w:val="00871FB0"/>
    <w:rsid w:val="00872771"/>
    <w:rsid w:val="00873426"/>
    <w:rsid w:val="00874336"/>
    <w:rsid w:val="008743FB"/>
    <w:rsid w:val="00874C29"/>
    <w:rsid w:val="00875524"/>
    <w:rsid w:val="0087756C"/>
    <w:rsid w:val="008804BA"/>
    <w:rsid w:val="00882878"/>
    <w:rsid w:val="00884940"/>
    <w:rsid w:val="00887065"/>
    <w:rsid w:val="00887B76"/>
    <w:rsid w:val="008A2899"/>
    <w:rsid w:val="008A5BBE"/>
    <w:rsid w:val="008A6A87"/>
    <w:rsid w:val="008B4615"/>
    <w:rsid w:val="008B5C2E"/>
    <w:rsid w:val="008B7459"/>
    <w:rsid w:val="008C0508"/>
    <w:rsid w:val="008C089A"/>
    <w:rsid w:val="008C1909"/>
    <w:rsid w:val="008C3586"/>
    <w:rsid w:val="008C63D8"/>
    <w:rsid w:val="008C7497"/>
    <w:rsid w:val="008D1C60"/>
    <w:rsid w:val="008D3A7D"/>
    <w:rsid w:val="008D404D"/>
    <w:rsid w:val="008D5B2E"/>
    <w:rsid w:val="008E2345"/>
    <w:rsid w:val="008E4FD4"/>
    <w:rsid w:val="008E51CB"/>
    <w:rsid w:val="008F52BB"/>
    <w:rsid w:val="00901C49"/>
    <w:rsid w:val="00915E71"/>
    <w:rsid w:val="0091728E"/>
    <w:rsid w:val="00923881"/>
    <w:rsid w:val="00931280"/>
    <w:rsid w:val="00932F6A"/>
    <w:rsid w:val="00935253"/>
    <w:rsid w:val="00943418"/>
    <w:rsid w:val="00943987"/>
    <w:rsid w:val="00943BAE"/>
    <w:rsid w:val="009443C0"/>
    <w:rsid w:val="00945FE5"/>
    <w:rsid w:val="009465AE"/>
    <w:rsid w:val="0095023A"/>
    <w:rsid w:val="00954C17"/>
    <w:rsid w:val="00955A08"/>
    <w:rsid w:val="009571D9"/>
    <w:rsid w:val="009613E9"/>
    <w:rsid w:val="009614E9"/>
    <w:rsid w:val="00961FB6"/>
    <w:rsid w:val="009645FB"/>
    <w:rsid w:val="009659BF"/>
    <w:rsid w:val="009668B2"/>
    <w:rsid w:val="00967372"/>
    <w:rsid w:val="009720C4"/>
    <w:rsid w:val="00974656"/>
    <w:rsid w:val="009746E6"/>
    <w:rsid w:val="00975AF0"/>
    <w:rsid w:val="00980348"/>
    <w:rsid w:val="00980A64"/>
    <w:rsid w:val="00981569"/>
    <w:rsid w:val="0098330F"/>
    <w:rsid w:val="00985903"/>
    <w:rsid w:val="00993A91"/>
    <w:rsid w:val="009975A7"/>
    <w:rsid w:val="00997EF2"/>
    <w:rsid w:val="009A1D23"/>
    <w:rsid w:val="009A2C4E"/>
    <w:rsid w:val="009A3FFD"/>
    <w:rsid w:val="009B0462"/>
    <w:rsid w:val="009B216D"/>
    <w:rsid w:val="009B4244"/>
    <w:rsid w:val="009B4FA9"/>
    <w:rsid w:val="009B5B48"/>
    <w:rsid w:val="009B608C"/>
    <w:rsid w:val="009B6771"/>
    <w:rsid w:val="009B6E22"/>
    <w:rsid w:val="009C254C"/>
    <w:rsid w:val="009C3201"/>
    <w:rsid w:val="009C6530"/>
    <w:rsid w:val="009C6D49"/>
    <w:rsid w:val="009C7619"/>
    <w:rsid w:val="009D61A9"/>
    <w:rsid w:val="009D6A73"/>
    <w:rsid w:val="009D7648"/>
    <w:rsid w:val="009E0B7E"/>
    <w:rsid w:val="009E1A19"/>
    <w:rsid w:val="009E1FEA"/>
    <w:rsid w:val="009E25B0"/>
    <w:rsid w:val="009E5A65"/>
    <w:rsid w:val="009E6BDD"/>
    <w:rsid w:val="009E7A1A"/>
    <w:rsid w:val="009F1D1D"/>
    <w:rsid w:val="009F4260"/>
    <w:rsid w:val="00A00236"/>
    <w:rsid w:val="00A01602"/>
    <w:rsid w:val="00A10660"/>
    <w:rsid w:val="00A13AFF"/>
    <w:rsid w:val="00A141F0"/>
    <w:rsid w:val="00A1481C"/>
    <w:rsid w:val="00A1582C"/>
    <w:rsid w:val="00A15F86"/>
    <w:rsid w:val="00A16DE3"/>
    <w:rsid w:val="00A203C3"/>
    <w:rsid w:val="00A2201A"/>
    <w:rsid w:val="00A2452B"/>
    <w:rsid w:val="00A246CC"/>
    <w:rsid w:val="00A30582"/>
    <w:rsid w:val="00A30BDF"/>
    <w:rsid w:val="00A31BE8"/>
    <w:rsid w:val="00A33D5E"/>
    <w:rsid w:val="00A34B1C"/>
    <w:rsid w:val="00A357D0"/>
    <w:rsid w:val="00A35DD2"/>
    <w:rsid w:val="00A375E0"/>
    <w:rsid w:val="00A4367F"/>
    <w:rsid w:val="00A46B66"/>
    <w:rsid w:val="00A54F49"/>
    <w:rsid w:val="00A61B56"/>
    <w:rsid w:val="00A61E64"/>
    <w:rsid w:val="00A64290"/>
    <w:rsid w:val="00A64B28"/>
    <w:rsid w:val="00A64F7B"/>
    <w:rsid w:val="00A654F2"/>
    <w:rsid w:val="00A66324"/>
    <w:rsid w:val="00A7052B"/>
    <w:rsid w:val="00A74BDF"/>
    <w:rsid w:val="00A75F8A"/>
    <w:rsid w:val="00A767EA"/>
    <w:rsid w:val="00A77254"/>
    <w:rsid w:val="00A80B09"/>
    <w:rsid w:val="00A82311"/>
    <w:rsid w:val="00A834FA"/>
    <w:rsid w:val="00A84ECA"/>
    <w:rsid w:val="00A8559B"/>
    <w:rsid w:val="00A857A8"/>
    <w:rsid w:val="00A85F18"/>
    <w:rsid w:val="00A8665D"/>
    <w:rsid w:val="00A876CE"/>
    <w:rsid w:val="00A8777C"/>
    <w:rsid w:val="00A90B7C"/>
    <w:rsid w:val="00A92647"/>
    <w:rsid w:val="00A92D42"/>
    <w:rsid w:val="00A9300E"/>
    <w:rsid w:val="00A948FE"/>
    <w:rsid w:val="00AA6C57"/>
    <w:rsid w:val="00AB0A58"/>
    <w:rsid w:val="00AB4994"/>
    <w:rsid w:val="00AB5268"/>
    <w:rsid w:val="00AB6D9D"/>
    <w:rsid w:val="00AC10FA"/>
    <w:rsid w:val="00AC57EA"/>
    <w:rsid w:val="00AC5806"/>
    <w:rsid w:val="00AD1396"/>
    <w:rsid w:val="00AD2C6A"/>
    <w:rsid w:val="00AD53EA"/>
    <w:rsid w:val="00AD55B9"/>
    <w:rsid w:val="00AD5B63"/>
    <w:rsid w:val="00AD65B5"/>
    <w:rsid w:val="00AE3D86"/>
    <w:rsid w:val="00AE40AC"/>
    <w:rsid w:val="00AE4774"/>
    <w:rsid w:val="00AE4A34"/>
    <w:rsid w:val="00AF0F4E"/>
    <w:rsid w:val="00AF3567"/>
    <w:rsid w:val="00AF37FF"/>
    <w:rsid w:val="00AF65A4"/>
    <w:rsid w:val="00B00D59"/>
    <w:rsid w:val="00B00E89"/>
    <w:rsid w:val="00B035F8"/>
    <w:rsid w:val="00B04E7F"/>
    <w:rsid w:val="00B051F2"/>
    <w:rsid w:val="00B14B82"/>
    <w:rsid w:val="00B15513"/>
    <w:rsid w:val="00B2730D"/>
    <w:rsid w:val="00B30A6F"/>
    <w:rsid w:val="00B31031"/>
    <w:rsid w:val="00B3315E"/>
    <w:rsid w:val="00B34559"/>
    <w:rsid w:val="00B41468"/>
    <w:rsid w:val="00B41B0A"/>
    <w:rsid w:val="00B4261A"/>
    <w:rsid w:val="00B47029"/>
    <w:rsid w:val="00B47692"/>
    <w:rsid w:val="00B5001A"/>
    <w:rsid w:val="00B52750"/>
    <w:rsid w:val="00B52D4C"/>
    <w:rsid w:val="00B53665"/>
    <w:rsid w:val="00B54501"/>
    <w:rsid w:val="00B551A2"/>
    <w:rsid w:val="00B557B7"/>
    <w:rsid w:val="00B55B63"/>
    <w:rsid w:val="00B6211D"/>
    <w:rsid w:val="00B62D53"/>
    <w:rsid w:val="00B64122"/>
    <w:rsid w:val="00B6474C"/>
    <w:rsid w:val="00B64FC1"/>
    <w:rsid w:val="00B70147"/>
    <w:rsid w:val="00B70266"/>
    <w:rsid w:val="00B705B7"/>
    <w:rsid w:val="00B721A3"/>
    <w:rsid w:val="00B72434"/>
    <w:rsid w:val="00B73091"/>
    <w:rsid w:val="00B75216"/>
    <w:rsid w:val="00B75994"/>
    <w:rsid w:val="00B854B7"/>
    <w:rsid w:val="00BA1046"/>
    <w:rsid w:val="00BA1182"/>
    <w:rsid w:val="00BA2235"/>
    <w:rsid w:val="00BA26FD"/>
    <w:rsid w:val="00BA4522"/>
    <w:rsid w:val="00BA5604"/>
    <w:rsid w:val="00BB1228"/>
    <w:rsid w:val="00BB208E"/>
    <w:rsid w:val="00BB4313"/>
    <w:rsid w:val="00BB4F64"/>
    <w:rsid w:val="00BB7874"/>
    <w:rsid w:val="00BC11A1"/>
    <w:rsid w:val="00BC1C63"/>
    <w:rsid w:val="00BC20A8"/>
    <w:rsid w:val="00BC236B"/>
    <w:rsid w:val="00BC299B"/>
    <w:rsid w:val="00BC2A85"/>
    <w:rsid w:val="00BC5D45"/>
    <w:rsid w:val="00BC7418"/>
    <w:rsid w:val="00BC7B6D"/>
    <w:rsid w:val="00BD0262"/>
    <w:rsid w:val="00BD1011"/>
    <w:rsid w:val="00BD2B9C"/>
    <w:rsid w:val="00BE187E"/>
    <w:rsid w:val="00BE1EB1"/>
    <w:rsid w:val="00BE4138"/>
    <w:rsid w:val="00BE6127"/>
    <w:rsid w:val="00BE6C7B"/>
    <w:rsid w:val="00BF2D76"/>
    <w:rsid w:val="00BF52D0"/>
    <w:rsid w:val="00BF5C02"/>
    <w:rsid w:val="00BF6A64"/>
    <w:rsid w:val="00C002D0"/>
    <w:rsid w:val="00C01D12"/>
    <w:rsid w:val="00C07168"/>
    <w:rsid w:val="00C1704C"/>
    <w:rsid w:val="00C2024E"/>
    <w:rsid w:val="00C22453"/>
    <w:rsid w:val="00C22A4C"/>
    <w:rsid w:val="00C250B3"/>
    <w:rsid w:val="00C27C00"/>
    <w:rsid w:val="00C30243"/>
    <w:rsid w:val="00C310E8"/>
    <w:rsid w:val="00C323F4"/>
    <w:rsid w:val="00C33ADA"/>
    <w:rsid w:val="00C34C7E"/>
    <w:rsid w:val="00C35536"/>
    <w:rsid w:val="00C35AC4"/>
    <w:rsid w:val="00C3709A"/>
    <w:rsid w:val="00C37AA4"/>
    <w:rsid w:val="00C415C6"/>
    <w:rsid w:val="00C450AB"/>
    <w:rsid w:val="00C47CBB"/>
    <w:rsid w:val="00C5015F"/>
    <w:rsid w:val="00C5271E"/>
    <w:rsid w:val="00C53317"/>
    <w:rsid w:val="00C53925"/>
    <w:rsid w:val="00C54FC0"/>
    <w:rsid w:val="00C56FB9"/>
    <w:rsid w:val="00C647CD"/>
    <w:rsid w:val="00C651C2"/>
    <w:rsid w:val="00C67746"/>
    <w:rsid w:val="00C71A71"/>
    <w:rsid w:val="00C729BB"/>
    <w:rsid w:val="00C72B7E"/>
    <w:rsid w:val="00C72F3F"/>
    <w:rsid w:val="00C76732"/>
    <w:rsid w:val="00C80526"/>
    <w:rsid w:val="00C8159F"/>
    <w:rsid w:val="00C82F45"/>
    <w:rsid w:val="00C82F8F"/>
    <w:rsid w:val="00C85B58"/>
    <w:rsid w:val="00C92956"/>
    <w:rsid w:val="00C952E4"/>
    <w:rsid w:val="00C96FDD"/>
    <w:rsid w:val="00C97647"/>
    <w:rsid w:val="00CA058E"/>
    <w:rsid w:val="00CA0DAC"/>
    <w:rsid w:val="00CA1ED9"/>
    <w:rsid w:val="00CA337C"/>
    <w:rsid w:val="00CA3889"/>
    <w:rsid w:val="00CB1165"/>
    <w:rsid w:val="00CC1063"/>
    <w:rsid w:val="00CC5C88"/>
    <w:rsid w:val="00CD1579"/>
    <w:rsid w:val="00CD480D"/>
    <w:rsid w:val="00CD5A3D"/>
    <w:rsid w:val="00CE0882"/>
    <w:rsid w:val="00CF16D0"/>
    <w:rsid w:val="00CF49A1"/>
    <w:rsid w:val="00CF5836"/>
    <w:rsid w:val="00CF5A56"/>
    <w:rsid w:val="00CF6436"/>
    <w:rsid w:val="00D03C82"/>
    <w:rsid w:val="00D0444C"/>
    <w:rsid w:val="00D070DA"/>
    <w:rsid w:val="00D10594"/>
    <w:rsid w:val="00D1142D"/>
    <w:rsid w:val="00D11599"/>
    <w:rsid w:val="00D128D8"/>
    <w:rsid w:val="00D12D09"/>
    <w:rsid w:val="00D15C22"/>
    <w:rsid w:val="00D16162"/>
    <w:rsid w:val="00D162BD"/>
    <w:rsid w:val="00D177FC"/>
    <w:rsid w:val="00D20F83"/>
    <w:rsid w:val="00D26C0A"/>
    <w:rsid w:val="00D27AE7"/>
    <w:rsid w:val="00D30053"/>
    <w:rsid w:val="00D307DB"/>
    <w:rsid w:val="00D33F68"/>
    <w:rsid w:val="00D34E0E"/>
    <w:rsid w:val="00D35D81"/>
    <w:rsid w:val="00D37434"/>
    <w:rsid w:val="00D40D16"/>
    <w:rsid w:val="00D40DA4"/>
    <w:rsid w:val="00D410C6"/>
    <w:rsid w:val="00D446E9"/>
    <w:rsid w:val="00D45010"/>
    <w:rsid w:val="00D56222"/>
    <w:rsid w:val="00D65306"/>
    <w:rsid w:val="00D664A7"/>
    <w:rsid w:val="00D675A3"/>
    <w:rsid w:val="00D70126"/>
    <w:rsid w:val="00D70B4F"/>
    <w:rsid w:val="00D71AD2"/>
    <w:rsid w:val="00D71C8D"/>
    <w:rsid w:val="00D77C17"/>
    <w:rsid w:val="00D808C5"/>
    <w:rsid w:val="00D8098E"/>
    <w:rsid w:val="00D84B20"/>
    <w:rsid w:val="00D85A23"/>
    <w:rsid w:val="00D87208"/>
    <w:rsid w:val="00D87316"/>
    <w:rsid w:val="00D879C4"/>
    <w:rsid w:val="00D91B53"/>
    <w:rsid w:val="00D96A78"/>
    <w:rsid w:val="00DA11B2"/>
    <w:rsid w:val="00DA430F"/>
    <w:rsid w:val="00DA652C"/>
    <w:rsid w:val="00DA7E4C"/>
    <w:rsid w:val="00DB0EB1"/>
    <w:rsid w:val="00DB1315"/>
    <w:rsid w:val="00DB1474"/>
    <w:rsid w:val="00DB2861"/>
    <w:rsid w:val="00DC12D5"/>
    <w:rsid w:val="00DC2C12"/>
    <w:rsid w:val="00DC3FB1"/>
    <w:rsid w:val="00DC5369"/>
    <w:rsid w:val="00DD017B"/>
    <w:rsid w:val="00DD360C"/>
    <w:rsid w:val="00DD4031"/>
    <w:rsid w:val="00DD41ED"/>
    <w:rsid w:val="00DD5468"/>
    <w:rsid w:val="00DE12B9"/>
    <w:rsid w:val="00DE22F6"/>
    <w:rsid w:val="00DE2997"/>
    <w:rsid w:val="00DE30F9"/>
    <w:rsid w:val="00DE54AE"/>
    <w:rsid w:val="00DE5D0B"/>
    <w:rsid w:val="00DE6A32"/>
    <w:rsid w:val="00DF2B6C"/>
    <w:rsid w:val="00DF3820"/>
    <w:rsid w:val="00DF4E45"/>
    <w:rsid w:val="00DF4FB8"/>
    <w:rsid w:val="00DF5C93"/>
    <w:rsid w:val="00DF7CA4"/>
    <w:rsid w:val="00E06472"/>
    <w:rsid w:val="00E068FB"/>
    <w:rsid w:val="00E06A9E"/>
    <w:rsid w:val="00E07699"/>
    <w:rsid w:val="00E07774"/>
    <w:rsid w:val="00E07939"/>
    <w:rsid w:val="00E10B03"/>
    <w:rsid w:val="00E13BBF"/>
    <w:rsid w:val="00E15C85"/>
    <w:rsid w:val="00E17ED2"/>
    <w:rsid w:val="00E216D8"/>
    <w:rsid w:val="00E22CFC"/>
    <w:rsid w:val="00E24EA3"/>
    <w:rsid w:val="00E27C22"/>
    <w:rsid w:val="00E300A2"/>
    <w:rsid w:val="00E30431"/>
    <w:rsid w:val="00E3153E"/>
    <w:rsid w:val="00E338A8"/>
    <w:rsid w:val="00E3507C"/>
    <w:rsid w:val="00E3610E"/>
    <w:rsid w:val="00E36DFE"/>
    <w:rsid w:val="00E370D3"/>
    <w:rsid w:val="00E4065D"/>
    <w:rsid w:val="00E41BD0"/>
    <w:rsid w:val="00E43CB3"/>
    <w:rsid w:val="00E45F4E"/>
    <w:rsid w:val="00E57799"/>
    <w:rsid w:val="00E57AF0"/>
    <w:rsid w:val="00E57C8C"/>
    <w:rsid w:val="00E62956"/>
    <w:rsid w:val="00E62AEC"/>
    <w:rsid w:val="00E6595E"/>
    <w:rsid w:val="00E66F59"/>
    <w:rsid w:val="00E7009E"/>
    <w:rsid w:val="00E714A4"/>
    <w:rsid w:val="00E716FC"/>
    <w:rsid w:val="00E71AE5"/>
    <w:rsid w:val="00E73063"/>
    <w:rsid w:val="00E77A0D"/>
    <w:rsid w:val="00E77C6F"/>
    <w:rsid w:val="00E8328C"/>
    <w:rsid w:val="00E84D42"/>
    <w:rsid w:val="00E91D7B"/>
    <w:rsid w:val="00E91F9F"/>
    <w:rsid w:val="00E92283"/>
    <w:rsid w:val="00E92B01"/>
    <w:rsid w:val="00E955CA"/>
    <w:rsid w:val="00EA027A"/>
    <w:rsid w:val="00EA088F"/>
    <w:rsid w:val="00EA1FBE"/>
    <w:rsid w:val="00EA495E"/>
    <w:rsid w:val="00EA5595"/>
    <w:rsid w:val="00EB0944"/>
    <w:rsid w:val="00EB1919"/>
    <w:rsid w:val="00EB43F7"/>
    <w:rsid w:val="00EB748B"/>
    <w:rsid w:val="00EC159A"/>
    <w:rsid w:val="00EC17AB"/>
    <w:rsid w:val="00EC2BEF"/>
    <w:rsid w:val="00EC5052"/>
    <w:rsid w:val="00EC77C8"/>
    <w:rsid w:val="00ED1C68"/>
    <w:rsid w:val="00ED3EA0"/>
    <w:rsid w:val="00ED41A8"/>
    <w:rsid w:val="00ED6B6F"/>
    <w:rsid w:val="00ED70E1"/>
    <w:rsid w:val="00ED7E71"/>
    <w:rsid w:val="00EE01EF"/>
    <w:rsid w:val="00EE6686"/>
    <w:rsid w:val="00EE6EA7"/>
    <w:rsid w:val="00EF0C92"/>
    <w:rsid w:val="00EF18A7"/>
    <w:rsid w:val="00F037AF"/>
    <w:rsid w:val="00F130E1"/>
    <w:rsid w:val="00F1371C"/>
    <w:rsid w:val="00F1501E"/>
    <w:rsid w:val="00F15C38"/>
    <w:rsid w:val="00F15E94"/>
    <w:rsid w:val="00F1729D"/>
    <w:rsid w:val="00F24BAB"/>
    <w:rsid w:val="00F25ED8"/>
    <w:rsid w:val="00F30420"/>
    <w:rsid w:val="00F35C72"/>
    <w:rsid w:val="00F436F5"/>
    <w:rsid w:val="00F526CA"/>
    <w:rsid w:val="00F54B6A"/>
    <w:rsid w:val="00F628F2"/>
    <w:rsid w:val="00F62B82"/>
    <w:rsid w:val="00F642E2"/>
    <w:rsid w:val="00F65AE4"/>
    <w:rsid w:val="00F65B15"/>
    <w:rsid w:val="00F71140"/>
    <w:rsid w:val="00F71E1A"/>
    <w:rsid w:val="00F7222F"/>
    <w:rsid w:val="00F7352D"/>
    <w:rsid w:val="00F7471E"/>
    <w:rsid w:val="00F748CC"/>
    <w:rsid w:val="00F750BE"/>
    <w:rsid w:val="00F7662B"/>
    <w:rsid w:val="00F813B5"/>
    <w:rsid w:val="00F8189F"/>
    <w:rsid w:val="00F847F1"/>
    <w:rsid w:val="00F853B2"/>
    <w:rsid w:val="00F86BBE"/>
    <w:rsid w:val="00F87DCD"/>
    <w:rsid w:val="00F87F0D"/>
    <w:rsid w:val="00F908F8"/>
    <w:rsid w:val="00F928A9"/>
    <w:rsid w:val="00F968FF"/>
    <w:rsid w:val="00FA00BC"/>
    <w:rsid w:val="00FA0F23"/>
    <w:rsid w:val="00FA11F4"/>
    <w:rsid w:val="00FA1C0A"/>
    <w:rsid w:val="00FA2E06"/>
    <w:rsid w:val="00FA370B"/>
    <w:rsid w:val="00FA4D8B"/>
    <w:rsid w:val="00FB01A7"/>
    <w:rsid w:val="00FB0C03"/>
    <w:rsid w:val="00FB13D5"/>
    <w:rsid w:val="00FB3D6B"/>
    <w:rsid w:val="00FB6B04"/>
    <w:rsid w:val="00FC230C"/>
    <w:rsid w:val="00FC288D"/>
    <w:rsid w:val="00FC3EDE"/>
    <w:rsid w:val="00FC448A"/>
    <w:rsid w:val="00FC6E2C"/>
    <w:rsid w:val="00FC7EFA"/>
    <w:rsid w:val="00FD710E"/>
    <w:rsid w:val="00FE1744"/>
    <w:rsid w:val="00FE4BD4"/>
    <w:rsid w:val="00FE51C5"/>
    <w:rsid w:val="00FE5832"/>
    <w:rsid w:val="00FE7E01"/>
    <w:rsid w:val="00FF3832"/>
    <w:rsid w:val="00FF43CA"/>
    <w:rsid w:val="00FF71B4"/>
  </w:rsids>
  <m:mathPr>
    <m:mathFont m:val="Cambria Math"/>
    <m:brkBin m:val="before"/>
    <m:brkBinSub m:val="--"/>
    <m:smallFrac m:val="off"/>
    <m:dispDef/>
    <m:lMargin m:val="0"/>
    <m:rMargin m:val="0"/>
    <m:defJc m:val="centerGroup"/>
    <m:wrapIndent m:val="1440"/>
    <m:intLim m:val="subSup"/>
    <m:naryLim m:val="undOvr"/>
  </m:mathPr>
  <w:themeFontLang w:val="en-ZA"/>
  <w:clrSchemeMapping w:bg1="light1" w:t1="dark1" w:bg2="light2" w:t2="dark2" w:accent1="accent1" w:accent2="accent2" w:accent3="accent3" w:accent4="accent4" w:accent5="accent5" w:accent6="accent6" w:hyperlink="hyperlink" w:followedHyperlink="followedHyperlink"/>
  <w:doNotIncludeSubdocsInStats/>
  <w:smartTagType w:namespaceuri="urn:schemas:contacts" w:name="Sn"/>
  <w:smartTagType w:namespaceuri="urn:schemas:contacts" w:name="GivenName"/>
  <w:shapeDefaults>
    <o:shapedefaults v:ext="edit" spidmax="542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heme="minorBidi"/>
        <w:sz w:val="24"/>
        <w:szCs w:val="22"/>
        <w:lang w:val="en-US" w:eastAsia="en-US" w:bidi="ar-SA"/>
      </w:rPr>
    </w:rPrDefault>
    <w:pPrDefault>
      <w:pPr>
        <w:spacing w:before="240" w:after="300" w:line="360"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Balloon Text" w:uiPriority="0"/>
    <w:lsdException w:name="Table Grid" w:semiHidden="0" w:uiPriority="59" w:unhideWhenUsed="0"/>
    <w:lsdException w:name="Placeholder Text" w:uiPriority="0"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0"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0"/>
    <w:lsdException w:name="TOC Heading" w:uiPriority="39" w:qFormat="1"/>
  </w:latentStyles>
  <w:style w:type="paragraph" w:default="1" w:styleId="Normal">
    <w:name w:val="Normal"/>
    <w:qFormat/>
    <w:rsid w:val="00295674"/>
    <w:rPr>
      <w:lang w:val="en-GB"/>
    </w:rPr>
  </w:style>
  <w:style w:type="paragraph" w:styleId="Heading1">
    <w:name w:val="heading 1"/>
    <w:basedOn w:val="Normal"/>
    <w:next w:val="Normal"/>
    <w:link w:val="Heading1Char"/>
    <w:qFormat/>
    <w:rsid w:val="009975A7"/>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nhideWhenUsed/>
    <w:qFormat/>
    <w:rsid w:val="00C5015F"/>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qFormat/>
    <w:rsid w:val="009975A7"/>
    <w:pPr>
      <w:pBdr>
        <w:bottom w:val="single" w:sz="8" w:space="4" w:color="4F81BD" w:themeColor="accent1"/>
      </w:pBdr>
      <w:spacing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rsid w:val="009975A7"/>
    <w:rPr>
      <w:rFonts w:asciiTheme="majorHAnsi" w:eastAsiaTheme="majorEastAsia" w:hAnsiTheme="majorHAnsi" w:cstheme="majorBidi"/>
      <w:color w:val="17365D" w:themeColor="text2" w:themeShade="BF"/>
      <w:spacing w:val="5"/>
      <w:kern w:val="28"/>
      <w:sz w:val="52"/>
      <w:szCs w:val="52"/>
    </w:rPr>
  </w:style>
  <w:style w:type="character" w:customStyle="1" w:styleId="Heading1Char">
    <w:name w:val="Heading 1 Char"/>
    <w:basedOn w:val="DefaultParagraphFont"/>
    <w:link w:val="Heading1"/>
    <w:rsid w:val="009975A7"/>
    <w:rPr>
      <w:rFonts w:asciiTheme="majorHAnsi" w:eastAsiaTheme="majorEastAsia" w:hAnsiTheme="majorHAnsi" w:cstheme="majorBidi"/>
      <w:b/>
      <w:bCs/>
      <w:color w:val="365F91" w:themeColor="accent1" w:themeShade="BF"/>
      <w:sz w:val="28"/>
      <w:szCs w:val="28"/>
    </w:rPr>
  </w:style>
  <w:style w:type="paragraph" w:styleId="ListParagraph">
    <w:name w:val="List Paragraph"/>
    <w:basedOn w:val="Normal"/>
    <w:uiPriority w:val="34"/>
    <w:qFormat/>
    <w:rsid w:val="007D36CE"/>
    <w:pPr>
      <w:ind w:left="720"/>
      <w:contextualSpacing/>
    </w:pPr>
  </w:style>
  <w:style w:type="paragraph" w:styleId="BalloonText">
    <w:name w:val="Balloon Text"/>
    <w:basedOn w:val="Normal"/>
    <w:link w:val="BalloonTextChar"/>
    <w:semiHidden/>
    <w:unhideWhenUsed/>
    <w:rsid w:val="00B557B7"/>
    <w:pPr>
      <w:spacing w:line="240" w:lineRule="auto"/>
    </w:pPr>
    <w:rPr>
      <w:rFonts w:ascii="Tahoma" w:hAnsi="Tahoma" w:cs="Tahoma"/>
      <w:sz w:val="16"/>
      <w:szCs w:val="16"/>
    </w:rPr>
  </w:style>
  <w:style w:type="character" w:customStyle="1" w:styleId="BalloonTextChar">
    <w:name w:val="Balloon Text Char"/>
    <w:basedOn w:val="DefaultParagraphFont"/>
    <w:link w:val="BalloonText"/>
    <w:semiHidden/>
    <w:rsid w:val="00B557B7"/>
    <w:rPr>
      <w:rFonts w:ascii="Tahoma" w:hAnsi="Tahoma" w:cs="Tahoma"/>
      <w:sz w:val="16"/>
      <w:szCs w:val="16"/>
    </w:rPr>
  </w:style>
  <w:style w:type="character" w:customStyle="1" w:styleId="Heading2Char">
    <w:name w:val="Heading 2 Char"/>
    <w:basedOn w:val="DefaultParagraphFont"/>
    <w:link w:val="Heading2"/>
    <w:rsid w:val="00C5015F"/>
    <w:rPr>
      <w:rFonts w:asciiTheme="majorHAnsi" w:eastAsiaTheme="majorEastAsia" w:hAnsiTheme="majorHAnsi" w:cstheme="majorBidi"/>
      <w:b/>
      <w:bCs/>
      <w:color w:val="4F81BD" w:themeColor="accent1"/>
      <w:sz w:val="26"/>
      <w:szCs w:val="26"/>
    </w:rPr>
  </w:style>
  <w:style w:type="character" w:styleId="PlaceholderText">
    <w:name w:val="Placeholder Text"/>
    <w:basedOn w:val="DefaultParagraphFont"/>
    <w:semiHidden/>
    <w:rsid w:val="00A75F8A"/>
    <w:rPr>
      <w:color w:val="808080"/>
    </w:rPr>
  </w:style>
  <w:style w:type="paragraph" w:styleId="Bibliography">
    <w:name w:val="Bibliography"/>
    <w:basedOn w:val="Normal"/>
    <w:next w:val="Normal"/>
    <w:unhideWhenUsed/>
    <w:rsid w:val="00CD1579"/>
  </w:style>
  <w:style w:type="paragraph" w:styleId="NoSpacing">
    <w:name w:val="No Spacing"/>
    <w:link w:val="NoSpacingChar"/>
    <w:uiPriority w:val="1"/>
    <w:qFormat/>
    <w:rsid w:val="005B2B5F"/>
    <w:pPr>
      <w:spacing w:line="240" w:lineRule="auto"/>
      <w:jc w:val="left"/>
    </w:pPr>
    <w:rPr>
      <w:rFonts w:asciiTheme="minorHAnsi" w:eastAsiaTheme="minorEastAsia" w:hAnsiTheme="minorHAnsi"/>
      <w:sz w:val="22"/>
    </w:rPr>
  </w:style>
  <w:style w:type="character" w:customStyle="1" w:styleId="NoSpacingChar">
    <w:name w:val="No Spacing Char"/>
    <w:basedOn w:val="DefaultParagraphFont"/>
    <w:link w:val="NoSpacing"/>
    <w:uiPriority w:val="1"/>
    <w:rsid w:val="005B2B5F"/>
    <w:rPr>
      <w:rFonts w:asciiTheme="minorHAnsi" w:eastAsiaTheme="minorEastAsia" w:hAnsiTheme="minorHAnsi"/>
      <w:sz w:val="22"/>
    </w:rPr>
  </w:style>
  <w:style w:type="paragraph" w:styleId="Header">
    <w:name w:val="header"/>
    <w:basedOn w:val="Normal"/>
    <w:link w:val="HeaderChar"/>
    <w:uiPriority w:val="99"/>
    <w:unhideWhenUsed/>
    <w:rsid w:val="005B2B5F"/>
    <w:pPr>
      <w:tabs>
        <w:tab w:val="center" w:pos="4680"/>
        <w:tab w:val="right" w:pos="9360"/>
      </w:tabs>
      <w:spacing w:line="240" w:lineRule="auto"/>
    </w:pPr>
  </w:style>
  <w:style w:type="character" w:customStyle="1" w:styleId="HeaderChar">
    <w:name w:val="Header Char"/>
    <w:basedOn w:val="DefaultParagraphFont"/>
    <w:link w:val="Header"/>
    <w:uiPriority w:val="99"/>
    <w:rsid w:val="005B2B5F"/>
  </w:style>
  <w:style w:type="paragraph" w:styleId="Footer">
    <w:name w:val="footer"/>
    <w:basedOn w:val="Normal"/>
    <w:link w:val="FooterChar"/>
    <w:uiPriority w:val="99"/>
    <w:unhideWhenUsed/>
    <w:rsid w:val="005B2B5F"/>
    <w:pPr>
      <w:tabs>
        <w:tab w:val="center" w:pos="4680"/>
        <w:tab w:val="right" w:pos="9360"/>
      </w:tabs>
      <w:spacing w:line="240" w:lineRule="auto"/>
    </w:pPr>
  </w:style>
  <w:style w:type="character" w:customStyle="1" w:styleId="FooterChar">
    <w:name w:val="Footer Char"/>
    <w:basedOn w:val="DefaultParagraphFont"/>
    <w:link w:val="Footer"/>
    <w:uiPriority w:val="99"/>
    <w:rsid w:val="005B2B5F"/>
  </w:style>
  <w:style w:type="paragraph" w:styleId="Revision">
    <w:name w:val="Revision"/>
    <w:hidden/>
    <w:semiHidden/>
    <w:rsid w:val="003D6B4E"/>
    <w:pPr>
      <w:spacing w:line="240" w:lineRule="auto"/>
      <w:jc w:val="left"/>
    </w:pPr>
  </w:style>
  <w:style w:type="paragraph" w:styleId="TOCHeading">
    <w:name w:val="TOC Heading"/>
    <w:basedOn w:val="Heading1"/>
    <w:next w:val="Normal"/>
    <w:uiPriority w:val="39"/>
    <w:unhideWhenUsed/>
    <w:qFormat/>
    <w:rsid w:val="00FA1C0A"/>
    <w:pPr>
      <w:spacing w:after="0" w:line="276" w:lineRule="auto"/>
      <w:jc w:val="left"/>
      <w:outlineLvl w:val="9"/>
    </w:pPr>
  </w:style>
  <w:style w:type="paragraph" w:styleId="TOC1">
    <w:name w:val="toc 1"/>
    <w:basedOn w:val="Normal"/>
    <w:next w:val="Normal"/>
    <w:autoRedefine/>
    <w:uiPriority w:val="39"/>
    <w:unhideWhenUsed/>
    <w:rsid w:val="00475C40"/>
    <w:pPr>
      <w:tabs>
        <w:tab w:val="left" w:pos="426"/>
        <w:tab w:val="right" w:leader="dot" w:pos="9323"/>
      </w:tabs>
      <w:spacing w:after="100"/>
    </w:pPr>
  </w:style>
  <w:style w:type="paragraph" w:styleId="TOC2">
    <w:name w:val="toc 2"/>
    <w:basedOn w:val="Normal"/>
    <w:next w:val="Normal"/>
    <w:autoRedefine/>
    <w:uiPriority w:val="39"/>
    <w:unhideWhenUsed/>
    <w:rsid w:val="00FA1C0A"/>
    <w:pPr>
      <w:spacing w:after="100"/>
      <w:ind w:left="240"/>
    </w:pPr>
  </w:style>
  <w:style w:type="character" w:styleId="Hyperlink">
    <w:name w:val="Hyperlink"/>
    <w:basedOn w:val="DefaultParagraphFont"/>
    <w:uiPriority w:val="99"/>
    <w:unhideWhenUsed/>
    <w:rsid w:val="00FA1C0A"/>
    <w:rPr>
      <w:color w:val="0000FF" w:themeColor="hyperlink"/>
      <w:u w:val="single"/>
    </w:rPr>
  </w:style>
  <w:style w:type="paragraph" w:styleId="FootnoteText">
    <w:name w:val="footnote text"/>
    <w:basedOn w:val="Normal"/>
    <w:link w:val="FootnoteTextChar"/>
    <w:uiPriority w:val="99"/>
    <w:semiHidden/>
    <w:rsid w:val="007364F6"/>
    <w:pPr>
      <w:spacing w:before="0" w:after="0" w:line="240" w:lineRule="auto"/>
      <w:jc w:val="left"/>
    </w:pPr>
    <w:rPr>
      <w:rFonts w:ascii="Calibri" w:eastAsia="Calibri" w:hAnsi="Calibri" w:cs="Times New Roman"/>
      <w:sz w:val="20"/>
      <w:szCs w:val="20"/>
      <w:lang w:val="en-US"/>
    </w:rPr>
  </w:style>
  <w:style w:type="character" w:customStyle="1" w:styleId="FootnoteTextChar">
    <w:name w:val="Footnote Text Char"/>
    <w:basedOn w:val="DefaultParagraphFont"/>
    <w:link w:val="FootnoteText"/>
    <w:uiPriority w:val="99"/>
    <w:semiHidden/>
    <w:rsid w:val="007364F6"/>
    <w:rPr>
      <w:rFonts w:ascii="Calibri" w:eastAsia="Calibri" w:hAnsi="Calibri" w:cs="Times New Roman"/>
      <w:sz w:val="20"/>
      <w:szCs w:val="20"/>
    </w:rPr>
  </w:style>
  <w:style w:type="character" w:styleId="FootnoteReference">
    <w:name w:val="footnote reference"/>
    <w:basedOn w:val="DefaultParagraphFont"/>
    <w:uiPriority w:val="99"/>
    <w:semiHidden/>
    <w:rsid w:val="007364F6"/>
    <w:rPr>
      <w:rFonts w:cs="Times New Roman"/>
      <w:vertAlign w:val="superscript"/>
    </w:rPr>
  </w:style>
  <w:style w:type="character" w:styleId="IntenseEmphasis">
    <w:name w:val="Intense Emphasis"/>
    <w:basedOn w:val="DefaultParagraphFont"/>
    <w:uiPriority w:val="21"/>
    <w:qFormat/>
    <w:rsid w:val="009D61A9"/>
    <w:rPr>
      <w:b/>
      <w:bCs/>
      <w:i/>
      <w:iCs/>
      <w:color w:val="4F81BD" w:themeColor="accent1"/>
    </w:rPr>
  </w:style>
  <w:style w:type="character" w:styleId="IntenseReference">
    <w:name w:val="Intense Reference"/>
    <w:basedOn w:val="DefaultParagraphFont"/>
    <w:uiPriority w:val="32"/>
    <w:qFormat/>
    <w:rsid w:val="001C69CB"/>
    <w:rPr>
      <w:b/>
      <w:bCs/>
      <w:smallCaps/>
      <w:color w:val="C0504D" w:themeColor="accent2"/>
      <w:spacing w:val="5"/>
      <w:u w:val="single"/>
    </w:rPr>
  </w:style>
</w:styles>
</file>

<file path=word/webSettings.xml><?xml version="1.0" encoding="utf-8"?>
<w:webSettings xmlns:r="http://schemas.openxmlformats.org/officeDocument/2006/relationships" xmlns:w="http://schemas.openxmlformats.org/wordprocessingml/2006/main">
  <w:divs>
    <w:div w:id="15931333">
      <w:bodyDiv w:val="1"/>
      <w:marLeft w:val="0"/>
      <w:marRight w:val="0"/>
      <w:marTop w:val="0"/>
      <w:marBottom w:val="0"/>
      <w:divBdr>
        <w:top w:val="none" w:sz="0" w:space="0" w:color="auto"/>
        <w:left w:val="none" w:sz="0" w:space="0" w:color="auto"/>
        <w:bottom w:val="none" w:sz="0" w:space="0" w:color="auto"/>
        <w:right w:val="none" w:sz="0" w:space="0" w:color="auto"/>
      </w:divBdr>
    </w:div>
    <w:div w:id="59333061">
      <w:bodyDiv w:val="1"/>
      <w:marLeft w:val="0"/>
      <w:marRight w:val="0"/>
      <w:marTop w:val="0"/>
      <w:marBottom w:val="0"/>
      <w:divBdr>
        <w:top w:val="none" w:sz="0" w:space="0" w:color="auto"/>
        <w:left w:val="none" w:sz="0" w:space="0" w:color="auto"/>
        <w:bottom w:val="none" w:sz="0" w:space="0" w:color="auto"/>
        <w:right w:val="none" w:sz="0" w:space="0" w:color="auto"/>
      </w:divBdr>
    </w:div>
    <w:div w:id="59912320">
      <w:bodyDiv w:val="1"/>
      <w:marLeft w:val="0"/>
      <w:marRight w:val="0"/>
      <w:marTop w:val="0"/>
      <w:marBottom w:val="0"/>
      <w:divBdr>
        <w:top w:val="none" w:sz="0" w:space="0" w:color="auto"/>
        <w:left w:val="none" w:sz="0" w:space="0" w:color="auto"/>
        <w:bottom w:val="none" w:sz="0" w:space="0" w:color="auto"/>
        <w:right w:val="none" w:sz="0" w:space="0" w:color="auto"/>
      </w:divBdr>
    </w:div>
    <w:div w:id="66192719">
      <w:bodyDiv w:val="1"/>
      <w:marLeft w:val="0"/>
      <w:marRight w:val="0"/>
      <w:marTop w:val="0"/>
      <w:marBottom w:val="0"/>
      <w:divBdr>
        <w:top w:val="none" w:sz="0" w:space="0" w:color="auto"/>
        <w:left w:val="none" w:sz="0" w:space="0" w:color="auto"/>
        <w:bottom w:val="none" w:sz="0" w:space="0" w:color="auto"/>
        <w:right w:val="none" w:sz="0" w:space="0" w:color="auto"/>
      </w:divBdr>
    </w:div>
    <w:div w:id="223879159">
      <w:bodyDiv w:val="1"/>
      <w:marLeft w:val="0"/>
      <w:marRight w:val="0"/>
      <w:marTop w:val="0"/>
      <w:marBottom w:val="0"/>
      <w:divBdr>
        <w:top w:val="none" w:sz="0" w:space="0" w:color="auto"/>
        <w:left w:val="none" w:sz="0" w:space="0" w:color="auto"/>
        <w:bottom w:val="none" w:sz="0" w:space="0" w:color="auto"/>
        <w:right w:val="none" w:sz="0" w:space="0" w:color="auto"/>
      </w:divBdr>
    </w:div>
    <w:div w:id="328673679">
      <w:bodyDiv w:val="1"/>
      <w:marLeft w:val="0"/>
      <w:marRight w:val="0"/>
      <w:marTop w:val="0"/>
      <w:marBottom w:val="0"/>
      <w:divBdr>
        <w:top w:val="none" w:sz="0" w:space="0" w:color="auto"/>
        <w:left w:val="none" w:sz="0" w:space="0" w:color="auto"/>
        <w:bottom w:val="none" w:sz="0" w:space="0" w:color="auto"/>
        <w:right w:val="none" w:sz="0" w:space="0" w:color="auto"/>
      </w:divBdr>
    </w:div>
    <w:div w:id="393696231">
      <w:bodyDiv w:val="1"/>
      <w:marLeft w:val="0"/>
      <w:marRight w:val="0"/>
      <w:marTop w:val="0"/>
      <w:marBottom w:val="0"/>
      <w:divBdr>
        <w:top w:val="none" w:sz="0" w:space="0" w:color="auto"/>
        <w:left w:val="none" w:sz="0" w:space="0" w:color="auto"/>
        <w:bottom w:val="none" w:sz="0" w:space="0" w:color="auto"/>
        <w:right w:val="none" w:sz="0" w:space="0" w:color="auto"/>
      </w:divBdr>
    </w:div>
    <w:div w:id="399595004">
      <w:bodyDiv w:val="1"/>
      <w:marLeft w:val="0"/>
      <w:marRight w:val="0"/>
      <w:marTop w:val="0"/>
      <w:marBottom w:val="0"/>
      <w:divBdr>
        <w:top w:val="none" w:sz="0" w:space="0" w:color="auto"/>
        <w:left w:val="none" w:sz="0" w:space="0" w:color="auto"/>
        <w:bottom w:val="none" w:sz="0" w:space="0" w:color="auto"/>
        <w:right w:val="none" w:sz="0" w:space="0" w:color="auto"/>
      </w:divBdr>
    </w:div>
    <w:div w:id="407383604">
      <w:bodyDiv w:val="1"/>
      <w:marLeft w:val="0"/>
      <w:marRight w:val="0"/>
      <w:marTop w:val="0"/>
      <w:marBottom w:val="0"/>
      <w:divBdr>
        <w:top w:val="none" w:sz="0" w:space="0" w:color="auto"/>
        <w:left w:val="none" w:sz="0" w:space="0" w:color="auto"/>
        <w:bottom w:val="none" w:sz="0" w:space="0" w:color="auto"/>
        <w:right w:val="none" w:sz="0" w:space="0" w:color="auto"/>
      </w:divBdr>
    </w:div>
    <w:div w:id="486020732">
      <w:bodyDiv w:val="1"/>
      <w:marLeft w:val="0"/>
      <w:marRight w:val="0"/>
      <w:marTop w:val="0"/>
      <w:marBottom w:val="0"/>
      <w:divBdr>
        <w:top w:val="none" w:sz="0" w:space="0" w:color="auto"/>
        <w:left w:val="none" w:sz="0" w:space="0" w:color="auto"/>
        <w:bottom w:val="none" w:sz="0" w:space="0" w:color="auto"/>
        <w:right w:val="none" w:sz="0" w:space="0" w:color="auto"/>
      </w:divBdr>
    </w:div>
    <w:div w:id="500655656">
      <w:bodyDiv w:val="1"/>
      <w:marLeft w:val="0"/>
      <w:marRight w:val="0"/>
      <w:marTop w:val="0"/>
      <w:marBottom w:val="0"/>
      <w:divBdr>
        <w:top w:val="none" w:sz="0" w:space="0" w:color="auto"/>
        <w:left w:val="none" w:sz="0" w:space="0" w:color="auto"/>
        <w:bottom w:val="none" w:sz="0" w:space="0" w:color="auto"/>
        <w:right w:val="none" w:sz="0" w:space="0" w:color="auto"/>
      </w:divBdr>
    </w:div>
    <w:div w:id="512841272">
      <w:bodyDiv w:val="1"/>
      <w:marLeft w:val="0"/>
      <w:marRight w:val="0"/>
      <w:marTop w:val="0"/>
      <w:marBottom w:val="0"/>
      <w:divBdr>
        <w:top w:val="none" w:sz="0" w:space="0" w:color="auto"/>
        <w:left w:val="none" w:sz="0" w:space="0" w:color="auto"/>
        <w:bottom w:val="none" w:sz="0" w:space="0" w:color="auto"/>
        <w:right w:val="none" w:sz="0" w:space="0" w:color="auto"/>
      </w:divBdr>
    </w:div>
    <w:div w:id="664404335">
      <w:bodyDiv w:val="1"/>
      <w:marLeft w:val="0"/>
      <w:marRight w:val="0"/>
      <w:marTop w:val="0"/>
      <w:marBottom w:val="0"/>
      <w:divBdr>
        <w:top w:val="none" w:sz="0" w:space="0" w:color="auto"/>
        <w:left w:val="none" w:sz="0" w:space="0" w:color="auto"/>
        <w:bottom w:val="none" w:sz="0" w:space="0" w:color="auto"/>
        <w:right w:val="none" w:sz="0" w:space="0" w:color="auto"/>
      </w:divBdr>
    </w:div>
    <w:div w:id="689333005">
      <w:bodyDiv w:val="1"/>
      <w:marLeft w:val="0"/>
      <w:marRight w:val="0"/>
      <w:marTop w:val="0"/>
      <w:marBottom w:val="0"/>
      <w:divBdr>
        <w:top w:val="none" w:sz="0" w:space="0" w:color="auto"/>
        <w:left w:val="none" w:sz="0" w:space="0" w:color="auto"/>
        <w:bottom w:val="none" w:sz="0" w:space="0" w:color="auto"/>
        <w:right w:val="none" w:sz="0" w:space="0" w:color="auto"/>
      </w:divBdr>
    </w:div>
    <w:div w:id="840194244">
      <w:bodyDiv w:val="1"/>
      <w:marLeft w:val="0"/>
      <w:marRight w:val="0"/>
      <w:marTop w:val="0"/>
      <w:marBottom w:val="0"/>
      <w:divBdr>
        <w:top w:val="none" w:sz="0" w:space="0" w:color="auto"/>
        <w:left w:val="none" w:sz="0" w:space="0" w:color="auto"/>
        <w:bottom w:val="none" w:sz="0" w:space="0" w:color="auto"/>
        <w:right w:val="none" w:sz="0" w:space="0" w:color="auto"/>
      </w:divBdr>
    </w:div>
    <w:div w:id="905451249">
      <w:bodyDiv w:val="1"/>
      <w:marLeft w:val="0"/>
      <w:marRight w:val="0"/>
      <w:marTop w:val="0"/>
      <w:marBottom w:val="0"/>
      <w:divBdr>
        <w:top w:val="none" w:sz="0" w:space="0" w:color="auto"/>
        <w:left w:val="none" w:sz="0" w:space="0" w:color="auto"/>
        <w:bottom w:val="none" w:sz="0" w:space="0" w:color="auto"/>
        <w:right w:val="none" w:sz="0" w:space="0" w:color="auto"/>
      </w:divBdr>
    </w:div>
    <w:div w:id="936789236">
      <w:bodyDiv w:val="1"/>
      <w:marLeft w:val="0"/>
      <w:marRight w:val="0"/>
      <w:marTop w:val="0"/>
      <w:marBottom w:val="0"/>
      <w:divBdr>
        <w:top w:val="none" w:sz="0" w:space="0" w:color="auto"/>
        <w:left w:val="none" w:sz="0" w:space="0" w:color="auto"/>
        <w:bottom w:val="none" w:sz="0" w:space="0" w:color="auto"/>
        <w:right w:val="none" w:sz="0" w:space="0" w:color="auto"/>
      </w:divBdr>
    </w:div>
    <w:div w:id="1081833647">
      <w:bodyDiv w:val="1"/>
      <w:marLeft w:val="0"/>
      <w:marRight w:val="0"/>
      <w:marTop w:val="0"/>
      <w:marBottom w:val="0"/>
      <w:divBdr>
        <w:top w:val="none" w:sz="0" w:space="0" w:color="auto"/>
        <w:left w:val="none" w:sz="0" w:space="0" w:color="auto"/>
        <w:bottom w:val="none" w:sz="0" w:space="0" w:color="auto"/>
        <w:right w:val="none" w:sz="0" w:space="0" w:color="auto"/>
      </w:divBdr>
    </w:div>
    <w:div w:id="1116487903">
      <w:bodyDiv w:val="1"/>
      <w:marLeft w:val="0"/>
      <w:marRight w:val="0"/>
      <w:marTop w:val="0"/>
      <w:marBottom w:val="0"/>
      <w:divBdr>
        <w:top w:val="none" w:sz="0" w:space="0" w:color="auto"/>
        <w:left w:val="none" w:sz="0" w:space="0" w:color="auto"/>
        <w:bottom w:val="none" w:sz="0" w:space="0" w:color="auto"/>
        <w:right w:val="none" w:sz="0" w:space="0" w:color="auto"/>
      </w:divBdr>
      <w:divsChild>
        <w:div w:id="838664680">
          <w:marLeft w:val="691"/>
          <w:marRight w:val="0"/>
          <w:marTop w:val="0"/>
          <w:marBottom w:val="0"/>
          <w:divBdr>
            <w:top w:val="none" w:sz="0" w:space="0" w:color="auto"/>
            <w:left w:val="none" w:sz="0" w:space="0" w:color="auto"/>
            <w:bottom w:val="none" w:sz="0" w:space="0" w:color="auto"/>
            <w:right w:val="none" w:sz="0" w:space="0" w:color="auto"/>
          </w:divBdr>
        </w:div>
        <w:div w:id="873151693">
          <w:marLeft w:val="1152"/>
          <w:marRight w:val="0"/>
          <w:marTop w:val="106"/>
          <w:marBottom w:val="0"/>
          <w:divBdr>
            <w:top w:val="none" w:sz="0" w:space="0" w:color="auto"/>
            <w:left w:val="none" w:sz="0" w:space="0" w:color="auto"/>
            <w:bottom w:val="none" w:sz="0" w:space="0" w:color="auto"/>
            <w:right w:val="none" w:sz="0" w:space="0" w:color="auto"/>
          </w:divBdr>
        </w:div>
        <w:div w:id="677657896">
          <w:marLeft w:val="1152"/>
          <w:marRight w:val="0"/>
          <w:marTop w:val="106"/>
          <w:marBottom w:val="0"/>
          <w:divBdr>
            <w:top w:val="none" w:sz="0" w:space="0" w:color="auto"/>
            <w:left w:val="none" w:sz="0" w:space="0" w:color="auto"/>
            <w:bottom w:val="none" w:sz="0" w:space="0" w:color="auto"/>
            <w:right w:val="none" w:sz="0" w:space="0" w:color="auto"/>
          </w:divBdr>
        </w:div>
        <w:div w:id="965042239">
          <w:marLeft w:val="1570"/>
          <w:marRight w:val="0"/>
          <w:marTop w:val="91"/>
          <w:marBottom w:val="0"/>
          <w:divBdr>
            <w:top w:val="none" w:sz="0" w:space="0" w:color="auto"/>
            <w:left w:val="none" w:sz="0" w:space="0" w:color="auto"/>
            <w:bottom w:val="none" w:sz="0" w:space="0" w:color="auto"/>
            <w:right w:val="none" w:sz="0" w:space="0" w:color="auto"/>
          </w:divBdr>
        </w:div>
        <w:div w:id="80226018">
          <w:marLeft w:val="1570"/>
          <w:marRight w:val="0"/>
          <w:marTop w:val="91"/>
          <w:marBottom w:val="0"/>
          <w:divBdr>
            <w:top w:val="none" w:sz="0" w:space="0" w:color="auto"/>
            <w:left w:val="none" w:sz="0" w:space="0" w:color="auto"/>
            <w:bottom w:val="none" w:sz="0" w:space="0" w:color="auto"/>
            <w:right w:val="none" w:sz="0" w:space="0" w:color="auto"/>
          </w:divBdr>
        </w:div>
      </w:divsChild>
    </w:div>
    <w:div w:id="1146438282">
      <w:bodyDiv w:val="1"/>
      <w:marLeft w:val="0"/>
      <w:marRight w:val="0"/>
      <w:marTop w:val="0"/>
      <w:marBottom w:val="0"/>
      <w:divBdr>
        <w:top w:val="none" w:sz="0" w:space="0" w:color="auto"/>
        <w:left w:val="none" w:sz="0" w:space="0" w:color="auto"/>
        <w:bottom w:val="none" w:sz="0" w:space="0" w:color="auto"/>
        <w:right w:val="none" w:sz="0" w:space="0" w:color="auto"/>
      </w:divBdr>
    </w:div>
    <w:div w:id="1147359488">
      <w:bodyDiv w:val="1"/>
      <w:marLeft w:val="0"/>
      <w:marRight w:val="0"/>
      <w:marTop w:val="0"/>
      <w:marBottom w:val="0"/>
      <w:divBdr>
        <w:top w:val="none" w:sz="0" w:space="0" w:color="auto"/>
        <w:left w:val="none" w:sz="0" w:space="0" w:color="auto"/>
        <w:bottom w:val="none" w:sz="0" w:space="0" w:color="auto"/>
        <w:right w:val="none" w:sz="0" w:space="0" w:color="auto"/>
      </w:divBdr>
    </w:div>
    <w:div w:id="1186481817">
      <w:bodyDiv w:val="1"/>
      <w:marLeft w:val="0"/>
      <w:marRight w:val="0"/>
      <w:marTop w:val="0"/>
      <w:marBottom w:val="0"/>
      <w:divBdr>
        <w:top w:val="none" w:sz="0" w:space="0" w:color="auto"/>
        <w:left w:val="none" w:sz="0" w:space="0" w:color="auto"/>
        <w:bottom w:val="none" w:sz="0" w:space="0" w:color="auto"/>
        <w:right w:val="none" w:sz="0" w:space="0" w:color="auto"/>
      </w:divBdr>
    </w:div>
    <w:div w:id="1241672676">
      <w:bodyDiv w:val="1"/>
      <w:marLeft w:val="0"/>
      <w:marRight w:val="0"/>
      <w:marTop w:val="0"/>
      <w:marBottom w:val="0"/>
      <w:divBdr>
        <w:top w:val="none" w:sz="0" w:space="0" w:color="auto"/>
        <w:left w:val="none" w:sz="0" w:space="0" w:color="auto"/>
        <w:bottom w:val="none" w:sz="0" w:space="0" w:color="auto"/>
        <w:right w:val="none" w:sz="0" w:space="0" w:color="auto"/>
      </w:divBdr>
    </w:div>
    <w:div w:id="1714570823">
      <w:bodyDiv w:val="1"/>
      <w:marLeft w:val="0"/>
      <w:marRight w:val="0"/>
      <w:marTop w:val="0"/>
      <w:marBottom w:val="0"/>
      <w:divBdr>
        <w:top w:val="none" w:sz="0" w:space="0" w:color="auto"/>
        <w:left w:val="none" w:sz="0" w:space="0" w:color="auto"/>
        <w:bottom w:val="none" w:sz="0" w:space="0" w:color="auto"/>
        <w:right w:val="none" w:sz="0" w:space="0" w:color="auto"/>
      </w:divBdr>
    </w:div>
    <w:div w:id="1783572606">
      <w:bodyDiv w:val="1"/>
      <w:marLeft w:val="0"/>
      <w:marRight w:val="0"/>
      <w:marTop w:val="0"/>
      <w:marBottom w:val="0"/>
      <w:divBdr>
        <w:top w:val="none" w:sz="0" w:space="0" w:color="auto"/>
        <w:left w:val="none" w:sz="0" w:space="0" w:color="auto"/>
        <w:bottom w:val="none" w:sz="0" w:space="0" w:color="auto"/>
        <w:right w:val="none" w:sz="0" w:space="0" w:color="auto"/>
      </w:divBdr>
    </w:div>
    <w:div w:id="1813281040">
      <w:bodyDiv w:val="1"/>
      <w:marLeft w:val="0"/>
      <w:marRight w:val="0"/>
      <w:marTop w:val="0"/>
      <w:marBottom w:val="0"/>
      <w:divBdr>
        <w:top w:val="none" w:sz="0" w:space="0" w:color="auto"/>
        <w:left w:val="none" w:sz="0" w:space="0" w:color="auto"/>
        <w:bottom w:val="none" w:sz="0" w:space="0" w:color="auto"/>
        <w:right w:val="none" w:sz="0" w:space="0" w:color="auto"/>
      </w:divBdr>
    </w:div>
    <w:div w:id="1815903509">
      <w:bodyDiv w:val="1"/>
      <w:marLeft w:val="0"/>
      <w:marRight w:val="0"/>
      <w:marTop w:val="0"/>
      <w:marBottom w:val="0"/>
      <w:divBdr>
        <w:top w:val="none" w:sz="0" w:space="0" w:color="auto"/>
        <w:left w:val="none" w:sz="0" w:space="0" w:color="auto"/>
        <w:bottom w:val="none" w:sz="0" w:space="0" w:color="auto"/>
        <w:right w:val="none" w:sz="0" w:space="0" w:color="auto"/>
      </w:divBdr>
    </w:div>
    <w:div w:id="1881042841">
      <w:bodyDiv w:val="1"/>
      <w:marLeft w:val="0"/>
      <w:marRight w:val="0"/>
      <w:marTop w:val="0"/>
      <w:marBottom w:val="0"/>
      <w:divBdr>
        <w:top w:val="none" w:sz="0" w:space="0" w:color="auto"/>
        <w:left w:val="none" w:sz="0" w:space="0" w:color="auto"/>
        <w:bottom w:val="none" w:sz="0" w:space="0" w:color="auto"/>
        <w:right w:val="none" w:sz="0" w:space="0" w:color="auto"/>
      </w:divBdr>
    </w:div>
    <w:div w:id="1917278878">
      <w:bodyDiv w:val="1"/>
      <w:marLeft w:val="0"/>
      <w:marRight w:val="0"/>
      <w:marTop w:val="0"/>
      <w:marBottom w:val="0"/>
      <w:divBdr>
        <w:top w:val="none" w:sz="0" w:space="0" w:color="auto"/>
        <w:left w:val="none" w:sz="0" w:space="0" w:color="auto"/>
        <w:bottom w:val="none" w:sz="0" w:space="0" w:color="auto"/>
        <w:right w:val="none" w:sz="0" w:space="0" w:color="auto"/>
      </w:divBdr>
    </w:div>
    <w:div w:id="1975211099">
      <w:bodyDiv w:val="1"/>
      <w:marLeft w:val="0"/>
      <w:marRight w:val="0"/>
      <w:marTop w:val="0"/>
      <w:marBottom w:val="0"/>
      <w:divBdr>
        <w:top w:val="none" w:sz="0" w:space="0" w:color="auto"/>
        <w:left w:val="none" w:sz="0" w:space="0" w:color="auto"/>
        <w:bottom w:val="none" w:sz="0" w:space="0" w:color="auto"/>
        <w:right w:val="none" w:sz="0" w:space="0" w:color="auto"/>
      </w:divBdr>
    </w:div>
    <w:div w:id="2071422761">
      <w:bodyDiv w:val="1"/>
      <w:marLeft w:val="0"/>
      <w:marRight w:val="0"/>
      <w:marTop w:val="0"/>
      <w:marBottom w:val="0"/>
      <w:divBdr>
        <w:top w:val="none" w:sz="0" w:space="0" w:color="auto"/>
        <w:left w:val="none" w:sz="0" w:space="0" w:color="auto"/>
        <w:bottom w:val="none" w:sz="0" w:space="0" w:color="auto"/>
        <w:right w:val="none" w:sz="0" w:space="0" w:color="auto"/>
      </w:divBdr>
    </w:div>
    <w:div w:id="21094198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1.png"/><Relationship Id="rId18"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footer" Target="footer4.xml"/><Relationship Id="rId2" Type="http://schemas.openxmlformats.org/officeDocument/2006/relationships/customXml" Target="../customXml/item2.xml"/><Relationship Id="rId16" Type="http://schemas.openxmlformats.org/officeDocument/2006/relationships/header" Target="header4.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header" Target="header2.xml"/><Relationship Id="rId19" Type="http://schemas.openxmlformats.org/officeDocument/2006/relationships/theme" Target="theme/theme1.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2011-02-28T00:00:00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b:Source>
    <b:Tag>Ayl00</b:Tag>
    <b:SourceType>JournalArticle</b:SourceType>
    <b:Guid>{B56A9B80-9815-43F8-8425-00EF8331FFB9}</b:Guid>
    <b:LCID>0</b:LCID>
    <b:Author>
      <b:Author>
        <b:NameList>
          <b:Person>
            <b:Last>Aylward</b:Last>
            <b:First>Anthony</b:First>
          </b:Person>
          <b:Person>
            <b:Last>Glen</b:Last>
            <b:First>Jack</b:First>
          </b:Person>
        </b:NameList>
      </b:Author>
    </b:Author>
    <b:Title>Some International Evidence on Stock Prices as Leading Indicators of Economic Activity</b:Title>
    <b:JournalName>Applied Financial Economics</b:JournalName>
    <b:Year>2000</b:Year>
    <b:Pages>1-14</b:Pages>
    <b:Volume>10</b:Volume>
    <b:RefOrder>1</b:RefOrder>
  </b:Source>
  <b:Source>
    <b:Tag>Bar90</b:Tag>
    <b:SourceType>JournalArticle</b:SourceType>
    <b:Guid>{6BFCDACF-8130-4FDC-BFC5-1434D1FCAA7B}</b:Guid>
    <b:LCID>0</b:LCID>
    <b:Author>
      <b:Author>
        <b:NameList>
          <b:Person>
            <b:Last>Barro</b:Last>
            <b:First>Robert</b:First>
            <b:Middle>J</b:Middle>
          </b:Person>
        </b:NameList>
      </b:Author>
    </b:Author>
    <b:Title>The Stock Market and Investment</b:Title>
    <b:JournalName>The Review of Financial Studies</b:JournalName>
    <b:Year>1990</b:Year>
    <b:Pages>115-131</b:Pages>
    <b:Volume>3</b:Volume>
    <b:Issue>1</b:Issue>
    <b:RefOrder>2</b:RefOrder>
  </b:Source>
  <b:Source>
    <b:Tag>Par97</b:Tag>
    <b:SourceType>JournalArticle</b:SourceType>
    <b:Guid>{FE6FEBB8-91A9-4C77-8EC8-9C862B9273DB}</b:Guid>
    <b:LCID>0</b:LCID>
    <b:Author>
      <b:Author>
        <b:NameList>
          <b:Person>
            <b:Last>Park</b:Last>
            <b:First>Sangkyun</b:First>
          </b:Person>
        </b:NameList>
      </b:Author>
    </b:Author>
    <b:Title>Rationality of Negative Stock-Price Responses to Strong Economic Activity</b:Title>
    <b:JournalName>Financial Analysts Journal</b:JournalName>
    <b:Year>1997</b:Year>
    <b:Pages>52-56</b:Pages>
    <b:Volume>53</b:Volume>
    <b:Issue>5</b:Issue>
    <b:RefOrder>3</b:RefOrder>
  </b:Source>
  <b:Source>
    <b:Tag>Tob69</b:Tag>
    <b:SourceType>JournalArticle</b:SourceType>
    <b:Guid>{4336DB6C-FE18-4908-947C-616E81FA1A7B}</b:Guid>
    <b:LCID>0</b:LCID>
    <b:Author>
      <b:Author>
        <b:NameList>
          <b:Person>
            <b:Last>Tobin</b:Last>
            <b:First>J</b:First>
          </b:Person>
        </b:NameList>
      </b:Author>
    </b:Author>
    <b:Title>A General Equilibrium Approach to Monetary Theory</b:Title>
    <b:JournalName>Journal of Money, Credit and Banking</b:JournalName>
    <b:Year>1969</b:Year>
    <b:Pages>15-29</b:Pages>
    <b:Volume>1</b:Volume>
    <b:RefOrder>4</b:RefOrder>
  </b:Source>
  <b:Source>
    <b:Tag>Cho99</b:Tag>
    <b:SourceType>JournalArticle</b:SourceType>
    <b:Guid>{BDA0CB45-E4DF-4A9E-B845-11F60AF547F2}</b:Guid>
    <b:LCID>0</b:LCID>
    <b:Author>
      <b:Author>
        <b:NameList>
          <b:Person>
            <b:Last>Choi</b:Last>
            <b:First>Jongmoo</b:First>
            <b:Middle>J</b:Middle>
          </b:Person>
          <b:Person>
            <b:Last>Hauser</b:Last>
            <b:First>Shmuel</b:First>
          </b:Person>
          <b:Person>
            <b:Last>Kopecky</b:Last>
            <b:First>Kenneth</b:First>
            <b:Middle>J</b:Middle>
          </b:Person>
        </b:NameList>
      </b:Author>
    </b:Author>
    <b:Title>Does the Stock Market Predict Real Activity? Time Series Evidence from the G-7 Countries</b:Title>
    <b:JournalName>Journal of Banking and Finance</b:JournalName>
    <b:Year>1999</b:Year>
    <b:Pages>1771-1792</b:Pages>
    <b:Volume>23</b:Volume>
    <b:RefOrder>5</b:RefOrder>
  </b:Source>
  <b:Source>
    <b:Tag>Fam90</b:Tag>
    <b:SourceType>JournalArticle</b:SourceType>
    <b:Guid>{C2F27257-238F-45A8-A8B5-3AF72A9BCD51}</b:Guid>
    <b:LCID>0</b:LCID>
    <b:Author>
      <b:Author>
        <b:NameList>
          <b:Person>
            <b:Last>Fama</b:Last>
            <b:First>Eugene</b:First>
          </b:Person>
        </b:NameList>
      </b:Author>
    </b:Author>
    <b:Title>Stock Returns, Expected Returns and Real Activity</b:Title>
    <b:JournalName>Journal of Finance</b:JournalName>
    <b:Year>1990</b:Year>
    <b:Pages>1089-1108</b:Pages>
    <b:Volume>45</b:Volume>
    <b:RefOrder>6</b:RefOrder>
  </b:Source>
  <b:Source>
    <b:Tag>Sch90</b:Tag>
    <b:SourceType>JournalArticle</b:SourceType>
    <b:Guid>{4C83CB9D-22EB-4E9B-852C-8830D5FA05C1}</b:Guid>
    <b:LCID>0</b:LCID>
    <b:Author>
      <b:Author>
        <b:NameList>
          <b:Person>
            <b:Last>Schwert</b:Last>
            <b:First>W</b:First>
          </b:Person>
        </b:NameList>
      </b:Author>
    </b:Author>
    <b:Title>Stock Returns and Real Activity: A Century of Evidence</b:Title>
    <b:JournalName>Journal of Finance</b:JournalName>
    <b:Year>1990</b:Year>
    <b:Pages>1237-1257</b:Pages>
    <b:Volume>45</b:Volume>
    <b:RefOrder>7</b:RefOrder>
  </b:Source>
  <b:Source>
    <b:Tag>Has02</b:Tag>
    <b:SourceType>JournalArticle</b:SourceType>
    <b:Guid>{E3D56D30-EE99-4D79-98F9-76442ADF1278}</b:Guid>
    <b:LCID>0</b:LCID>
    <b:Author>
      <b:Author>
        <b:NameList>
          <b:Person>
            <b:Last>Hassapis</b:Last>
            <b:First>Christis</b:First>
          </b:Person>
          <b:Person>
            <b:Last>Kalyvitis</b:Last>
            <b:First>Sarantis</b:First>
          </b:Person>
        </b:NameList>
      </b:Author>
    </b:Author>
    <b:Title>Investigating the Links between Growth and Real Stock Prices with Empirical Evidence from the G-7 Economies</b:Title>
    <b:JournalName>The Quarterly Review of Economics and Finance</b:JournalName>
    <b:Year>2002</b:Year>
    <b:Pages>543-575</b:Pages>
    <b:Volume>42</b:Volume>
    <b:RefOrder>8</b:RefOrder>
  </b:Source>
  <b:Source>
    <b:Tag>Smi84</b:Tag>
    <b:SourceType>JournalArticle</b:SourceType>
    <b:Guid>{C87CD512-5D79-47B3-9512-DCEAC21BBCC5}</b:Guid>
    <b:LCID>0</b:LCID>
    <b:Author>
      <b:Author>
        <b:NameList>
          <b:Person>
            <b:Last>Lakonishok</b:Last>
            <b:First>Josef</b:First>
          </b:Person>
          <b:Person>
            <b:Last>Smidt</b:Last>
            <b:First>Seymour</b:First>
          </b:Person>
        </b:NameList>
      </b:Author>
    </b:Author>
    <b:Title>Volume and Turn-of-the-Year Behaviour</b:Title>
    <b:JournalName>Journal of Financial Economics</b:JournalName>
    <b:Year>1984</b:Year>
    <b:Pages>435-455</b:Pages>
    <b:Issue>13</b:Issue>
    <b:RefOrder>9</b:RefOrder>
  </b:Source>
  <b:Source>
    <b:Tag>Ges83</b:Tag>
    <b:SourceType>JournalArticle</b:SourceType>
    <b:Guid>{AAEB473C-67CF-46D7-A4B2-25EFA7A79AB1}</b:Guid>
    <b:LCID>0</b:LCID>
    <b:Author>
      <b:Author>
        <b:NameList>
          <b:Person>
            <b:Last>Geske</b:Last>
            <b:First>R</b:First>
          </b:Person>
          <b:Person>
            <b:Last>Roll</b:Last>
            <b:First>R</b:First>
          </b:Person>
        </b:NameList>
      </b:Author>
    </b:Author>
    <b:Title>The Monetary and Fiscal Linkage between Stock Returns and Inflation</b:Title>
    <b:JournalName>Journal of Finance</b:JournalName>
    <b:Year>1983</b:Year>
    <b:Pages>1-33</b:Pages>
    <b:Volume>38</b:Volume>
    <b:RefOrder>10</b:RefOrder>
  </b:Source>
  <b:Source>
    <b:Tag>Kau87</b:Tag>
    <b:SourceType>JournalArticle</b:SourceType>
    <b:Guid>{2DC66B20-9220-45D5-B02A-AEFDD1F226D3}</b:Guid>
    <b:LCID>0</b:LCID>
    <b:Author>
      <b:Author>
        <b:NameList>
          <b:Person>
            <b:Last>Kaul</b:Last>
            <b:First>Gautam</b:First>
          </b:Person>
        </b:NameList>
      </b:Author>
    </b:Author>
    <b:Title>Stock Returns and Inflation: The Role of the Monetary Sector</b:Title>
    <b:JournalName>Journal of Financial Economics</b:JournalName>
    <b:Year>1987</b:Year>
    <b:Pages>253-276</b:Pages>
    <b:Volume>18</b:Volume>
    <b:RefOrder>11</b:RefOrder>
  </b:Source>
  <b:Source>
    <b:Tag>Fre87</b:Tag>
    <b:SourceType>JournalArticle</b:SourceType>
    <b:Guid>{D2030106-D41F-4728-A21A-E6B165BB2CE4}</b:Guid>
    <b:LCID>0</b:LCID>
    <b:Author>
      <b:Author>
        <b:NameList>
          <b:Person>
            <b:Last>French</b:Last>
            <b:First>Kenneth</b:First>
          </b:Person>
          <b:Person>
            <b:Last>Schwert</b:Last>
            <b:First>William</b:First>
          </b:Person>
          <b:Person>
            <b:Last>Stambaugh</b:Last>
            <b:First>Robert</b:First>
          </b:Person>
        </b:NameList>
      </b:Author>
    </b:Author>
    <b:Title>Expected Stock Returns and Volatility</b:Title>
    <b:JournalName>Journal of Financial Economics</b:JournalName>
    <b:Year>1987</b:Year>
    <b:Pages>3-29</b:Pages>
    <b:Volume>19</b:Volume>
    <b:RefOrder>12</b:RefOrder>
  </b:Source>
  <b:Source>
    <b:Tag>Mul82</b:Tag>
    <b:SourceType>ArticleInAPeriodical</b:SourceType>
    <b:Guid>{FBA3D4B4-AC81-4B27-A3D8-4F5EA6373791}</b:Guid>
    <b:LCID>0</b:LCID>
    <b:Author>
      <b:Author>
        <b:NameList>
          <b:Person>
            <b:Last>Mullins</b:Last>
            <b:First>D,</b:First>
            <b:Middle>W</b:Middle>
          </b:Person>
        </b:NameList>
      </b:Author>
    </b:Author>
    <b:Title>Does the Capital Asset Pricing Model Work?</b:Title>
    <b:Year>1982</b:Year>
    <b:Pages>105-114</b:Pages>
    <b:PeriodicalTitle>Harvard Business Review</b:PeriodicalTitle>
    <b:Month>January-February</b:Month>
    <b:RefOrder>13</b:RefOrder>
  </b:Source>
  <b:Source>
    <b:Tag>Fer93</b:Tag>
    <b:SourceType>JournalArticle</b:SourceType>
    <b:Guid>{736C5E23-DF6B-44C2-BC43-039593E14E44}</b:Guid>
    <b:LCID>0</b:LCID>
    <b:Author>
      <b:Author>
        <b:NameList>
          <b:Person>
            <b:Last>Ferson</b:Last>
            <b:First>Wayne</b:First>
            <b:Middle>E</b:Middle>
          </b:Person>
          <b:Person>
            <b:Last>Harvey</b:Last>
            <b:First>Campbell</b:First>
            <b:Middle>R</b:Middle>
          </b:Person>
        </b:NameList>
      </b:Author>
    </b:Author>
    <b:Title>The Risk and Predictability of International Equity Returns</b:Title>
    <b:JournalName>The Review of Financial Studies</b:JournalName>
    <b:Year>1993</b:Year>
    <b:Pages>527-566</b:Pages>
    <b:Volume>6</b:Volume>
    <b:Issue>3</b:Issue>
    <b:RefOrder>14</b:RefOrder>
  </b:Source>
  <b:Source>
    <b:Tag>Fer91</b:Tag>
    <b:SourceType>JournalArticle</b:SourceType>
    <b:Guid>{7B9E0430-5DF8-4EA1-9AA1-A46853A8FF9A}</b:Guid>
    <b:LCID>0</b:LCID>
    <b:Author>
      <b:Author>
        <b:NameList>
          <b:Person>
            <b:Last>Ferson</b:Last>
            <b:First>Wayne</b:First>
            <b:Middle>E</b:Middle>
          </b:Person>
          <b:Person>
            <b:Last>Harvey</b:Last>
            <b:First>Campbell</b:First>
            <b:Middle>R</b:Middle>
          </b:Person>
        </b:NameList>
      </b:Author>
    </b:Author>
    <b:Title>The Variation of Economic Risk Premiums</b:Title>
    <b:JournalName>The Journal of Political Economy</b:JournalName>
    <b:Year>1991</b:Year>
    <b:Pages>385-415</b:Pages>
    <b:Volume>99</b:Volume>
    <b:Issue>2</b:Issue>
    <b:RefOrder>15</b:RefOrder>
  </b:Source>
  <b:Source>
    <b:Tag>Bal89</b:Tag>
    <b:SourceType>JournalArticle</b:SourceType>
    <b:Guid>{BB84AE00-26FC-4D27-A136-668F747206E0}</b:Guid>
    <b:LCID>0</b:LCID>
    <b:Author>
      <b:Author>
        <b:NameList>
          <b:Person>
            <b:Last>Ball</b:Last>
            <b:First>Raymond</b:First>
          </b:Person>
          <b:Person>
            <b:Last>Kothari</b:Last>
            <b:First>S.</b:First>
            <b:Middle>P</b:Middle>
          </b:Person>
        </b:NameList>
      </b:Author>
    </b:Author>
    <b:Title>Nonstationary Expected Returns: Implications for Tests of Market Efficiency and Serial Correlation in Returns</b:Title>
    <b:JournalName>Journal of Financial Economics</b:JournalName>
    <b:Year>1989</b:Year>
    <b:Pages>51-74</b:Pages>
    <b:Volume>25</b:Volume>
    <b:RefOrder>16</b:RefOrder>
  </b:Source>
  <b:Source>
    <b:Tag>Che98</b:Tag>
    <b:SourceType>JournalArticle</b:SourceType>
    <b:Guid>{02B061EF-758B-4575-A32B-3EA9997879F8}</b:Guid>
    <b:LCID>0</b:LCID>
    <b:Author>
      <b:Author>
        <b:NameList>
          <b:Person>
            <b:Last>Cheung</b:Last>
            <b:First>Yin-Wong</b:First>
          </b:Person>
          <b:Person>
            <b:Last>Ng</b:Last>
            <b:First>Lilian</b:First>
            <b:Middle>K</b:Middle>
          </b:Person>
        </b:NameList>
      </b:Author>
    </b:Author>
    <b:Title>International Evidence on the Stock Market and Aggregate Economic Activity</b:Title>
    <b:JournalName>Journal of Empirical Finance</b:JournalName>
    <b:Year>1998</b:Year>
    <b:Pages>281-296</b:Pages>
    <b:Volume>5</b:Volume>
    <b:RefOrder>17</b:RefOrder>
  </b:Source>
  <b:Source>
    <b:Tag>Asp89</b:Tag>
    <b:SourceType>JournalArticle</b:SourceType>
    <b:Guid>{D82859CE-5B1F-4C03-8B04-9FF12C7EC975}</b:Guid>
    <b:LCID>0</b:LCID>
    <b:Author>
      <b:Author>
        <b:NameList>
          <b:Person>
            <b:Last>Asprem</b:Last>
            <b:First>M</b:First>
          </b:Person>
        </b:NameList>
      </b:Author>
    </b:Author>
    <b:Title>Stock Prices, Asset Portfolios and Macroeconomic Variables in Ten European Countries</b:Title>
    <b:JournalName>Journal of Banking and Finance</b:JournalName>
    <b:Year>1989</b:Year>
    <b:Pages>589-612</b:Pages>
    <b:Volume>13</b:Volume>
    <b:RefOrder>18</b:RefOrder>
  </b:Source>
  <b:Source>
    <b:Tag>Man85</b:Tag>
    <b:SourceType>JournalArticle</b:SourceType>
    <b:Guid>{BE8051AA-2C8C-403F-9018-3E67EED747A1}</b:Guid>
    <b:LCID>0</b:LCID>
    <b:Author>
      <b:Author>
        <b:NameList>
          <b:Person>
            <b:Last>Mandelker</b:Last>
            <b:First>G</b:First>
          </b:Person>
          <b:Person>
            <b:Last>Tandon</b:Last>
            <b:First>K</b:First>
          </b:Person>
        </b:NameList>
      </b:Author>
    </b:Author>
    <b:Title>Common Stock Returns, Real Activity, Money and Inflation: Some International Evidence</b:Title>
    <b:JournalName>Journal of International Money and Finance</b:JournalName>
    <b:Year>1985</b:Year>
    <b:Pages>267-286</b:Pages>
    <b:Volume>4</b:Volume>
    <b:RefOrder>19</b:RefOrder>
  </b:Source>
  <b:Source>
    <b:Tag>Che86</b:Tag>
    <b:SourceType>JournalArticle</b:SourceType>
    <b:Guid>{702AAA40-6838-4DB7-A3DA-A62A4897816E}</b:Guid>
    <b:LCID>0</b:LCID>
    <b:Author>
      <b:Author>
        <b:NameList>
          <b:Person>
            <b:Last>Chen</b:Last>
            <b:First>N</b:First>
          </b:Person>
          <b:Person>
            <b:Last>Roll</b:Last>
            <b:First>R</b:First>
          </b:Person>
          <b:Person>
            <b:Last>Ross</b:Last>
            <b:First>R</b:First>
          </b:Person>
        </b:NameList>
      </b:Author>
    </b:Author>
    <b:Title>Economic Forces and the Stock Market</b:Title>
    <b:JournalName>Journal of Business</b:JournalName>
    <b:Year>1986</b:Year>
    <b:Pages>383-403</b:Pages>
    <b:Volume>59</b:Volume>
    <b:RefOrder>20</b:RefOrder>
  </b:Source>
  <b:Source>
    <b:Tag>Sto89</b:Tag>
    <b:SourceType>JournalArticle</b:SourceType>
    <b:Guid>{DCAD7461-3CA8-49D4-A30A-2D7E27CF84C8}</b:Guid>
    <b:LCID>0</b:LCID>
    <b:Author>
      <b:Author>
        <b:NameList>
          <b:Person>
            <b:Last>Stock</b:Last>
            <b:First>James</b:First>
            <b:Middle>H</b:Middle>
          </b:Person>
          <b:Person>
            <b:Last>Watson</b:Last>
            <b:First>Mark</b:First>
            <b:Middle>W</b:Middle>
          </b:Person>
        </b:NameList>
      </b:Author>
    </b:Author>
    <b:Title>New Indexes of Coincident and Leading Economic Indicators</b:Title>
    <b:JournalName>NBER Macroeconomics Annual</b:JournalName>
    <b:Year>1989</b:Year>
    <b:Pages>351-394</b:Pages>
    <b:Volume>4</b:Volume>
    <b:RefOrder>21</b:RefOrder>
  </b:Source>
  <b:Source>
    <b:Tag>Plo94</b:Tag>
    <b:SourceType>JournalArticle</b:SourceType>
    <b:Guid>{DD2941F8-6B65-48AC-8D10-CE604A3DF559}</b:Guid>
    <b:LCID>0</b:LCID>
    <b:Author>
      <b:Author>
        <b:NameList>
          <b:Person>
            <b:Last>Plosser</b:Last>
            <b:First>Charles</b:First>
            <b:Middle>I</b:Middle>
          </b:Person>
          <b:Person>
            <b:Last>Rouwenhorst</b:Last>
            <b:First>Geert</b:First>
            <b:Middle>K</b:Middle>
          </b:Person>
        </b:NameList>
      </b:Author>
    </b:Author>
    <b:Title>International Term Structures and Real Economic Growth</b:Title>
    <b:JournalName>Journal of Monetary Economics</b:JournalName>
    <b:Year>1994</b:Year>
    <b:Pages>133-156</b:Pages>
    <b:Volume>33</b:Volume>
    <b:RefOrder>22</b:RefOrder>
  </b:Source>
  <b:Source>
    <b:Tag>Mau03</b:Tag>
    <b:SourceType>JournalArticle</b:SourceType>
    <b:Guid>{078850D7-85B6-4E1A-8E5F-104C939A8FF3}</b:Guid>
    <b:LCID>0</b:LCID>
    <b:Author>
      <b:Author>
        <b:NameList>
          <b:Person>
            <b:Last>Mauro</b:Last>
            <b:First>Paolo</b:First>
          </b:Person>
        </b:NameList>
      </b:Author>
    </b:Author>
    <b:Title>Stock Returns and Output Growth in Emerging and Advanced Economies</b:Title>
    <b:JournalName>Journal of Development Economics</b:JournalName>
    <b:Year>2003</b:Year>
    <b:Pages>129-153</b:Pages>
    <b:Volume>71</b:Volume>
    <b:RefOrder>23</b:RefOrder>
  </b:Source>
  <b:Source>
    <b:Tag>Bla93</b:Tag>
    <b:SourceType>JournalArticle</b:SourceType>
    <b:Guid>{DF69EC22-BF32-4F0D-9483-4C8D26C0D822}</b:Guid>
    <b:LCID>0</b:LCID>
    <b:Author>
      <b:Author>
        <b:NameList>
          <b:Person>
            <b:Last>Blanchard</b:Last>
            <b:First>O</b:First>
          </b:Person>
          <b:Person>
            <b:Last>Rhee</b:Last>
            <b:First>C</b:First>
          </b:Person>
          <b:Person>
            <b:Last>Summers</b:Last>
            <b:First>L</b:First>
          </b:Person>
        </b:NameList>
      </b:Author>
    </b:Author>
    <b:Title>The Stock Market, Profit and Investment</b:Title>
    <b:JournalName>Quarterly Journal of Economics</b:JournalName>
    <b:Year>1993</b:Year>
    <b:Pages>116-136</b:Pages>
    <b:Volume>108</b:Volume>
    <b:Issue>1</b:Issue>
    <b:RefOrder>24</b:RefOrder>
  </b:Source>
  <b:Source>
    <b:Tag>Kwo99</b:Tag>
    <b:SourceType>JournalArticle</b:SourceType>
    <b:Guid>{FB2EEFCD-33BC-481A-80DA-D315267DFDFA}</b:Guid>
    <b:LCID>0</b:LCID>
    <b:Author>
      <b:Author>
        <b:NameList>
          <b:Person>
            <b:Last>Kwon</b:Last>
            <b:First>C</b:First>
            <b:Middle>S</b:Middle>
          </b:Person>
          <b:Person>
            <b:Last>Shin</b:Last>
            <b:First>S</b:First>
            <b:Middle>T</b:Middle>
          </b:Person>
        </b:NameList>
      </b:Author>
    </b:Author>
    <b:Title>Co-Integration and Causality between Macroeconomic Variables and Stock Market Returns</b:Title>
    <b:JournalName>Global Finance Journal</b:JournalName>
    <b:Year>1999</b:Year>
    <b:Pages>71-81</b:Pages>
    <b:Volume>10</b:Volume>
    <b:RefOrder>25</b:RefOrder>
  </b:Source>
  <b:Source>
    <b:Tag>Mul89</b:Tag>
    <b:SourceType>JournalArticle</b:SourceType>
    <b:Guid>{7CADAD9A-05D7-44E8-9677-4BFCCF65418C}</b:Guid>
    <b:LCID>0</b:LCID>
    <b:Author>
      <b:Author>
        <b:NameList>
          <b:Person>
            <b:Last>Mullins</b:Last>
            <b:First>M</b:First>
          </b:Person>
          <b:Person>
            <b:Last>Wadhwani</b:Last>
            <b:First>S</b:First>
            <b:Middle>B</b:Middle>
          </b:Person>
        </b:NameList>
      </b:Author>
    </b:Author>
    <b:Title>The Effect of the Stock Market on Invesment: A Comparative Study</b:Title>
    <b:JournalName>European Economic Review</b:JournalName>
    <b:Year>1989</b:Year>
    <b:Pages>939-961</b:Pages>
    <b:Volume>33</b:Volume>
    <b:RefOrder>26</b:RefOrder>
  </b:Source>
  <b:Source>
    <b:Tag>Wah86</b:Tag>
    <b:SourceType>JournalArticle</b:SourceType>
    <b:Guid>{13F8DDDB-B1A8-4B9A-ACFA-2FE4510E2511}</b:Guid>
    <b:LCID>0</b:LCID>
    <b:Author>
      <b:Author>
        <b:NameList>
          <b:Person>
            <b:Last>Wahlroos</b:Last>
            <b:First>B</b:First>
          </b:Person>
          <b:Person>
            <b:Last>Berglund</b:Last>
            <b:First>T</b:First>
          </b:Person>
        </b:NameList>
      </b:Author>
    </b:Author>
    <b:Title>Stock Returns, Inflationary Expectations and Real Activity</b:Title>
    <b:JournalName>Journal of Banking and Finance</b:JournalName>
    <b:Year>1986</b:Year>
    <b:Pages>377-389</b:Pages>
    <b:Volume>10</b:Volume>
    <b:RefOrder>27</b:RefOrder>
  </b:Source>
  <b:Source>
    <b:Tag>Was89</b:Tag>
    <b:SourceType>JournalArticle</b:SourceType>
    <b:Guid>{83C57B1D-8015-4132-8A10-9D118CFAB90E}</b:Guid>
    <b:LCID>0</b:LCID>
    <b:Author>
      <b:Author>
        <b:NameList>
          <b:Person>
            <b:Last>Wasserfallen</b:Last>
            <b:First>W</b:First>
          </b:Person>
        </b:NameList>
      </b:Author>
    </b:Author>
    <b:Title>Macroeconomic News and the Stock Market</b:Title>
    <b:JournalName>Journal of Banking and Finance</b:JournalName>
    <b:Year>1989</b:Year>
    <b:Pages>613-626</b:Pages>
    <b:Volume>13</b:Volume>
    <b:RefOrder>28</b:RefOrder>
  </b:Source>
  <b:Source>
    <b:Tag>Fis84</b:Tag>
    <b:SourceType>JournalArticle</b:SourceType>
    <b:Guid>{4F1A6298-8EC9-468A-8DF0-1D776FB82197}</b:Guid>
    <b:LCID>0</b:LCID>
    <b:Author>
      <b:Author>
        <b:NameList>
          <b:Person>
            <b:Last>Fischer</b:Last>
            <b:First>Stanley</b:First>
          </b:Person>
          <b:Person>
            <b:Last>Merton</b:Last>
            <b:First>Robert</b:First>
            <b:Middle>C</b:Middle>
          </b:Person>
        </b:NameList>
      </b:Author>
    </b:Author>
    <b:Title>Macroeconomics and Finance: The Role of the Stock Market</b:Title>
    <b:JournalName>NBER Working Paper No1291</b:JournalName>
    <b:Year>1984</b:Year>
    <b:Pages>1-63</b:Pages>
    <b:RefOrder>29</b:RefOrder>
  </b:Source>
  <b:Source>
    <b:Tag>Sey86</b:Tag>
    <b:SourceType>JournalArticle</b:SourceType>
    <b:Guid>{01E6385B-6E2D-4945-91CC-C54CE74D822A}</b:Guid>
    <b:LCID>0</b:LCID>
    <b:Author>
      <b:Author>
        <b:NameList>
          <b:Person>
            <b:Last>Seyhun</b:Last>
            <b:First>Nejat</b:First>
          </b:Person>
        </b:NameList>
      </b:Author>
    </b:Author>
    <b:Title>Insider Profits, Costs of Trading and Market Efficiency</b:Title>
    <b:JournalName>The Journal of Financial Economics</b:JournalName>
    <b:Year>1986</b:Year>
    <b:Pages>189-212</b:Pages>
    <b:Volume>16</b:Volume>
    <b:RefOrder>30</b:RefOrder>
  </b:Source>
  <b:Source>
    <b:Tag>Sch83</b:Tag>
    <b:SourceType>JournalArticle</b:SourceType>
    <b:Guid>{51964DB1-29FB-4D23-8764-5D46E976B462}</b:Guid>
    <b:LCID>0</b:LCID>
    <b:Author>
      <b:Author>
        <b:NameList>
          <b:Person>
            <b:Last>Schwert</b:Last>
            <b:First>Grant</b:First>
          </b:Person>
        </b:NameList>
      </b:Author>
    </b:Author>
    <b:Title>Size and Stock Returns, and Other Empirical Regularities</b:Title>
    <b:JournalName>Journal of Financial Economics</b:JournalName>
    <b:Year>1983</b:Year>
    <b:Pages>3-12</b:Pages>
    <b:Issue>12</b:Issue>
    <b:RefOrder>31</b:RefOrder>
  </b:Source>
  <b:Source>
    <b:Tag>Mal03</b:Tag>
    <b:SourceType>JournalArticle</b:SourceType>
    <b:Guid>{9D4F4950-AC0F-4CE8-9002-26071A836865}</b:Guid>
    <b:LCID>0</b:LCID>
    <b:Author>
      <b:Author>
        <b:NameList>
          <b:Person>
            <b:Last>Malkiel</b:Last>
            <b:First>Brad</b:First>
          </b:Person>
        </b:NameList>
      </b:Author>
    </b:Author>
    <b:Title>Passive Investment Strategies and Efficient Markets</b:Title>
    <b:JournalName>European Financial Management</b:JournalName>
    <b:Year>2003</b:Year>
    <b:Pages>1-10</b:Pages>
    <b:Volume>9</b:Volume>
    <b:Issue>1</b:Issue>
    <b:RefOrder>32</b:RefOrder>
  </b:Source>
  <b:Source>
    <b:Tag>Mab04</b:Tag>
    <b:SourceType>JournalArticle</b:SourceType>
    <b:Guid>{79A12C9B-0776-4238-92B2-75FF88F2D5C2}</b:Guid>
    <b:LCID>0</b:LCID>
    <b:Author>
      <b:Author>
        <b:NameList>
          <b:Person>
            <b:Last>Mabhunu</b:Last>
            <b:First>Mind</b:First>
          </b:Person>
        </b:NameList>
      </b:Author>
    </b:Author>
    <b:Title>The Market Efficiency Hypothesis and the Behaviour of Stock Returns on the JSE Securities Exchange</b:Title>
    <b:JournalName>Rhodes University Working Paper</b:JournalName>
    <b:Year>2004</b:Year>
    <b:Pages>1-109</b:Pages>
    <b:Month>January</b:Month>
    <b:RefOrder>33</b:RefOrder>
  </b:Source>
  <b:Source>
    <b:Tag>Jen70</b:Tag>
    <b:SourceType>JournalArticle</b:SourceType>
    <b:Guid>{4414246E-B99E-4664-BE55-372B221D5D5E}</b:Guid>
    <b:LCID>0</b:LCID>
    <b:Author>
      <b:Author>
        <b:NameList>
          <b:Person>
            <b:Last>Jensen</b:Last>
            <b:First>Michael</b:First>
          </b:Person>
          <b:Person>
            <b:Last>Benington</b:Last>
            <b:First>George</b:First>
          </b:Person>
        </b:NameList>
      </b:Author>
    </b:Author>
    <b:Title>Random Walks and Technical Theories: Some Additional Evidence</b:Title>
    <b:JournalName>Journal of Finance</b:JournalName>
    <b:Year>1970</b:Year>
    <b:Pages>469-482</b:Pages>
    <b:Volume>25</b:Volume>
    <b:Issue>2</b:Issue>
    <b:RefOrder>34</b:RefOrder>
  </b:Source>
  <b:Source>
    <b:Tag>Fam91</b:Tag>
    <b:SourceType>JournalArticle</b:SourceType>
    <b:Guid>{C5B52B72-04C8-4B61-BDE9-FB0932731CDD}</b:Guid>
    <b:LCID>0</b:LCID>
    <b:Author>
      <b:Author>
        <b:NameList>
          <b:Person>
            <b:Last>Fama</b:Last>
            <b:First>Eugene</b:First>
          </b:Person>
        </b:NameList>
      </b:Author>
    </b:Author>
    <b:Title>Efficient Capital Markets: II</b:Title>
    <b:JournalName>Journal of Finance</b:JournalName>
    <b:Year>1991</b:Year>
    <b:Pages>1575-1617</b:Pages>
    <b:Volume>46</b:Volume>
    <b:Issue>5</b:Issue>
    <b:RefOrder>35</b:RefOrder>
  </b:Source>
  <b:Source>
    <b:Tag>Fam70</b:Tag>
    <b:SourceType>JournalArticle</b:SourceType>
    <b:Guid>{F2685E8A-A7C2-46BE-B37E-FE9C92A0AAD3}</b:Guid>
    <b:LCID>0</b:LCID>
    <b:Author>
      <b:Author>
        <b:NameList>
          <b:Person>
            <b:Last>Fama</b:Last>
            <b:First>Eugene</b:First>
          </b:Person>
        </b:NameList>
      </b:Author>
    </b:Author>
    <b:Title>Efficient Capital Markets: A Reveiw of Theory and Empirical Work</b:Title>
    <b:JournalName>Journal of Finance</b:JournalName>
    <b:Year>1970</b:Year>
    <b:Pages>383-417</b:Pages>
    <b:RefOrder>36</b:RefOrder>
  </b:Source>
  <b:Source>
    <b:Tag>Bas83</b:Tag>
    <b:SourceType>JournalArticle</b:SourceType>
    <b:Guid>{BBA8772E-AFEA-4F88-9520-612430D03DBF}</b:Guid>
    <b:LCID>0</b:LCID>
    <b:Author>
      <b:Author>
        <b:NameList>
          <b:Person>
            <b:Last>Basu</b:Last>
            <b:First>Sanjoy</b:First>
          </b:Person>
        </b:NameList>
      </b:Author>
    </b:Author>
    <b:Title>The Relationship between Earnings Yield, Market Value, and Return for NYSE Common Stocks: Further Evidence</b:Title>
    <b:JournalName>Journal of Financial Economics</b:JournalName>
    <b:Year>1983</b:Year>
    <b:Pages>129-156</b:Pages>
    <b:Issue>12</b:Issue>
    <b:RefOrder>37</b:RefOrder>
  </b:Source>
  <b:Source>
    <b:Tag>Rob90</b:Tag>
    <b:SourceType>JournalArticle</b:SourceType>
    <b:Guid>{49545699-1D24-45EA-A4C0-B2D6DEE04D9A}</b:Guid>
    <b:LCID>0</b:LCID>
    <b:Author>
      <b:Author>
        <b:NameList>
          <b:Person>
            <b:Last>Robins</b:Last>
            <b:First>EM</b:First>
          </b:Person>
          <b:Person>
            <b:Last>Sandler</b:Last>
            <b:First>M</b:First>
          </b:Person>
          <b:Person>
            <b:Last>Durand</b:Last>
            <b:First>F</b:First>
          </b:Person>
        </b:NameList>
      </b:Author>
    </b:Author>
    <b:Title>Inter-Relationship between the January Effect, Market Capitalisation and Value Investment Strategies on the JSE</b:Title>
    <b:JournalName>Investment Analysts Journal</b:JournalName>
    <b:Year>1999</b:Year>
    <b:Volume>IV</b:Volume>
    <b:Issue>4</b:Issue>
    <b:RefOrder>38</b:RefOrder>
  </b:Source>
  <b:Source>
    <b:Tag>Chr00</b:Tag>
    <b:SourceType>JournalArticle</b:SourceType>
    <b:Guid>{2EBAC936-38F0-41D4-A2D4-276505E96A2D}</b:Guid>
    <b:LCID>0</b:LCID>
    <b:Author>
      <b:Author>
        <b:NameList>
          <b:Person>
            <b:Last>Christofferson</b:Last>
            <b:First>Peter</b:First>
          </b:Person>
          <b:Person>
            <b:Last>Slok</b:Last>
            <b:First>Torsten</b:First>
          </b:Person>
        </b:NameList>
      </b:Author>
    </b:Author>
    <b:Title>Do Asset Prices in Transition Countries Contain Information about Future Economic Activity?</b:Title>
    <b:JournalName>IMF Working Paper</b:JournalName>
    <b:Year>2000</b:Year>
    <b:Pages>1-25</b:Pages>
    <b:RefOrder>39</b:RefOrder>
  </b:Source>
  <b:Source>
    <b:Tag>Est98</b:Tag>
    <b:SourceType>JournalArticle</b:SourceType>
    <b:Guid>{C3556CB0-0A7C-4A58-9ECD-933650986513}</b:Guid>
    <b:LCID>0</b:LCID>
    <b:Author>
      <b:Author>
        <b:NameList>
          <b:Person>
            <b:Last>Estrella</b:Last>
            <b:First>Arturo</b:First>
          </b:Person>
          <b:Person>
            <b:Last>Mishkin</b:Last>
            <b:First>Federic</b:First>
            <b:Middle>S</b:Middle>
          </b:Person>
        </b:NameList>
      </b:Author>
    </b:Author>
    <b:Title>Predicting U.S. Recessions: Financial Variables as Leading Indicators</b:Title>
    <b:JournalName>The Review of Economics and Statistics</b:JournalName>
    <b:Year>1998</b:Year>
    <b:Pages>45-61</b:Pages>
    <b:Volume>80</b:Volume>
    <b:Issue>1</b:Issue>
    <b:RefOrder>40</b:RefOrder>
  </b:Source>
  <b:Source>
    <b:Tag>Guo02</b:Tag>
    <b:SourceType>JournalArticle</b:SourceType>
    <b:Guid>{C4A0827E-3BD4-4914-9799-647D58F42BFF}</b:Guid>
    <b:LCID>0</b:LCID>
    <b:Author>
      <b:Author>
        <b:NameList>
          <b:Person>
            <b:Last>Guo</b:Last>
            <b:First>Hui</b:First>
          </b:Person>
        </b:NameList>
      </b:Author>
    </b:Author>
    <b:Title>Why are Stock Market Returns Correlated with Future Economic Activities?</b:Title>
    <b:JournalName>The Federal Reserve Bank of St. Louis Review</b:JournalName>
    <b:Year>2002</b:Year>
    <b:Pages>19-33</b:Pages>
    <b:Month>March/April</b:Month>
    <b:Volume>84</b:Volume>
    <b:Issue>5</b:Issue>
    <b:RefOrder>41</b:RefOrder>
  </b:Source>
  <b:Source>
    <b:Tag>Ibr10</b:Tag>
    <b:SourceType>JournalArticle</b:SourceType>
    <b:Guid>{83239E98-8C2F-4DE1-BF00-53EE2E013E05}</b:Guid>
    <b:LCID>0</b:LCID>
    <b:Author>
      <b:Author>
        <b:NameList>
          <b:Person>
            <b:Last>Ibrahim</b:Last>
            <b:First>Mansor</b:First>
            <b:Middle>H</b:Middle>
          </b:Person>
        </b:NameList>
      </b:Author>
    </b:Author>
    <b:Title>An Empirical Analysis of Real Activity and Stock Returns in an Emerging Market</b:Title>
    <b:JournalName>Economic Analysis and Policy</b:JournalName>
    <b:Year>2010</b:Year>
    <b:Pages>263-271</b:Pages>
    <b:Volume>40</b:Volume>
    <b:Issue>2</b:Issue>
    <b:RefOrder>42</b:RefOrder>
  </b:Source>
  <b:Source>
    <b:Tag>Cha04</b:Tag>
    <b:SourceType>JournalArticle</b:SourceType>
    <b:Guid>{B4936CC3-0993-43A4-ACD5-70EE8007E90E}</b:Guid>
    <b:LCID>0</b:LCID>
    <b:Author>
      <b:Author>
        <b:NameList>
          <b:Person>
            <b:Last>Chaudhuri</b:Last>
            <b:First>K</b:First>
          </b:Person>
          <b:Person>
            <b:Last>Smiles</b:Last>
            <b:First>S</b:First>
          </b:Person>
        </b:NameList>
      </b:Author>
    </b:Author>
    <b:Title>Stock Market and Aggregate Economic Activity: Evidence from Australia</b:Title>
    <b:JournalName>Applied Financial Economics</b:JournalName>
    <b:Year>2004</b:Year>
    <b:Pages>121-129</b:Pages>
    <b:Volume>14</b:Volume>
    <b:RefOrder>43</b:RefOrder>
  </b:Source>
  <b:Source>
    <b:Tag>Fou02</b:Tag>
    <b:SourceType>JournalArticle</b:SourceType>
    <b:Guid>{C06A9701-13A9-4882-947D-E657019511B9}</b:Guid>
    <b:LCID>0</b:LCID>
    <b:Author>
      <b:Author>
        <b:NameList>
          <b:Person>
            <b:Last>Fountas</b:Last>
            <b:First>Stilianos</b:First>
          </b:Person>
          <b:Person>
            <b:Last>Segredakis</b:Last>
            <b:First>K</b:First>
          </b:Person>
        </b:NameList>
      </b:Author>
    </b:Author>
    <b:Title>Emerging Stock Markets Return Seasonalities: The January Effect and the Tax Loss Selling Hypothesis</b:Title>
    <b:JournalName>Applied Financial Economics</b:JournalName>
    <b:Year>2002</b:Year>
    <b:Pages>291-299</b:Pages>
    <b:Issue>12</b:Issue>
    <b:RefOrder>44</b:RefOrder>
  </b:Source>
  <b:Source>
    <b:Tag>Cor10</b:Tag>
    <b:SourceType>Report</b:SourceType>
    <b:Guid>{B8B7B264-E260-4FE3-9F3B-CA4B99B584EF}</b:Guid>
    <b:LCID>0</b:LCID>
    <b:Author>
      <b:Author>
        <b:NameList>
          <b:Person>
            <b:Last>Corporation</b:Last>
            <b:First>Industrial</b:First>
            <b:Middle>Development</b:Middle>
          </b:Person>
        </b:NameList>
      </b:Author>
    </b:Author>
    <b:Title>Sectoral Trends: Performanceof the Primary and Secondary Sectors of the South African Economy</b:Title>
    <b:Year>4th Quarter 2010</b:Year>
    <b:Publisher>Department of Research and Information</b:Publisher>
    <b:City>Johannesburg</b:City>
    <b:RefOrder>45</b:RefOrder>
  </b:Source>
  <b:Source>
    <b:Tag>Ken53</b:Tag>
    <b:SourceType>JournalArticle</b:SourceType>
    <b:Guid>{2CF5C543-BA25-4A55-8C40-F5D5F9F10E87}</b:Guid>
    <b:LCID>0</b:LCID>
    <b:Author>
      <b:Author>
        <b:NameList>
          <b:Person>
            <b:Last>Kendall</b:Last>
            <b:First>Maurice</b:First>
            <b:Middle>G</b:Middle>
          </b:Person>
        </b:NameList>
      </b:Author>
    </b:Author>
    <b:Title>The Analysis of Economic Time Series</b:Title>
    <b:JournalName>Journal of the Royal Statistical Society (Series A)</b:JournalName>
    <b:Year>1953</b:Year>
    <b:Pages>11-25</b:Pages>
    <b:Volume>116</b:Volume>
    <b:Issue>1</b:Issue>
    <b:RefOrder>46</b:RefOrder>
  </b:Source>
  <b:Source>
    <b:Tag>Sch69</b:Tag>
    <b:SourceType>JournalArticle</b:SourceType>
    <b:Guid>{1858F48C-DFCE-4336-95C2-D9317B97FB5D}</b:Guid>
    <b:LCID>0</b:LCID>
    <b:Author>
      <b:Author>
        <b:NameList>
          <b:Person>
            <b:Last>Scholes</b:Last>
            <b:First>Myron</b:First>
          </b:Person>
        </b:NameList>
      </b:Author>
    </b:Author>
    <b:Title>A Test of the Competitive Market Hypothesis</b:Title>
    <b:JournalName>Journal of Business</b:JournalName>
    <b:Year>1969</b:Year>
    <b:Pages>167-247</b:Pages>
    <b:Volume>9</b:Volume>
    <b:RefOrder>47</b:RefOrder>
  </b:Source>
  <b:Source>
    <b:Tag>Nie66</b:Tag>
    <b:SourceType>JournalArticle</b:SourceType>
    <b:Guid>{E32BA876-3791-48D3-B86C-8D1B9235F9C8}</b:Guid>
    <b:LCID>0</b:LCID>
    <b:Author>
      <b:Author>
        <b:NameList>
          <b:Person>
            <b:Last>Niederhoffer</b:Last>
            <b:First>Victor</b:First>
          </b:Person>
          <b:Person>
            <b:Last>Osborne</b:Last>
            <b:First>M</b:First>
            <b:Middle>F M</b:Middle>
          </b:Person>
        </b:NameList>
      </b:Author>
    </b:Author>
    <b:Title>Market Making and the Reversal on the Stock Echange</b:Title>
    <b:JournalName>Journal of the American Statistical Association</b:JournalName>
    <b:Year>1966</b:Year>
    <b:Pages>897-916</b:Pages>
    <b:Volume>61</b:Volume>
    <b:RefOrder>48</b:RefOrder>
  </b:Source>
  <b:Source>
    <b:Tag>Bal68</b:Tag>
    <b:SourceType>JournalArticle</b:SourceType>
    <b:Guid>{7170DB48-7AC5-472B-B104-EB9D44B98CE7}</b:Guid>
    <b:LCID>0</b:LCID>
    <b:Author>
      <b:Author>
        <b:NameList>
          <b:Person>
            <b:Last>Ball</b:Last>
            <b:First>Ray</b:First>
          </b:Person>
          <b:Person>
            <b:Last>Brown</b:Last>
            <b:First>Phllip</b:First>
          </b:Person>
        </b:NameList>
      </b:Author>
    </b:Author>
    <b:Title>An Empirical Evaluation of Accounting Income Numbers</b:Title>
    <b:JournalName>Journal of Accounting Research</b:JournalName>
    <b:Year>1968</b:Year>
    <b:Pages>159-178</b:Pages>
    <b:Volume>6</b:Volume>
    <b:RefOrder>49</b:RefOrder>
  </b:Source>
  <b:Source>
    <b:Tag>Shi03</b:Tag>
    <b:SourceType>JournalArticle</b:SourceType>
    <b:Guid>{D2679366-F4DD-43B8-97F5-822FA53DF473}</b:Guid>
    <b:LCID>0</b:LCID>
    <b:Author>
      <b:Author>
        <b:NameList>
          <b:Person>
            <b:Last>Shiller</b:Last>
            <b:First>Robert</b:First>
            <b:Middle>J</b:Middle>
          </b:Person>
        </b:NameList>
      </b:Author>
    </b:Author>
    <b:Title>From Efficient Markets Theory to Behavioural Finance</b:Title>
    <b:JournalName>The Journal of Economic Perspectives</b:JournalName>
    <b:Year>2003</b:Year>
    <b:Pages>83-104</b:Pages>
    <b:Volume>17</b:Volume>
    <b:Issue>1</b:Issue>
    <b:RefOrder>50</b:RefOrder>
  </b:Source>
  <b:Source>
    <b:Tag>Van67</b:Tag>
    <b:SourceType>JournalArticle</b:SourceType>
    <b:Guid>{D3D30778-B7A2-48EA-B601-8A2283C5491A}</b:Guid>
    <b:LCID>0</b:LCID>
    <b:Author>
      <b:Author>
        <b:NameList>
          <b:Person>
            <b:Last>Van Horne</b:Last>
            <b:First>James</b:First>
            <b:Middle>C</b:Middle>
          </b:Person>
          <b:Person>
            <b:Last>Parker</b:Last>
            <b:First>George</b:First>
            <b:Middle>G C</b:Middle>
          </b:Person>
        </b:NameList>
      </b:Author>
    </b:Author>
    <b:Title>The Random Walk Theory: An Empirical Test</b:Title>
    <b:JournalName>Financial Analysts Journal</b:JournalName>
    <b:Year>1967</b:Year>
    <b:Pages>87-92</b:Pages>
    <b:Volume>23</b:Volume>
    <b:Issue>6</b:Issue>
    <b:RefOrder>51</b:RefOrder>
  </b:Source>
  <b:Source>
    <b:Tag>Fam65</b:Tag>
    <b:SourceType>JournalArticle</b:SourceType>
    <b:Guid>{CA84AB31-2914-4B80-9440-E15D91388384}</b:Guid>
    <b:LCID>0</b:LCID>
    <b:Author>
      <b:Author>
        <b:NameList>
          <b:Person>
            <b:Last>Fama</b:Last>
            <b:First>Eugene</b:First>
          </b:Person>
        </b:NameList>
      </b:Author>
    </b:Author>
    <b:Title>The Behaviour of Stock Market Prices</b:Title>
    <b:JournalName>Journal of Business</b:JournalName>
    <b:Year>1965</b:Year>
    <b:Pages>34-105</b:Pages>
    <b:Volume>38</b:Volume>
    <b:RefOrder>52</b:RefOrder>
  </b:Source>
  <b:Source>
    <b:Tag>LeR811</b:Tag>
    <b:SourceType>JournalArticle</b:SourceType>
    <b:Guid>{60E19E7B-3DF8-43A9-81F9-55FC051D3BF4}</b:Guid>
    <b:LCID>0</b:LCID>
    <b:Author>
      <b:Author>
        <b:NameList>
          <b:Person>
            <b:Last>LeRoy</b:Last>
            <b:First>Stephen</b:First>
            <b:Middle>F</b:Middle>
          </b:Person>
          <b:Person>
            <b:Last>Porter</b:Last>
            <b:First>Richard</b:First>
            <b:Middle>D</b:Middle>
          </b:Person>
        </b:NameList>
      </b:Author>
    </b:Author>
    <b:Title>The Present Value Relation: Tests Based on Variance Bonds</b:Title>
    <b:JournalName>Econometrica</b:JournalName>
    <b:Year>1981</b:Year>
    <b:Pages>555-574</b:Pages>
    <b:Volume>49</b:Volume>
    <b:Issue>3</b:Issue>
    <b:RefOrder>53</b:RefOrder>
  </b:Source>
  <b:Source>
    <b:Tag>Kle86</b:Tag>
    <b:SourceType>JournalArticle</b:SourceType>
    <b:Guid>{D6810643-7505-4EE8-AE61-3C049C7FE791}</b:Guid>
    <b:LCID>0</b:LCID>
    <b:Author>
      <b:Author>
        <b:NameList>
          <b:Person>
            <b:Last>Kleidon</b:Last>
            <b:First>Allan</b:First>
            <b:Middle>W</b:Middle>
          </b:Person>
        </b:NameList>
      </b:Author>
    </b:Author>
    <b:Title>Variance Bound Tests and Stock Price Valuation Models</b:Title>
    <b:JournalName>The Journal of Political Economy</b:JournalName>
    <b:Year>1986</b:Year>
    <b:Pages>953-1001</b:Pages>
    <b:Volume>94</b:Volume>
    <b:Issue>5</b:Issue>
    <b:RefOrder>54</b:RefOrder>
  </b:Source>
  <b:Source>
    <b:Tag>Ste09</b:Tag>
    <b:SourceType>JournalArticle</b:SourceType>
    <b:Guid>{96622986-FFE1-46C3-9AC0-EAD3805D5627}</b:Guid>
    <b:LCID>0</b:LCID>
    <b:Author>
      <b:Author>
        <b:NameList>
          <b:Person>
            <b:Last>Stein</b:Last>
            <b:First>Jeremy</b:First>
            <b:Middle>C</b:Middle>
          </b:Person>
        </b:NameList>
      </b:Author>
    </b:Author>
    <b:Title>Sophisticated Investors and Market Efficiency</b:Title>
    <b:JournalName>Harvard University and NBER Working Paper</b:JournalName>
    <b:Year>2009</b:Year>
    <b:Pages>1-51</b:Pages>
    <b:Month>January</b:Month>
    <b:RefOrder>55</b:RefOrder>
  </b:Source>
  <b:Source>
    <b:Tag>Fre86</b:Tag>
    <b:SourceType>JournalArticle</b:SourceType>
    <b:Guid>{5A7CE90A-EFE1-4325-8352-4B4FDD75AB9E}</b:Guid>
    <b:LCID>0</b:LCID>
    <b:Author>
      <b:Author>
        <b:NameList>
          <b:Person>
            <b:Last>French</b:Last>
            <b:First>Kenneth</b:First>
            <b:Middle>R</b:Middle>
          </b:Person>
          <b:Person>
            <b:Last>Roll</b:Last>
            <b:First>Richard</b:First>
          </b:Person>
        </b:NameList>
      </b:Author>
    </b:Author>
    <b:Title>Stock Returns Variances: The Arrival of new Information and the Reaction of Traders</b:Title>
    <b:JournalName>Journal of Financial Economics</b:JournalName>
    <b:Year>1986</b:Year>
    <b:Pages>5-26</b:Pages>
    <b:Volume>17</b:Volume>
    <b:RefOrder>56</b:RefOrder>
  </b:Source>
  <b:Source>
    <b:Tag>Ban81</b:Tag>
    <b:SourceType>JournalArticle</b:SourceType>
    <b:Guid>{026D81D7-77C5-4EE9-9464-64419FA8DA04}</b:Guid>
    <b:LCID>0</b:LCID>
    <b:Author>
      <b:Author>
        <b:NameList>
          <b:Person>
            <b:Last>Banz</b:Last>
            <b:First>Rolf</b:First>
          </b:Person>
        </b:NameList>
      </b:Author>
    </b:Author>
    <b:Title>The Relationship between Return and Market Value of Common Stocks</b:Title>
    <b:JournalName>Journal of Financial Economics</b:JournalName>
    <b:Year>1981</b:Year>
    <b:Pages>3-18</b:Pages>
    <b:Issue>9</b:Issue>
    <b:RefOrder>57</b:RefOrder>
  </b:Source>
  <b:Source>
    <b:Tag>Fam89</b:Tag>
    <b:SourceType>JournalArticle</b:SourceType>
    <b:Guid>{20E1A992-E3DA-413C-9145-F601E08E86E6}</b:Guid>
    <b:LCID>0</b:LCID>
    <b:Author>
      <b:Author>
        <b:NameList>
          <b:Person>
            <b:Last>Fama</b:Last>
            <b:First>Eugene</b:First>
          </b:Person>
          <b:Person>
            <b:Last>French</b:Last>
            <b:First>Kenneth</b:First>
          </b:Person>
        </b:NameList>
      </b:Author>
    </b:Author>
    <b:Title>Business Conditions and Expected Returns on Stocks and Bonds</b:Title>
    <b:JournalName>Journal of Financial Economics</b:JournalName>
    <b:Year>1989</b:Year>
    <b:Pages>23-49</b:Pages>
    <b:Volume>25</b:Volume>
    <b:RefOrder>58</b:RefOrder>
  </b:Source>
  <b:Source>
    <b:Tag>Rei83</b:Tag>
    <b:SourceType>JournalArticle</b:SourceType>
    <b:Guid>{58C6AFB6-16F8-4BEA-83A8-1EC7FCD748EE}</b:Guid>
    <b:LCID>0</b:LCID>
    <b:Author>
      <b:Author>
        <b:NameList>
          <b:Person>
            <b:Last>Reinganum</b:Last>
            <b:First>Marc</b:First>
          </b:Person>
        </b:NameList>
      </b:Author>
    </b:Author>
    <b:Title>The Anomalous Stock Market Behaviour of Small Firms in January</b:Title>
    <b:JournalName>Journal of Financial Economics</b:JournalName>
    <b:Year>1983</b:Year>
    <b:Pages>89-104</b:Pages>
    <b:Issue>12</b:Issue>
    <b:RefOrder>59</b:RefOrder>
  </b:Source>
  <b:Source>
    <b:Tag>Rol83</b:Tag>
    <b:SourceType>JournalArticle</b:SourceType>
    <b:Guid>{1B8B404C-53B6-44A7-B86E-CDBAE8752421}</b:Guid>
    <b:LCID>0</b:LCID>
    <b:Author>
      <b:Author>
        <b:NameList>
          <b:Person>
            <b:Last>Roll</b:Last>
            <b:First>R</b:First>
          </b:Person>
        </b:NameList>
      </b:Author>
    </b:Author>
    <b:Title>Vas Ist Das? The Turn-of-the-Year Effect and the Return Premia of Small Firms</b:Title>
    <b:JournalName>Journal of Portfolio Management</b:JournalName>
    <b:Year>1983</b:Year>
    <b:Pages>18-28</b:Pages>
    <b:Volume>9</b:Volume>
    <b:Issue>2</b:Issue>
    <b:RefOrder>60</b:RefOrder>
  </b:Source>
  <b:Source>
    <b:Tag>Lak88</b:Tag>
    <b:SourceType>JournalArticle</b:SourceType>
    <b:Guid>{A65D6AE1-26F3-455B-840F-26D7F67D7087}</b:Guid>
    <b:LCID>0</b:LCID>
    <b:Author>
      <b:Author>
        <b:NameList>
          <b:Person>
            <b:Last>Lakonishok</b:Last>
            <b:First>Josef</b:First>
          </b:Person>
          <b:Person>
            <b:Last>Smidt</b:Last>
            <b:First>Symour</b:First>
          </b:Person>
        </b:NameList>
      </b:Author>
    </b:Author>
    <b:Title>Are Seasonal Anomalies Real? A Ninety-Year Perspective</b:Title>
    <b:JournalName>The Reveiw of Financial Studies</b:JournalName>
    <b:Year>1988</b:Year>
    <b:Pages>403-425</b:Pages>
    <b:Volume>I</b:Volume>
    <b:Issue>4</b:Issue>
    <b:RefOrder>61</b:RefOrder>
  </b:Source>
  <b:Source>
    <b:Tag>Rit88</b:Tag>
    <b:SourceType>JournalArticle</b:SourceType>
    <b:Guid>{4877C912-7AAC-48C0-B1A5-E0DA6651767C}</b:Guid>
    <b:LCID>0</b:LCID>
    <b:Author>
      <b:Author>
        <b:NameList>
          <b:Person>
            <b:Last>Ritter</b:Last>
            <b:First>Jay</b:First>
          </b:Person>
        </b:NameList>
      </b:Author>
    </b:Author>
    <b:Title>The Buying and Selling Behaviour of Individuals at the Turn-of-the-Year</b:Title>
    <b:JournalName>Journal of Finance</b:JournalName>
    <b:Year>1988</b:Year>
    <b:Pages>701-717</b:Pages>
    <b:Issue>3</b:Issue>
    <b:Volume>43</b:Volume>
    <b:RefOrder>62</b:RefOrder>
  </b:Source>
  <b:Source>
    <b:Tag>Mit38</b:Tag>
    <b:SourceType>JournalArticle</b:SourceType>
    <b:Guid>{B007C34F-D938-476C-91AD-7739237BE28A}</b:Guid>
    <b:LCID>0</b:LCID>
    <b:Author>
      <b:Author>
        <b:NameList>
          <b:Person>
            <b:Last>Mitchell</b:Last>
            <b:First>Wesley</b:First>
            <b:Middle>Clair</b:Middle>
          </b:Person>
          <b:Person>
            <b:Last>Burns</b:Last>
            <b:First>Arthur</b:First>
            <b:Middle>F</b:Middle>
          </b:Person>
        </b:NameList>
      </b:Author>
    </b:Author>
    <b:Title>Statistical Indicators of Cyclical Revivals</b:Title>
    <b:JournalName>NBER Working Paper</b:JournalName>
    <b:Year>1938</b:Year>
    <b:Pages>1-12</b:Pages>
    <b:RefOrder>63</b:RefOrder>
  </b:Source>
  <b:Source>
    <b:Tag>Rol77</b:Tag>
    <b:SourceType>JournalArticle</b:SourceType>
    <b:Guid>{3AA60A7A-ED78-4D52-BAEC-8F8F25B88475}</b:Guid>
    <b:LCID>0</b:LCID>
    <b:Author>
      <b:Author>
        <b:NameList>
          <b:Person>
            <b:Last>Roll</b:Last>
            <b:First>Richard</b:First>
          </b:Person>
        </b:NameList>
      </b:Author>
    </b:Author>
    <b:Title>A Critique of the Asset Pricing Theory's Tests</b:Title>
    <b:JournalName>Journal of FInancial Economics</b:JournalName>
    <b:Year>1977</b:Year>
    <b:Pages>129-176</b:Pages>
    <b:Volume>4</b:Volume>
    <b:RefOrder>64</b:RefOrder>
  </b:Source>
  <b:Source>
    <b:Tag>Let01</b:Tag>
    <b:SourceType>JournalArticle</b:SourceType>
    <b:Guid>{E29A481A-A062-4680-86A3-5969FEEE3A02}</b:Guid>
    <b:LCID>0</b:LCID>
    <b:Author>
      <b:Author>
        <b:NameList>
          <b:Person>
            <b:Last>Lettau</b:Last>
            <b:First>Martin</b:First>
          </b:Person>
          <b:Person>
            <b:Last>Ludvigson</b:Last>
            <b:First>Sydney</b:First>
          </b:Person>
        </b:NameList>
      </b:Author>
    </b:Author>
    <b:Title>Resurrecting the (C)CAPM: A Cross‐Sectional Test When Risk Premia Are Time‐Varying</b:Title>
    <b:JournalName>The Journal of Political Economy</b:JournalName>
    <b:Year>2001</b:Year>
    <b:Pages>1238-1287</b:Pages>
    <b:Volume>109</b:Volume>
    <b:Issue>6</b:Issue>
    <b:RefOrder>65</b:RefOrder>
  </b:Source>
  <b:Source>
    <b:Tag>Ros76</b:Tag>
    <b:SourceType>JournalArticle</b:SourceType>
    <b:Guid>{14675D9B-47EF-4CFD-A9F6-09D5391D3D81}</b:Guid>
    <b:LCID>0</b:LCID>
    <b:Author>
      <b:Author>
        <b:NameList>
          <b:Person>
            <b:Last>Ross</b:Last>
            <b:First>Stephen</b:First>
            <b:Middle>A</b:Middle>
          </b:Person>
        </b:NameList>
      </b:Author>
    </b:Author>
    <b:Title>The Arbitrage Theory of Capital Asset Pricing</b:Title>
    <b:JournalName>Journal of Economic Theory</b:JournalName>
    <b:Year>1976</b:Year>
    <b:Pages>341-360</b:Pages>
    <b:Volume>13</b:Volume>
    <b:RefOrder>66</b:RefOrder>
  </b:Source>
  <b:Source>
    <b:Tag>Bal95</b:Tag>
    <b:SourceType>JournalArticle</b:SourceType>
    <b:Guid>{FB870247-9AFB-48EA-9565-EB298294DF84}</b:Guid>
    <b:LCID>0</b:LCID>
    <b:Author>
      <b:Author>
        <b:NameList>
          <b:Person>
            <b:Last>Ball</b:Last>
            <b:First>Ray</b:First>
          </b:Person>
        </b:NameList>
      </b:Author>
    </b:Author>
    <b:Title>The Theory of Stock Market Efficiency: Accomplishments and Limitations</b:Title>
    <b:JournalName>Journal of Applied Corporate Finance</b:JournalName>
    <b:Year>1995</b:Year>
    <b:Pages>4-18</b:Pages>
    <b:Volume>8</b:Volume>
    <b:Issue>1</b:Issue>
    <b:RefOrder>67</b:RefOrder>
  </b:Source>
  <b:Source>
    <b:Tag>Neu97</b:Tag>
    <b:SourceType>JournalArticle</b:SourceType>
    <b:Guid>{3FAF54EF-E4AC-4129-99F2-56516E1A7F28}</b:Guid>
    <b:LCID>0</b:LCID>
    <b:Author>
      <b:Author>
        <b:NameList>
          <b:Person>
            <b:Last>Neu-Ner</b:Last>
            <b:First>M</b:First>
            <b:Middle>A</b:Middle>
          </b:Person>
          <b:Person>
            <b:Last>Firer</b:Last>
            <b:First>C</b:First>
          </b:Person>
        </b:NameList>
      </b:Author>
    </b:Author>
    <b:Title>The Benefits of Diversification on the JSE</b:Title>
    <b:JournalName>Investment Analysts Journal</b:JournalName>
    <b:Year>1997</b:Year>
    <b:Pages>45-59</b:Pages>
    <b:Issue>46</b:Issue>
    <b:RefOrder>68</b:RefOrder>
  </b:Source>
  <b:Source>
    <b:Tag>Gey01</b:Tag>
    <b:SourceType>JournalArticle</b:SourceType>
    <b:Guid>{82BF2D9B-8F3F-4D05-9754-7BA4822A7946}</b:Guid>
    <b:LCID>0</b:LCID>
    <b:Author>
      <b:Author>
        <b:NameList>
          <b:Person>
            <b:Last>Geyser</b:Last>
            <b:First>J</b:First>
            <b:Middle>M</b:Middle>
          </b:Person>
          <b:Person>
            <b:Last>Lowies</b:Last>
            <b:First>G</b:First>
            <b:Middle>A</b:Middle>
          </b:Person>
        </b:NameList>
      </b:Author>
    </b:Author>
    <b:Title>The Impact of Inflation and Stock Prices in two SADC Countries</b:Title>
    <b:JournalName>Meditari Accountacy Research</b:JournalName>
    <b:Year>2001</b:Year>
    <b:Pages>109-122</b:Pages>
    <b:Volume>9</b:Volume>
    <b:RefOrder>69</b:RefOrder>
  </b:Source>
  <b:Source>
    <b:Tag>Mul99</b:Tag>
    <b:SourceType>JournalArticle</b:SourceType>
    <b:Guid>{F2525597-6B4C-4989-8646-714B6A557645}</b:Guid>
    <b:LCID>0</b:LCID>
    <b:Author>
      <b:Author>
        <b:NameList>
          <b:Person>
            <b:Last>Muller</b:Last>
            <b:First>C</b:First>
          </b:Person>
        </b:NameList>
      </b:Author>
    </b:Author>
    <b:Title>Investor Overreation on the Johannesburg Stock Exchange</b:Title>
    <b:JournalName>Investment Analyst Journal</b:JournalName>
    <b:Year>1999</b:Year>
    <b:Pages>5-17</b:Pages>
    <b:Issue>49</b:Issue>
    <b:RefOrder>70</b:RefOrder>
  </b:Source>
  <b:Source>
    <b:Tag>Fis66</b:Tag>
    <b:SourceType>JournalArticle</b:SourceType>
    <b:Guid>{F9751499-6E00-4281-9BB1-6E42CA3ECF17}</b:Guid>
    <b:LCID>0</b:LCID>
    <b:Author>
      <b:Author>
        <b:NameList>
          <b:Person>
            <b:Last>Fisher</b:Last>
            <b:First>Lawrence</b:First>
          </b:Person>
        </b:NameList>
      </b:Author>
    </b:Author>
    <b:Title>Some New Stock Market Indexes</b:Title>
    <b:JournalName>Journal of Business</b:JournalName>
    <b:Year>1966</b:Year>
    <b:Pages>191-225</b:Pages>
    <b:Volume>39</b:Volume>
    <b:Issue>1</b:Issue>
    <b:RefOrder>71</b:RefOrder>
  </b:Source>
  <b:Source>
    <b:Tag>Pag92</b:Tag>
    <b:SourceType>JournalArticle</b:SourceType>
    <b:Guid>{5310909C-76E5-4587-B4C7-30B97F775291}</b:Guid>
    <b:LCID>0</b:LCID>
    <b:Author>
      <b:Author>
        <b:NameList>
          <b:Person>
            <b:Last>Page</b:Last>
            <b:First>M</b:First>
            <b:Middle>J</b:Middle>
          </b:Person>
          <b:Person>
            <b:Last>Way</b:Last>
            <b:First>C</b:First>
            <b:Middle>V</b:Middle>
          </b:Person>
        </b:NameList>
      </b:Author>
    </b:Author>
    <b:Title>Stock Market Over-reaction: The South African Evidence</b:Title>
    <b:JournalName>Investment Analysts Journal</b:JournalName>
    <b:Year>1992</b:Year>
    <b:Pages>35-49</b:Pages>
    <b:RefOrder>72</b:RefOrder>
  </b:Source>
  <b:Source>
    <b:Tag>Bar99</b:Tag>
    <b:SourceType>JournalArticle</b:SourceType>
    <b:Guid>{A886A910-BA7A-4ADB-8EBC-F68D37C2C97D}</b:Guid>
    <b:LCID>0</b:LCID>
    <b:Author>
      <b:Author>
        <b:NameList>
          <b:Person>
            <b:Last>Barclay</b:Last>
            <b:First>M</b:First>
            <b:Middle>J</b:Middle>
          </b:Person>
          <b:Person>
            <b:Last>Smith</b:Last>
            <b:First>C</b:First>
            <b:Middle>W</b:Middle>
          </b:Person>
        </b:NameList>
      </b:Author>
    </b:Author>
    <b:Title>The Capital Structure Puzzle: Another Look at the Evidence</b:Title>
    <b:JournalName>Journal of Applied Corporate Finance</b:JournalName>
    <b:Year>1999</b:Year>
    <b:Pages>8-20</b:Pages>
    <b:Volume>12</b:Volume>
    <b:Issue>1</b:Issue>
    <b:RefOrder>73</b:RefOrder>
  </b:Source>
  <b:Source>
    <b:Tag>Aff75</b:Tag>
    <b:SourceType>JournalArticle</b:SourceType>
    <b:Guid>{3765CBF0-5718-46EA-AFDA-2468F0B57664}</b:Guid>
    <b:LCID>0</b:LCID>
    <b:Author>
      <b:Author>
        <b:NameList>
          <b:Person>
            <b:Last>Affleck-Graves</b:Last>
            <b:First>J</b:First>
            <b:Middle>P</b:Middle>
          </b:Person>
          <b:Person>
            <b:Last>Money</b:Last>
            <b:First>A</b:First>
            <b:Middle>H</b:Middle>
          </b:Person>
        </b:NameList>
      </b:Author>
    </b:Author>
    <b:Title>A Note on the Random Walk Model and South African Share Prices</b:Title>
    <b:JournalName>The South African Journal of Economics</b:JournalName>
    <b:Year>1975</b:Year>
    <b:Pages>383-389</b:Pages>
    <b:Volume>43</b:Volume>
    <b:Issue>3</b:Issue>
    <b:RefOrder>74</b:RefOrder>
  </b:Source>
  <b:Source>
    <b:Tag>Jef05</b:Tag>
    <b:SourceType>JournalArticle</b:SourceType>
    <b:Guid>{7869ABB1-ACD7-445D-804F-299E4F5160FB}</b:Guid>
    <b:LCID>0</b:LCID>
    <b:Author>
      <b:Author>
        <b:NameList>
          <b:Person>
            <b:Last>Jefferis</b:Last>
            <b:First>K</b:First>
          </b:Person>
          <b:Person>
            <b:Last>Smith</b:Last>
            <b:First>G</b:First>
          </b:Person>
        </b:NameList>
      </b:Author>
    </b:Author>
    <b:Title>The Changing Efficiencies of the African Stock Markets</b:Title>
    <b:JournalName>South African Journal of Economics</b:JournalName>
    <b:Year>2005</b:Year>
    <b:Pages>54-67</b:Pages>
    <b:Volume>73</b:Volume>
    <b:Issue>1</b:Issue>
    <b:RefOrder>75</b:RefOrder>
  </b:Source>
  <b:Source>
    <b:Tag>Mag02</b:Tag>
    <b:SourceType>JournalArticle</b:SourceType>
    <b:Guid>{98E308C0-F869-446E-B650-B26BF39729CB}</b:Guid>
    <b:LCID>0</b:LCID>
    <b:Author>
      <b:Author>
        <b:NameList>
          <b:Person>
            <b:Last>Magnusson</b:Last>
            <b:First>M</b:First>
            <b:Middle>A</b:Middle>
          </b:Person>
          <b:Person>
            <b:Last>Wydick</b:Last>
            <b:First>B</b:First>
          </b:Person>
        </b:NameList>
      </b:Author>
    </b:Author>
    <b:Title>How Efficient are Africa's Emerging Stock Markets?</b:Title>
    <b:JournalName>The Journal of Development Studies</b:JournalName>
    <b:Year>2002</b:Year>
    <b:Pages>141-156</b:Pages>
    <b:Volume>38</b:Volume>
    <b:Issue>4</b:Issue>
    <b:RefOrder>76</b:RefOrder>
  </b:Source>
  <b:Source>
    <b:Tag>Rou78</b:Tag>
    <b:SourceType>JournalArticle</b:SourceType>
    <b:Guid>{F101E177-9D0D-4EEE-ACF4-9B2739204B3C}</b:Guid>
    <b:LCID>0</b:LCID>
    <b:Author>
      <b:Author>
        <b:NameList>
          <b:Person>
            <b:Last>Roux</b:Last>
            <b:First>F.J.P</b:First>
          </b:Person>
          <b:Person>
            <b:Last>Gilbertson</b:Last>
            <b:First>B.P.</b:First>
          </b:Person>
        </b:NameList>
      </b:Author>
    </b:Author>
    <b:Title>The Behaviour of Share Prices on the Johannesburg Stock Exchange</b:Title>
    <b:JournalName>Journal of Business Finance and Accounting</b:JournalName>
    <b:Year>1978</b:Year>
    <b:Pages>223-232</b:Pages>
    <b:Volume>5</b:Volume>
    <b:Issue>2</b:Issue>
    <b:RefOrder>77</b:RefOrder>
  </b:Source>
  <b:Source>
    <b:Tag>Can98</b:Tag>
    <b:SourceType>JournalArticle</b:SourceType>
    <b:Guid>{3B3AF63E-1FE2-48C9-A2FD-64AFC351EECB}</b:Guid>
    <b:LCID>0</b:LCID>
    <b:Author>
      <b:Author>
        <b:NameList>
          <b:Person>
            <b:Last>Canova</b:Last>
            <b:First>Fabio</b:First>
          </b:Person>
        </b:NameList>
      </b:Author>
    </b:Author>
    <b:Title>Detrending and Business Cycle Facts</b:Title>
    <b:JournalName>Journal of Monetary Economics</b:JournalName>
    <b:Year>1998</b:Year>
    <b:Pages>475-512</b:Pages>
    <b:Issue>41</b:Issue>
    <b:RefOrder>78</b:RefOrder>
  </b:Source>
  <b:Source>
    <b:Tag>Sic93</b:Tag>
    <b:SourceType>JournalArticle</b:SourceType>
    <b:Guid>{CD697889-BB56-4411-83B1-4785505F113E}</b:Guid>
    <b:LCID>0</b:LCID>
    <b:Author>
      <b:Author>
        <b:NameList>
          <b:Person>
            <b:Last>Sichel</b:Last>
            <b:First>Daniel</b:First>
          </b:Person>
        </b:NameList>
      </b:Author>
    </b:Author>
    <b:Title>Business Cycle Asymmetry: A Deeper Look</b:Title>
    <b:JournalName>Economic Inquiry</b:JournalName>
    <b:Year>1993</b:Year>
    <b:Pages>224-236</b:Pages>
    <b:Volume>30</b:Volume>
    <b:RefOrder>79</b:RefOrder>
  </b:Source>
  <b:Source>
    <b:Tag>Hod81</b:Tag>
    <b:SourceType>JournalArticle</b:SourceType>
    <b:Guid>{5FC1527D-7621-45B2-B231-A39C9F312B46}</b:Guid>
    <b:LCID>0</b:LCID>
    <b:Author>
      <b:Author>
        <b:NameList>
          <b:Person>
            <b:Last>Hodrick</b:Last>
            <b:First>R</b:First>
          </b:Person>
          <b:Person>
            <b:Last>Prescott</b:Last>
            <b:First>E</b:First>
          </b:Person>
        </b:NameList>
      </b:Author>
    </b:Author>
    <b:Title>Post-War U.S. Business Cycles: An Empirical Investigation</b:Title>
    <b:JournalName>Journal of Money Credit and Banking</b:JournalName>
    <b:Year>1981</b:Year>
    <b:Pages>1-16</b:Pages>
    <b:Volume>19</b:Volume>
    <b:RefOrder>80</b:RefOrder>
  </b:Source>
  <b:Source>
    <b:Tag>Bev81</b:Tag>
    <b:SourceType>JournalArticle</b:SourceType>
    <b:Guid>{6FB47850-0BA2-4838-A931-EC0BC1274967}</b:Guid>
    <b:LCID>0</b:LCID>
    <b:Author>
      <b:Author>
        <b:NameList>
          <b:Person>
            <b:Last>Beveridge</b:Last>
            <b:First>S</b:First>
          </b:Person>
          <b:Person>
            <b:Last>Nelson</b:Last>
            <b:First>C</b:First>
          </b:Person>
        </b:NameList>
      </b:Author>
    </b:Author>
    <b:Title>A New Approach to the Decomposition of Economic Time Series into Permanent and Transitory Components with Particular Attention to Measurements of the Business Cycle</b:Title>
    <b:JournalName>Journal of Monetary Economics</b:JournalName>
    <b:Year>1981</b:Year>
    <b:Pages>151-174</b:Pages>
    <b:Volume>7</b:Volume>
    <b:RefOrder>81</b:RefOrder>
  </b:Source>
  <b:Source>
    <b:Tag>Fam69</b:Tag>
    <b:SourceType>JournalArticle</b:SourceType>
    <b:Guid>{60AC85F8-10F0-4814-9ACF-8E5D0160465D}</b:Guid>
    <b:LCID>0</b:LCID>
    <b:Author>
      <b:Author>
        <b:NameList>
          <b:Person>
            <b:Last>Fama</b:Last>
            <b:First>Eugene</b:First>
          </b:Person>
          <b:Person>
            <b:Last>Fisher</b:Last>
            <b:First>Lawrence</b:First>
          </b:Person>
          <b:Person>
            <b:Last>Jensen</b:Last>
            <b:First>Michael</b:First>
            <b:Middle>C</b:Middle>
          </b:Person>
          <b:Person>
            <b:Last>Roll</b:Last>
            <b:First>Richard</b:First>
          </b:Person>
        </b:NameList>
      </b:Author>
    </b:Author>
    <b:Title>The Adjustment of Stock Prices to New Information</b:Title>
    <b:JournalName>International Economic Review</b:JournalName>
    <b:Year>1969</b:Year>
    <b:Pages>1-21</b:Pages>
    <b:Volume>10</b:Volume>
    <b:Issue>1</b:Issue>
    <b:RefOrder>82</b:RefOrder>
  </b:Source>
  <b:Source>
    <b:Tag>Bra90</b:Tag>
    <b:SourceType>JournalArticle</b:SourceType>
    <b:Guid>{6AB890C0-8A96-49F3-8647-DA139E5FA3D4}</b:Guid>
    <b:LCID>0</b:LCID>
    <b:Author>
      <b:Author>
        <b:NameList>
          <b:Person>
            <b:Last>Bradfield</b:Last>
            <b:First>D.J.</b:First>
          </b:Person>
        </b:NameList>
      </b:Author>
    </b:Author>
    <b:Title>A Note of Seasonality of Stock Returns on the JSE</b:Title>
    <b:JournalName>The South African Journal of Business Management</b:JournalName>
    <b:Year>1990</b:Year>
    <b:Pages>7-9</b:Pages>
    <b:Volume>21</b:Volume>
    <b:Issue>1</b:Issue>
    <b:RefOrder>83</b:RefOrder>
  </b:Source>
  <b:Source>
    <b:Tag>Mod79</b:Tag>
    <b:SourceType>JournalArticle</b:SourceType>
    <b:Guid>{133BAEAB-F15F-46F4-9D87-8864D4AFC676}</b:Guid>
    <b:LCID>0</b:LCID>
    <b:Author>
      <b:Author>
        <b:NameList>
          <b:Person>
            <b:Last>Modigliani</b:Last>
            <b:First>F</b:First>
          </b:Person>
          <b:Person>
            <b:Last>Cohn</b:Last>
            <b:First>R</b:First>
            <b:Middle>A</b:Middle>
          </b:Person>
        </b:NameList>
      </b:Author>
    </b:Author>
    <b:Title>Inflation, Rational Valuation and the Market</b:Title>
    <b:JournalName>Financial Analysts Journal</b:JournalName>
    <b:Year>1979</b:Year>
    <b:Pages>24-44</b:Pages>
    <b:Volume>35</b:Volume>
    <b:Issue>2</b:Issue>
    <b:RefOrder>84</b:RefOrder>
  </b:Source>
  <b:Source>
    <b:Tag>Mor90</b:Tag>
    <b:SourceType>JournalArticle</b:SourceType>
    <b:Guid>{98674D3C-43CC-4258-8B01-E3DAEEBF80AA}</b:Guid>
    <b:LCID>0</b:LCID>
    <b:Author>
      <b:Author>
        <b:NameList>
          <b:Person>
            <b:Last>Morck</b:Last>
            <b:First>R</b:First>
          </b:Person>
          <b:Person>
            <b:Last>Shleifer</b:Last>
            <b:First>A</b:First>
          </b:Person>
          <b:Person>
            <b:Last>Vishny</b:Last>
            <b:First>R</b:First>
            <b:Middle>W</b:Middle>
          </b:Person>
          <b:Person>
            <b:Last>Shapiro</b:Last>
            <b:First>M</b:First>
          </b:Person>
          <b:Person>
            <b:Last>Poterba</b:Last>
            <b:First>J</b:First>
          </b:Person>
        </b:NameList>
      </b:Author>
    </b:Author>
    <b:Title>The Stock Market and Investment: Is the Stock Market a Sideshow?</b:Title>
    <b:Year>1990</b:Year>
    <b:JournalName>Brookings Papers on Economic Activity</b:JournalName>
    <b:Pages>157-215</b:Pages>
    <b:Issue>2</b:Issue>
    <b:RefOrder>85</b:RefOrder>
  </b:Source>
  <b:Source>
    <b:Tag>Placeholder1</b:Tag>
    <b:SourceType>JournalArticle</b:SourceType>
    <b:Guid>{10DD7F45-554E-414F-83A2-C831ABF4A531}</b:Guid>
    <b:LCID>0</b:LCID>
    <b:Author>
      <b:Author>
        <b:NameList>
          <b:Person>
            <b:Last>Morck</b:Last>
            <b:First>R</b:First>
          </b:Person>
          <b:Person>
            <b:Last>Shleifer</b:Last>
            <b:First>A</b:First>
          </b:Person>
          <b:Person>
            <b:Last>Vishny</b:Last>
            <b:First>R</b:First>
            <b:Middle>W</b:Middle>
          </b:Person>
          <b:Person>
            <b:Last>Shapiro</b:Last>
            <b:First>M</b:First>
          </b:Person>
          <b:Person>
            <b:Last>Poterba</b:Last>
            <b:First>J</b:First>
          </b:Person>
        </b:NameList>
      </b:Author>
    </b:Author>
    <b:Title>The Stock Market and Investment: Is the Stock Market a Sideshow</b:Title>
    <b:Year>1990</b:Year>
    <b:JournalName>Brookings Papers on Economic Activity</b:JournalName>
    <b:Pages>157-215</b:Pages>
    <b:Issue>2</b:Issue>
    <b:RefOrder>86</b:RefOrder>
  </b:Source>
  <b:Source>
    <b:Tag>Ber92</b:Tag>
    <b:SourceType>JournalArticle</b:SourceType>
    <b:Guid>{3D4AAB05-40FD-4D4F-A88C-637B2F561AD0}</b:Guid>
    <b:LCID>0</b:LCID>
    <b:Author>
      <b:Author>
        <b:NameList>
          <b:Person>
            <b:Last>Bernanke</b:Last>
            <b:First>B</b:First>
            <b:Middle>S</b:Middle>
          </b:Person>
          <b:Person>
            <b:Last>Blinder</b:Last>
            <b:First>A</b:First>
            <b:Middle>S</b:Middle>
          </b:Person>
        </b:NameList>
      </b:Author>
    </b:Author>
    <b:Title>The Federal Funds Rate and the Channels of Monetary Transmission</b:Title>
    <b:JournalName>The American Economic Review</b:JournalName>
    <b:Year>1992</b:Year>
    <b:Pages>901-921</b:Pages>
    <b:Volume>82</b:Volume>
    <b:Issue>4</b:Issue>
    <b:RefOrder>87</b:RefOrder>
  </b:Source>
  <b:Source>
    <b:Tag>Kut09</b:Tag>
    <b:SourceType>JournalArticle</b:SourceType>
    <b:Guid>{74785B5B-01E7-4B4A-8F3F-E44F62B1541A}</b:Guid>
    <b:LCID>0</b:LCID>
    <b:Author>
      <b:Author>
        <b:NameList>
          <b:Person>
            <b:Last>Kuttner</b:Last>
            <b:First>Kenneth</b:First>
            <b:Middle>N</b:Middle>
          </b:Person>
        </b:NameList>
      </b:Author>
    </b:Author>
    <b:Title>Equity Prices as Leading Indicators: The Asian Experience</b:Title>
    <b:JournalName>Bank for International Settlement Working Papers</b:JournalName>
    <b:Year>2009</b:Year>
    <b:Pages>167-192</b:Pages>
    <b:Volume>39</b:Volume>
    <b:RefOrder>88</b:RefOrder>
  </b:Source>
  <b:Source>
    <b:Tag>Sme97</b:Tag>
    <b:SourceType>JournalArticle</b:SourceType>
    <b:Guid>{D6FC7F97-9457-49F1-B63F-C77C7690D5F0}</b:Guid>
    <b:LCID>0</b:LCID>
    <b:Author>
      <b:Author>
        <b:NameList>
          <b:Person>
            <b:Last>Smets</b:Last>
            <b:First>F</b:First>
          </b:Person>
          <b:Person>
            <b:Last>Tsatsaronis</b:Last>
            <b:First>K</b:First>
          </b:Person>
        </b:NameList>
      </b:Author>
    </b:Author>
    <b:Title>Why does the Yield Curve Predict Economic Activity? Dissecticting Evidence for Germany and the United States</b:Title>
    <b:Year>1997</b:Year>
    <b:Pages>1-43</b:Pages>
    <b:City>Basle</b:City>
    <b:Publisher>Bank for International Settlements</b:Publisher>
    <b:JournalName>Bank for International Settlement Working Papers</b:JournalName>
    <b:CountryRegion>Switzerland</b:CountryRegion>
    <b:Edition>49</b:Edition>
    <b:Volume>49</b:Volume>
    <b:RefOrder>89</b:RefOrder>
  </b:Source>
  <b:Source>
    <b:Tag>Moo83</b:Tag>
    <b:SourceType>BookSection</b:SourceType>
    <b:Guid>{C7635643-D85A-49D6-BB2E-6E81644EFF23}</b:Guid>
    <b:LCID>0</b:LCID>
    <b:Author>
      <b:Author>
        <b:NameList>
          <b:Person>
            <b:Last>Moore</b:Last>
            <b:First>G</b:First>
            <b:Middle>H</b:Middle>
          </b:Person>
        </b:NameList>
      </b:Author>
      <b:BookAuthor>
        <b:NameList>
          <b:Person>
            <b:Last>NBER</b:Last>
          </b:Person>
        </b:NameList>
      </b:BookAuthor>
    </b:Author>
    <b:Title>Cyclical Fluctuations and Secular Information</b:Title>
    <b:Year>1983</b:Year>
    <b:BookTitle>Business Cycles, Inflation and Forecating</b:BookTitle>
    <b:Pages>237-244</b:Pages>
    <b:City>Cambridge</b:City>
    <b:Publisher>National Bureau of Economic Research</b:Publisher>
    <b:Edition>2</b:Edition>
    <b:RefOrder>90</b:RefOrder>
  </b:Source>
  <b:Source>
    <b:Tag>Bos75</b:Tag>
    <b:SourceType>JournalArticle</b:SourceType>
    <b:Guid>{FECB48C6-5461-47A5-8B3C-19B4A5482F3E}</b:Guid>
    <b:LCID>0</b:LCID>
    <b:Author>
      <b:Author>
        <b:NameList>
          <b:Person>
            <b:Last>Bosworth</b:Last>
            <b:First>B</b:First>
          </b:Person>
          <b:Person>
            <b:Last>Hymans</b:Last>
            <b:First>S</b:First>
          </b:Person>
          <b:Person>
            <b:Last>Modigliani</b:Last>
            <b:First>F</b:First>
          </b:Person>
        </b:NameList>
      </b:Author>
    </b:Author>
    <b:Title>The Stock Market and the Economy</b:Title>
    <b:JournalName>Brookings Papers on Economic Activity</b:JournalName>
    <b:Year>1975</b:Year>
    <b:Pages>257-300</b:Pages>
    <b:Volume>1975</b:Volume>
    <b:Issue>2</b:Issue>
    <b:RefOrder>91</b:RefOrder>
  </b:Source>
  <b:Source>
    <b:Tag>Sto031</b:Tag>
    <b:SourceType>JournalArticle</b:SourceType>
    <b:Guid>{BF1290A1-C027-48D5-BEA9-AE330C869947}</b:Guid>
    <b:LCID>0</b:LCID>
    <b:Author>
      <b:Author>
        <b:NameList>
          <b:Person>
            <b:Last>Stock</b:Last>
            <b:First>James</b:First>
            <b:Middle>H</b:Middle>
          </b:Person>
          <b:Person>
            <b:Last>Watson</b:Last>
            <b:First>Mark</b:First>
            <b:Middle>W</b:Middle>
          </b:Person>
        </b:NameList>
      </b:Author>
    </b:Author>
    <b:Title>Forecasting Output and Inflation: The Role of Asset Prices</b:Title>
    <b:JournalName>Journal of Economic Literature</b:JournalName>
    <b:Year>2003a</b:Year>
    <b:Pages>788-829</b:Pages>
    <b:Volume>41</b:Volume>
    <b:Issue>3</b:Issue>
    <b:RefOrder>92</b:RefOrder>
  </b:Source>
  <b:Source>
    <b:Tag>Sto03</b:Tag>
    <b:SourceType>JournalArticle</b:SourceType>
    <b:Guid>{437EBCEE-87DF-4923-85F6-45EB9D36BB3F}</b:Guid>
    <b:LCID>0</b:LCID>
    <b:Author>
      <b:Author>
        <b:NameList>
          <b:Person>
            <b:Last>Stock</b:Last>
            <b:First>James</b:First>
            <b:Middle>H</b:Middle>
          </b:Person>
          <b:Person>
            <b:Last>Watson</b:Last>
            <b:First>Mark</b:First>
            <b:Middle>W</b:Middle>
          </b:Person>
        </b:NameList>
      </b:Author>
    </b:Author>
    <b:Title>How did Leading Indicator Forecasts do During the 2001 Recession</b:Title>
    <b:JournalName>NBER Working Paper</b:JournalName>
    <b:Year>2003b</b:Year>
    <b:Pages>1-25</b:Pages>
    <b:RefOrder>93</b:RefOrder>
  </b:Source>
  <b:Source>
    <b:Tag>McQ93</b:Tag>
    <b:SourceType>JournalArticle</b:SourceType>
    <b:Guid>{5F778DD0-B9E1-478E-B138-2B24F4845D62}</b:Guid>
    <b:LCID>0</b:LCID>
    <b:Author>
      <b:Author>
        <b:NameList>
          <b:Person>
            <b:Last>McQueen</b:Last>
            <b:First>G</b:First>
          </b:Person>
          <b:Person>
            <b:Last>Roley</b:Last>
            <b:First>V</b:First>
            <b:Middle>V</b:Middle>
          </b:Person>
        </b:NameList>
      </b:Author>
    </b:Author>
    <b:Title>Stock Prices, News, and Business Conditions</b:Title>
    <b:JournalName>Review of Financial Studies</b:JournalName>
    <b:Year>1993</b:Year>
    <b:Pages>683-707</b:Pages>
    <b:Volume>6</b:Volume>
    <b:Issue>3</b:Issue>
    <b:RefOrder>94</b:RefOrder>
  </b:Source>
  <b:Source>
    <b:Tag>Fri92</b:Tag>
    <b:SourceType>JournalArticle</b:SourceType>
    <b:Guid>{2D1FD0C6-308C-4558-B526-5F26F2D02FEA}</b:Guid>
    <b:LCID>0</b:LCID>
    <b:Author>
      <b:Author>
        <b:NameList>
          <b:Person>
            <b:Last>Friedman</b:Last>
            <b:First>B</b:First>
            <b:Middle>M</b:Middle>
          </b:Person>
          <b:Person>
            <b:Last>Kuttner</b:Last>
            <b:First>K</b:First>
            <b:Middle>N</b:Middle>
          </b:Person>
        </b:NameList>
      </b:Author>
    </b:Author>
    <b:Title>Money, Income, Prices and Interest Rates</b:Title>
    <b:JournalName>The American Economic Review</b:JournalName>
    <b:Year>1992</b:Year>
    <b:Pages>472-492</b:Pages>
    <b:Volume>82</b:Volume>
    <b:Issue>3</b:Issue>
    <b:RefOrder>95</b:RefOrder>
  </b:Source>
  <b:Source>
    <b:Tag>Hen041</b:Tag>
    <b:SourceType>JournalArticle</b:SourceType>
    <b:Guid>{7373065F-E201-4EE8-999D-B98899C2BE8B}</b:Guid>
    <b:LCID>0</b:LCID>
    <b:Author>
      <b:Author>
        <b:NameList>
          <b:Person>
            <b:Last>Henry</b:Last>
            <b:First>Olan</b:First>
            <b:Middle>T</b:Middle>
          </b:Person>
          <b:Person>
            <b:Last>Olekalns</b:Last>
            <b:First>Nilss</b:First>
          </b:Person>
          <b:Person>
            <b:Last>Thong</b:Last>
            <b:First>J</b:First>
          </b:Person>
        </b:NameList>
      </b:Author>
    </b:Author>
    <b:Title>Do Stock Market Returns Predict Changes to Output? Evidence from a Nonlinear Panel Data Model</b:Title>
    <b:JournalName>Empirical Economics</b:JournalName>
    <b:Year>2004</b:Year>
    <b:Pages>527-540</b:Pages>
    <b:Volume>29</b:Volume>
    <b:RefOrder>96</b:RefOrder>
  </b:Source>
  <b:Source>
    <b:Tag>Fam77</b:Tag>
    <b:SourceType>JournalArticle</b:SourceType>
    <b:Guid>{298C5846-2DE2-49C8-AF96-6AFB8A252F85}</b:Guid>
    <b:LCID>0</b:LCID>
    <b:Author>
      <b:Author>
        <b:NameList>
          <b:Person>
            <b:Last>Fama</b:Last>
            <b:First>E</b:First>
            <b:Middle>F</b:Middle>
          </b:Person>
          <b:Person>
            <b:Last>Schwert</b:Last>
            <b:First>S</b:First>
            <b:Middle>G</b:Middle>
          </b:Person>
        </b:NameList>
      </b:Author>
    </b:Author>
    <b:Title>Asset Returns and Inflation</b:Title>
    <b:JournalName>Journal of Financial Economics</b:JournalName>
    <b:Year>1977</b:Year>
    <b:Pages>115-146</b:Pages>
    <b:Volume>5</b:Volume>
    <b:Issue>2</b:Issue>
    <b:RefOrder>97</b:RefOrder>
  </b:Source>
  <b:Source>
    <b:Tag>Fre81</b:Tag>
    <b:SourceType>JournalArticle</b:SourceType>
    <b:Guid>{97B0804F-4B99-43A7-B118-993E54A3745E}</b:Guid>
    <b:LCID>0</b:LCID>
    <b:Author>
      <b:Author>
        <b:NameList>
          <b:Person>
            <b:Last>French</b:Last>
            <b:First>K</b:First>
            <b:Middle>R</b:Middle>
          </b:Person>
          <b:Person>
            <b:Last>Ruback</b:Last>
            <b:First>R</b:First>
            <b:Middle>S</b:Middle>
          </b:Person>
          <b:Person>
            <b:Last>Schwert</b:Last>
            <b:First>G</b:First>
          </b:Person>
        </b:NameList>
      </b:Author>
    </b:Author>
    <b:Year>1981</b:Year>
    <b:Title>Effects of Nominal Contracting on Stock Returns</b:Title>
    <b:JournalName>Sloan School of Management Working Paper</b:JournalName>
    <b:Pages>1-65</b:Pages>
    <b:RefOrder>98</b:RefOrder>
  </b:Source>
  <b:Source>
    <b:Tag>Whe88</b:Tag>
    <b:SourceType>JournalArticle</b:SourceType>
    <b:Guid>{C7E2FE62-5B87-44C3-A928-9FC7DC2BDAC9}</b:Guid>
    <b:LCID>0</b:LCID>
    <b:Author>
      <b:Author>
        <b:NameList>
          <b:Person>
            <b:Last>Wheatly</b:Last>
            <b:First>S</b:First>
          </b:Person>
        </b:NameList>
      </b:Author>
    </b:Author>
    <b:Title>Some Tests of International Equity Integration</b:Title>
    <b:JournalName>Journal of Financial Economics</b:JournalName>
    <b:Year>1988</b:Year>
    <b:Pages>177-212</b:Pages>
    <b:Volume>21</b:Volume>
    <b:Issue>2</b:Issue>
    <b:RefOrder>99</b:RefOrder>
  </b:Source>
  <b:Source>
    <b:Tag>App03</b:Tag>
    <b:SourceType>JournalArticle</b:SourceType>
    <b:Guid>{11A77594-E96D-4002-AE44-80217F9EC5B3}</b:Guid>
    <b:LCID>0</b:LCID>
    <b:Author>
      <b:Author>
        <b:NameList>
          <b:Person>
            <b:Last>Appiah-Kusi</b:Last>
            <b:First>J</b:First>
          </b:Person>
          <b:Person>
            <b:Last>Menyah</b:Last>
            <b:First>K</b:First>
          </b:Person>
        </b:NameList>
      </b:Author>
    </b:Author>
    <b:Title>Return Predictability in African Stock Markets</b:Title>
    <b:JournalName>Review of Financial Economics</b:JournalName>
    <b:Year>2003</b:Year>
    <b:Pages>247-270</b:Pages>
    <b:Volume>12</b:Volume>
    <b:RefOrder>100</b:RefOrder>
  </b:Source>
  <b:Source>
    <b:Tag>Smi02</b:Tag>
    <b:SourceType>JournalArticle</b:SourceType>
    <b:Guid>{71C550C4-35D0-4D10-9DF7-D67F62F4C3D5}</b:Guid>
    <b:LCID>0</b:LCID>
    <b:Author>
      <b:Author>
        <b:NameList>
          <b:Person>
            <b:Last>Smith</b:Last>
          </b:Person>
          <b:Person>
            <b:Last>Jefferis</b:Last>
          </b:Person>
          <b:Person>
            <b:Last>Ryoo</b:Last>
          </b:Person>
        </b:NameList>
      </b:Author>
    </b:Author>
    <b:Title>African Stock Markets: Multiple Variance Ratio Tests of Random</b:Title>
    <b:JournalName>Applied Financial Economics</b:JournalName>
    <b:Year>2002</b:Year>
    <b:Pages>475-484</b:Pages>
    <b:Volume>12</b:Volume>
    <b:Issue>7</b:Issue>
    <b:RefOrder>101</b:RefOrder>
  </b:Source>
  <b:Source>
    <b:Tag>Doa83</b:Tag>
    <b:SourceType>JournalArticle</b:SourceType>
    <b:Guid>{5537D9C8-D3B2-4BF4-BAE6-4B8E31A8F084}</b:Guid>
    <b:LCID>0</b:LCID>
    <b:Author>
      <b:Author>
        <b:NameList>
          <b:Person>
            <b:Last>Doan</b:Last>
            <b:First>T</b:First>
          </b:Person>
          <b:Person>
            <b:Last>Litterman</b:Last>
            <b:First>R</b:First>
            <b:Middle>B</b:Middle>
          </b:Person>
          <b:Person>
            <b:Last>Sims</b:Last>
            <b:First>C</b:First>
          </b:Person>
        </b:NameList>
      </b:Author>
    </b:Author>
    <b:Title>Forecasting and Conditional Projection Using Realistic Prior Distributions</b:Title>
    <b:JournalName>Econometric Reviews</b:JournalName>
    <b:Year>1983</b:Year>
    <b:Pages>1-100</b:Pages>
    <b:Volume>3</b:Volume>
    <b:Issue>1</b:Issue>
    <b:RefOrder>102</b:RefOrder>
  </b:Source>
  <b:Source>
    <b:Tag>Mla07</b:Tag>
    <b:SourceType>JournalArticle</b:SourceType>
    <b:Guid>{4EDA5B95-1227-4B66-8FAC-9AF76B6E66E0}</b:Guid>
    <b:LCID>0</b:LCID>
    <b:Author>
      <b:Author>
        <b:NameList>
          <b:Person>
            <b:Last>Mlambo</b:Last>
            <b:First>C</b:First>
          </b:Person>
          <b:Person>
            <b:Last>Biekpe</b:Last>
            <b:First>N</b:First>
          </b:Person>
        </b:NameList>
      </b:Author>
    </b:Author>
    <b:Title>The Efficient Market Hypothesis: Evidence from Ten African Stock Markets</b:Title>
    <b:JournalName>Investment Analysts Journal</b:JournalName>
    <b:Year>2007</b:Year>
    <b:Pages>5-18</b:Pages>
    <b:Issue>66</b:Issue>
    <b:RefOrder>103</b:RefOrder>
  </b:Source>
  <b:Source>
    <b:Tag>Mla03</b:Tag>
    <b:SourceType>JournalArticle</b:SourceType>
    <b:Guid>{73AEAD25-6202-42C6-B023-A94F2269C354}</b:Guid>
    <b:LCID>0</b:LCID>
    <b:Author>
      <b:Author>
        <b:NameList>
          <b:Person>
            <b:Last>Mlambo</b:Last>
            <b:First>C</b:First>
          </b:Person>
          <b:Person>
            <b:Last>Biekpe</b:Last>
            <b:First>N</b:First>
          </b:Person>
        </b:NameList>
      </b:Author>
    </b:Author>
    <b:Title>Thin Trading on African Stock Markets: Implications for Market Efficiency Testing</b:Title>
    <b:JournalName>Investment Analysts Journal</b:JournalName>
    <b:Year>2003</b:Year>
    <b:Pages>29-40</b:Pages>
    <b:Issue>61</b:Issue>
    <b:RefOrder>104</b:RefOrder>
  </b:Source>
  <b:Source>
    <b:Tag>Cha88</b:Tag>
    <b:SourceType>JournalArticle</b:SourceType>
    <b:Guid>{5E000198-C11C-409D-9389-08250F9AEE71}</b:Guid>
    <b:LCID>0</b:LCID>
    <b:Author>
      <b:Author>
        <b:NameList>
          <b:Person>
            <b:Last>Chan</b:Last>
            <b:First>K.</b:First>
            <b:Middle>C</b:Middle>
          </b:Person>
        </b:NameList>
      </b:Author>
    </b:Author>
    <b:Title>On the Contrarian Investment Strategy</b:Title>
    <b:JournalName>Journal of Business</b:JournalName>
    <b:Year>1988</b:Year>
    <b:Pages>147-163</b:Pages>
    <b:Volume>61</b:Volume>
    <b:RefOrder>105</b:RefOrder>
  </b:Source>
  <b:Source>
    <b:Tag>Bin00</b:Tag>
    <b:SourceType>JournalArticle</b:SourceType>
    <b:Guid>{9256DDCF-F60B-4ECF-AD84-55B01370FDA2}</b:Guid>
    <b:LCID>0</b:LCID>
    <b:Author>
      <b:Author>
        <b:NameList>
          <b:Person>
            <b:Last>Binswanger</b:Last>
            <b:First>Mathias</b:First>
          </b:Person>
        </b:NameList>
      </b:Author>
    </b:Author>
    <b:Title>Stock Returns and Real Activity: Is there Still a Connection?</b:Title>
    <b:JournalName>Applied Financial Economics</b:JournalName>
    <b:Year>2000</b:Year>
    <b:Pages>379-387</b:Pages>
    <b:Volume>10</b:Volume>
    <b:RefOrder>106</b:RefOrder>
  </b:Source>
  <b:Source>
    <b:Tag>Ber83</b:Tag>
    <b:SourceType>JournalArticle</b:SourceType>
    <b:Guid>{F6505B97-1FC4-4D12-9B5F-83E19D6ECE39}</b:Guid>
    <b:LCID>0</b:LCID>
    <b:Author>
      <b:Author>
        <b:NameList>
          <b:Person>
            <b:Last>Bernanke</b:Last>
            <b:First>B</b:First>
            <b:Middle>S</b:Middle>
          </b:Person>
        </b:NameList>
      </b:Author>
    </b:Author>
    <b:Title>Nonmonetary Effects of the Financial Crisis in the Propagation of the Great Depression</b:Title>
    <b:JournalName>The American Economic Review</b:JournalName>
    <b:Year>1983</b:Year>
    <b:Pages>257-276</b:Pages>
    <b:Volume>73</b:Volume>
    <b:Issue>3</b:Issue>
    <b:RefOrder>107</b:RefOrder>
  </b:Source>
  <b:Source>
    <b:Tag>Bla81</b:Tag>
    <b:SourceType>JournalArticle</b:SourceType>
    <b:Guid>{E01EE69C-A069-4503-BD6E-D70B5598BCB2}</b:Guid>
    <b:LCID>0</b:LCID>
    <b:Author>
      <b:Author>
        <b:NameList>
          <b:Person>
            <b:Last>Blanchard</b:Last>
            <b:First>O</b:First>
          </b:Person>
        </b:NameList>
      </b:Author>
    </b:Author>
    <b:Title>Output, the Stock Market and Interest Rates</b:Title>
    <b:JournalName>The American Economic Reveiw</b:JournalName>
    <b:Year>1981</b:Year>
    <b:Pages>132-143</b:Pages>
    <b:Volume>71</b:Volume>
    <b:RefOrder>108</b:RefOrder>
  </b:Source>
  <b:Source>
    <b:Tag>Cam02</b:Tag>
    <b:SourceType>JournalArticle</b:SourceType>
    <b:Guid>{CEDB55A3-EFB5-4DB4-8E51-E95415E88B52}</b:Guid>
    <b:LCID>0</b:LCID>
    <b:Author>
      <b:Author>
        <b:NameList>
          <b:Person>
            <b:Last>Campbell</b:Last>
            <b:First>J</b:First>
            <b:Middle>Y</b:Middle>
          </b:Person>
          <b:Person>
            <b:Last>Lettau</b:Last>
            <b:First>M</b:First>
          </b:Person>
          <b:Person>
            <b:Last>Malkiel</b:Last>
            <b:First>B</b:First>
            <b:Middle>G</b:Middle>
          </b:Person>
          <b:Person>
            <b:Last>Xu</b:Last>
            <b:First>Y</b:First>
          </b:Person>
        </b:NameList>
      </b:Author>
    </b:Author>
    <b:Title>Have Individual Stocks Become More Volatile? An Empirical Exploration of Idiosyncratic Risk</b:Title>
    <b:JournalName>Journal of Finance</b:JournalName>
    <b:Year>2002</b:Year>
    <b:Pages>1-43</b:Pages>
    <b:Volume>56</b:Volume>
    <b:Issue>1</b:Issue>
    <b:RefOrder>109</b:RefOrder>
  </b:Source>
  <b:Source>
    <b:Tag>Cha86</b:Tag>
    <b:SourceType>JournalArticle</b:SourceType>
    <b:Guid>{403BB08D-9ED2-4F30-B2FC-4AFF0A6BD2C1}</b:Guid>
    <b:LCID>0</b:LCID>
    <b:Author>
      <b:Author>
        <b:NameList>
          <b:Person>
            <b:Last>Chan</b:Last>
            <b:First>K.</b:First>
            <b:Middle>C</b:Middle>
          </b:Person>
        </b:NameList>
      </b:Author>
    </b:Author>
    <b:Title>Can Tax-Loss Selling Explain the January Seasonal in Stock Returns</b:Title>
    <b:JournalName>Journal of Finance</b:JournalName>
    <b:Year>1986</b:Year>
    <b:Pages>1115-1128</b:Pages>
    <b:Volume>41</b:Volume>
    <b:Issue>5</b:Issue>
    <b:RefOrder>110</b:RefOrder>
  </b:Source>
  <b:Source>
    <b:Tag>Cha881</b:Tag>
    <b:SourceType>JournalArticle</b:SourceType>
    <b:Guid>{30032300-8C68-4A2F-9EDA-9CE9AF1D90B1}</b:Guid>
    <b:LCID>0</b:LCID>
    <b:Author>
      <b:Author>
        <b:NameList>
          <b:Person>
            <b:Last>Chan</b:Last>
            <b:First>K</b:First>
            <b:Middle>C</b:Middle>
          </b:Person>
          <b:Person>
            <b:Last>Chen</b:Last>
            <b:First>Nai-Fu</b:First>
          </b:Person>
        </b:NameList>
      </b:Author>
    </b:Author>
    <b:Title>An Unconditional Asset-Pricing Test and the Role of Firm Size as an Instrumental Variable for Risk</b:Title>
    <b:Year>1988</b:Year>
    <b:Pages>309-325</b:Pages>
    <b:JournalName>Journal of Finance</b:JournalName>
    <b:Volume>43</b:Volume>
    <b:Issue>2</b:Issue>
    <b:RefOrder>111</b:RefOrder>
  </b:Source>
  <b:Source>
    <b:Tag>DeB85</b:Tag>
    <b:SourceType>JournalArticle</b:SourceType>
    <b:Guid>{823839D9-9DDE-4AD8-83A4-75537FCEB6DE}</b:Guid>
    <b:LCID>0</b:LCID>
    <b:Author>
      <b:Author>
        <b:NameList>
          <b:Person>
            <b:Last>De Bondt</b:Last>
            <b:First>Werner</b:First>
          </b:Person>
          <b:Person>
            <b:Last>Thaler</b:Last>
            <b:First>Richard</b:First>
          </b:Person>
        </b:NameList>
      </b:Author>
    </b:Author>
    <b:Title>Does the Stock Market Overreact?</b:Title>
    <b:JournalName>Journal of Finance</b:JournalName>
    <b:Year>1985</b:Year>
    <b:Pages>793-805</b:Pages>
    <b:Volume>40</b:Volume>
    <b:RefOrder>112</b:RefOrder>
  </b:Source>
  <b:Source>
    <b:Tag>Est91</b:Tag>
    <b:SourceType>JournalArticle</b:SourceType>
    <b:Guid>{907D7E35-8982-4CC3-B18F-0226E697D591}</b:Guid>
    <b:LCID>0</b:LCID>
    <b:Author>
      <b:Author>
        <b:NameList>
          <b:Person>
            <b:Last>Estrella</b:Last>
            <b:First>Arturo</b:First>
          </b:Person>
          <b:Person>
            <b:Last>Hardouvelis</b:Last>
            <b:First>Gikas</b:First>
          </b:Person>
        </b:NameList>
      </b:Author>
    </b:Author>
    <b:Title>The Term Structure as a Predictor of Real Economic Actvity</b:Title>
    <b:JournalName>Journal of Finance</b:JournalName>
    <b:Year>1991</b:Year>
    <b:Pages>555-576</b:Pages>
    <b:Volume>46</b:Volume>
    <b:Issue>2</b:Issue>
    <b:RefOrder>113</b:RefOrder>
  </b:Source>
  <b:Source>
    <b:Tag>Fam81</b:Tag>
    <b:SourceType>JournalArticle</b:SourceType>
    <b:Guid>{CD14E5F8-B473-4E1A-8DF7-CD2BA76816EE}</b:Guid>
    <b:LCID>0</b:LCID>
    <b:Author>
      <b:Author>
        <b:NameList>
          <b:Person>
            <b:Last>Fama</b:Last>
            <b:First>Eugene</b:First>
          </b:Person>
        </b:NameList>
      </b:Author>
    </b:Author>
    <b:Title>Stock Returns, Real Activity, Inflation and Money</b:Title>
    <b:JournalName>The American Economic Review</b:JournalName>
    <b:Year>1981</b:Year>
    <b:Pages>545-565</b:Pages>
    <b:Volume>71</b:Volume>
    <b:RefOrder>114</b:RefOrder>
  </b:Source>
  <b:Source>
    <b:Tag>Jeg93</b:Tag>
    <b:SourceType>JournalArticle</b:SourceType>
    <b:Guid>{393D9858-564F-45EB-B030-5B26830DAB2A}</b:Guid>
    <b:LCID>0</b:LCID>
    <b:Author>
      <b:Author>
        <b:NameList>
          <b:Person>
            <b:Last>Jegadeesh</b:Last>
            <b:First>Narasimhan</b:First>
          </b:Person>
          <b:Person>
            <b:Last>Titman</b:Last>
            <b:First>Sheridon</b:First>
          </b:Person>
        </b:NameList>
      </b:Author>
    </b:Author>
    <b:Title>Returns to Buying Winners and Selling Losers: Implications for Stock Market Efficiency</b:Title>
    <b:JournalName>Journal of Finance</b:JournalName>
    <b:Year>1993</b:Year>
    <b:Pages>65-91</b:Pages>
    <b:Volume>48</b:Volume>
    <b:Issue>1</b:Issue>
    <b:RefOrder>115</b:RefOrder>
  </b:Source>
  <b:Source>
    <b:Tag>Kei83</b:Tag>
    <b:SourceType>JournalArticle</b:SourceType>
    <b:Guid>{E15CE2C5-A2FD-4686-9650-F4A8DA0C4DDC}</b:Guid>
    <b:LCID>0</b:LCID>
    <b:Author>
      <b:Author>
        <b:NameList>
          <b:Person>
            <b:Last>Keim</b:Last>
            <b:First>Donald</b:First>
          </b:Person>
        </b:NameList>
      </b:Author>
    </b:Author>
    <b:Title>Size-Related Anomalies and Stock Return Seasonality: Further Empirical Evidence</b:Title>
    <b:JournalName>Journal of Financial Economics</b:JournalName>
    <b:Year>1983</b:Year>
    <b:Pages>13-32</b:Pages>
    <b:Issue>12</b:Issue>
    <b:RefOrder>116</b:RefOrder>
  </b:Source>
  <b:Source>
    <b:Tag>Lin75</b:Tag>
    <b:SourceType>JournalArticle</b:SourceType>
    <b:Guid>{E4B51962-9F67-42AC-8C9D-22D3CF280C7D}</b:Guid>
    <b:LCID>0</b:LCID>
    <b:Author>
      <b:Author>
        <b:NameList>
          <b:Person>
            <b:Last>Lintner</b:Last>
            <b:First>J</b:First>
          </b:Person>
        </b:NameList>
      </b:Author>
    </b:Author>
    <b:Title>Inflation and Security Returns</b:Title>
    <b:JournalName>Journal of Finance</b:JournalName>
    <b:Year>1975</b:Year>
    <b:Pages>259-280</b:Pages>
    <b:Volume>30</b:Volume>
    <b:Issue>2</b:Issue>
    <b:RefOrder>117</b:RefOrder>
  </b:Source>
  <b:Source>
    <b:Tag>Mal95</b:Tag>
    <b:SourceType>JournalArticle</b:SourceType>
    <b:Guid>{9BB75F6C-5B3C-48A6-A122-A23FABC397D7}</b:Guid>
    <b:LCID>0</b:LCID>
    <b:Author>
      <b:Author>
        <b:NameList>
          <b:Person>
            <b:Last>Malkiel</b:Last>
            <b:First>B.G</b:First>
          </b:Person>
        </b:NameList>
      </b:Author>
    </b:Author>
    <b:Title>Returns from Investing in Equity Mutual Funds</b:Title>
    <b:JournalName>Journal of Finance</b:JournalName>
    <b:Year>1995</b:Year>
    <b:Pages>549-572</b:Pages>
    <b:Volume>50</b:Volume>
    <b:Issue>2</b:Issue>
    <b:RefOrder>118</b:RefOrder>
  </b:Source>
  <b:Source>
    <b:Tag>Rob59</b:Tag>
    <b:SourceType>JournalArticle</b:SourceType>
    <b:Guid>{C2F8311C-397A-43CA-A378-8210DAF7B27F}</b:Guid>
    <b:LCID>0</b:LCID>
    <b:Author>
      <b:Author>
        <b:NameList>
          <b:Person>
            <b:Last>Roberts</b:Last>
            <b:First>Harry</b:First>
            <b:Middle>V</b:Middle>
          </b:Person>
        </b:NameList>
      </b:Author>
    </b:Author>
    <b:Title>Stock Market "Patterns" and Financial Analysis: Methodological Suggestions</b:Title>
    <b:Year>1959</b:Year>
    <b:JournalName>Journal of Finance</b:JournalName>
    <b:Pages>1-10</b:Pages>
    <b:Volume>14</b:Volume>
    <b:Issue>1</b:Issue>
    <b:RefOrder>119</b:RefOrder>
  </b:Source>
  <b:Source>
    <b:Tag>Rol80</b:Tag>
    <b:SourceType>JournalArticle</b:SourceType>
    <b:Guid>{8D8F420A-0791-4117-B889-D2F3B4E6C761}</b:Guid>
    <b:LCID>0</b:LCID>
    <b:Author>
      <b:Author>
        <b:NameList>
          <b:Person>
            <b:Last>Roll</b:Last>
            <b:First>R</b:First>
          </b:Person>
          <b:Person>
            <b:Last>Ross</b:Last>
            <b:First>S</b:First>
            <b:Middle>A</b:Middle>
          </b:Person>
        </b:NameList>
      </b:Author>
    </b:Author>
    <b:Title>An Empirical Investigation of the Arbitrage Pricing Theory</b:Title>
    <b:JournalName>Journal of Finance</b:JournalName>
    <b:Year>1980</b:Year>
    <b:Pages>1073-1103</b:Pages>
    <b:Volume>35</b:Volume>
    <b:Issue>5</b:Issue>
    <b:RefOrder>120</b:RefOrder>
  </b:Source>
  <b:Source>
    <b:Tag>Shi81</b:Tag>
    <b:SourceType>JournalArticle</b:SourceType>
    <b:Guid>{EF44665F-689E-454D-B148-42BCEFB93EA4}</b:Guid>
    <b:LCID>0</b:LCID>
    <b:Author>
      <b:Author>
        <b:NameList>
          <b:Person>
            <b:Last>Shiller</b:Last>
            <b:First>R</b:First>
            <b:Middle>J</b:Middle>
          </b:Person>
        </b:NameList>
      </b:Author>
    </b:Author>
    <b:Title>The Use of Volatility Measures in Assessing Market Efficiency</b:Title>
    <b:JournalName>Journal of Finance</b:JournalName>
    <b:Year>1981</b:Year>
    <b:Pages>291-311</b:Pages>
    <b:Volume>36</b:Volume>
    <b:Issue>2</b:Issue>
    <b:RefOrder>121</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5A5F0487-5569-4D8A-9C5B-4DD752267B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94</Pages>
  <Words>36814</Words>
  <Characters>209842</Characters>
  <Application>Microsoft Office Word</Application>
  <DocSecurity>0</DocSecurity>
  <Lines>1748</Lines>
  <Paragraphs>492</Paragraphs>
  <ScaleCrop>false</ScaleCrop>
  <HeadingPairs>
    <vt:vector size="4" baseType="variant">
      <vt:variant>
        <vt:lpstr>Title</vt:lpstr>
      </vt:variant>
      <vt:variant>
        <vt:i4>1</vt:i4>
      </vt:variant>
      <vt:variant>
        <vt:lpstr>Headings</vt:lpstr>
      </vt:variant>
      <vt:variant>
        <vt:i4>33</vt:i4>
      </vt:variant>
    </vt:vector>
  </HeadingPairs>
  <TitlesOfParts>
    <vt:vector size="34" baseType="lpstr">
      <vt:lpstr>Stock Prices as a Leading Indicator of Economic activity</vt:lpstr>
      <vt:lpstr>Abstract</vt:lpstr>
      <vt:lpstr>Acknowledgements</vt:lpstr>
      <vt:lpstr>&lt;Contents</vt:lpstr>
      <vt:lpstr>Introduction</vt:lpstr>
      <vt:lpstr>The Forward Looking Nature of Stock Prices</vt:lpstr>
      <vt:lpstr>Efficient Market Hypothesis</vt:lpstr>
      <vt:lpstr>    </vt:lpstr>
      <vt:lpstr>    </vt:lpstr>
      <vt:lpstr>    </vt:lpstr>
      <vt:lpstr>    Forms of Market Efficiency</vt:lpstr>
      <vt:lpstr>    The Contrasting Views of Market Efficiency</vt:lpstr>
      <vt:lpstr>    Stock Price Anomalies</vt:lpstr>
      <vt:lpstr>    </vt:lpstr>
      <vt:lpstr>    </vt:lpstr>
      <vt:lpstr>    </vt:lpstr>
      <vt:lpstr>    </vt:lpstr>
      <vt:lpstr>    </vt:lpstr>
      <vt:lpstr>    </vt:lpstr>
      <vt:lpstr>    Asset Pricing Models and their Shortcomings</vt:lpstr>
      <vt:lpstr>    </vt:lpstr>
      <vt:lpstr>    </vt:lpstr>
      <vt:lpstr>    </vt:lpstr>
      <vt:lpstr>    </vt:lpstr>
      <vt:lpstr>    </vt:lpstr>
      <vt:lpstr>    </vt:lpstr>
      <vt:lpstr>    </vt:lpstr>
      <vt:lpstr>    Implications for the JSE</vt:lpstr>
      <vt:lpstr>Stock Prices and their Accompanying Economic Indicators</vt:lpstr>
      <vt:lpstr>    </vt:lpstr>
      <vt:lpstr>    </vt:lpstr>
      <vt:lpstr>    </vt:lpstr>
      <vt:lpstr>    </vt:lpstr>
      <vt:lpstr>    Industrial Production</vt:lpstr>
    </vt:vector>
  </TitlesOfParts>
  <Company>University of the Witwatersrand</Company>
  <LinksUpToDate>false</LinksUpToDate>
  <CharactersWithSpaces>246164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Stock Prices as a Leading Indicator of Economic activity</dc:title>
  <dc:subject>Evidence from the JSE</dc:subject>
  <dc:creator>John Golding - 0617664a</dc:creator>
  <cp:lastModifiedBy>David</cp:lastModifiedBy>
  <cp:revision>2</cp:revision>
  <cp:lastPrinted>2011-02-28T06:47:00Z</cp:lastPrinted>
  <dcterms:created xsi:type="dcterms:W3CDTF">2011-06-20T11:12:00Z</dcterms:created>
  <dcterms:modified xsi:type="dcterms:W3CDTF">2011-06-20T11:12:00Z</dcterms:modified>
</cp:coreProperties>
</file>